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ind w:left="460" w:right="42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2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September 30, 2012</w:t>
      </w:r>
    </w:p>
    <w:p>
      <w:pPr>
        <w:spacing w:after="0" w:line="17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right="42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22" w:lineRule="exact"/>
        <w:rPr>
          <w:sz w:val="24"/>
          <w:szCs w:val="24"/>
          <w:color w:val="auto"/>
        </w:rPr>
      </w:pPr>
    </w:p>
    <w:p>
      <w:pPr>
        <w:ind w:left="388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7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001-35095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UNITED COMMUNITY BANKS, INC.</w:t>
      </w:r>
    </w:p>
    <w:p>
      <w:pPr>
        <w:spacing w:after="0" w:line="5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tbl>
      <w:tblPr>
        <w:tblLayout w:type="fixed"/>
        <w:tblInd w:w="2080" w:type="dxa"/>
        <w:tblCellMar>
          <w:top w:w="0" w:type="dxa"/>
          <w:left w:w="0" w:type="dxa"/>
          <w:bottom w:w="0" w:type="dxa"/>
          <w:right w:w="0" w:type="dxa"/>
        </w:tblCellMar>
      </w:tblPr>
      <w:tr>
        <w:trPr>
          <w:trHeight w:val="218"/>
        </w:trPr>
        <w:tc>
          <w:tcPr>
            <w:tcW w:w="2360" w:type="dxa"/>
            <w:vAlign w:val="bottom"/>
          </w:tcPr>
          <w:p>
            <w:pPr>
              <w:jc w:val="center"/>
              <w:ind w:right="602"/>
              <w:spacing w:after="0"/>
              <w:rPr>
                <w:sz w:val="20"/>
                <w:szCs w:val="20"/>
                <w:color w:val="auto"/>
              </w:rPr>
            </w:pPr>
            <w:r>
              <w:rPr>
                <w:rFonts w:ascii="Arial" w:cs="Arial" w:eastAsia="Arial" w:hAnsi="Arial"/>
                <w:sz w:val="18"/>
                <w:szCs w:val="18"/>
                <w:b w:val="1"/>
                <w:bCs w:val="1"/>
                <w:color w:val="auto"/>
                <w:w w:val="88"/>
              </w:rPr>
              <w:t>Georgia</w:t>
            </w:r>
          </w:p>
        </w:tc>
        <w:tc>
          <w:tcPr>
            <w:tcW w:w="4820" w:type="dxa"/>
            <w:vAlign w:val="bottom"/>
          </w:tcPr>
          <w:p>
            <w:pPr>
              <w:jc w:val="right"/>
              <w:ind w:right="24"/>
              <w:spacing w:after="0"/>
              <w:rPr>
                <w:sz w:val="20"/>
                <w:szCs w:val="20"/>
                <w:color w:val="auto"/>
              </w:rPr>
            </w:pPr>
            <w:r>
              <w:rPr>
                <w:rFonts w:ascii="Arial" w:cs="Arial" w:eastAsia="Arial" w:hAnsi="Arial"/>
                <w:sz w:val="18"/>
                <w:szCs w:val="18"/>
                <w:b w:val="1"/>
                <w:bCs w:val="1"/>
                <w:color w:val="auto"/>
              </w:rPr>
              <w:t>58-1807304</w:t>
            </w:r>
          </w:p>
        </w:tc>
      </w:tr>
      <w:tr>
        <w:trPr>
          <w:trHeight w:val="149"/>
        </w:trPr>
        <w:tc>
          <w:tcPr>
            <w:tcW w:w="2360" w:type="dxa"/>
            <w:vAlign w:val="bottom"/>
          </w:tcPr>
          <w:p>
            <w:pPr>
              <w:jc w:val="center"/>
              <w:ind w:right="602"/>
              <w:spacing w:after="0" w:line="149" w:lineRule="exact"/>
              <w:rPr>
                <w:sz w:val="20"/>
                <w:szCs w:val="20"/>
                <w:color w:val="auto"/>
              </w:rPr>
            </w:pPr>
            <w:r>
              <w:rPr>
                <w:rFonts w:ascii="Arial" w:cs="Arial" w:eastAsia="Arial" w:hAnsi="Arial"/>
                <w:sz w:val="14"/>
                <w:szCs w:val="14"/>
                <w:b w:val="1"/>
                <w:bCs w:val="1"/>
                <w:color w:val="auto"/>
                <w:w w:val="87"/>
              </w:rPr>
              <w:t>(State of Incorporation)</w:t>
            </w:r>
          </w:p>
        </w:tc>
        <w:tc>
          <w:tcPr>
            <w:tcW w:w="4820" w:type="dxa"/>
            <w:vAlign w:val="bottom"/>
          </w:tcPr>
          <w:p>
            <w:pPr>
              <w:jc w:val="center"/>
              <w:ind w:left="3704"/>
              <w:spacing w:after="0" w:line="149" w:lineRule="exact"/>
              <w:rPr>
                <w:sz w:val="20"/>
                <w:szCs w:val="20"/>
                <w:color w:val="auto"/>
              </w:rPr>
            </w:pPr>
            <w:r>
              <w:rPr>
                <w:rFonts w:ascii="Arial" w:cs="Arial" w:eastAsia="Arial" w:hAnsi="Arial"/>
                <w:sz w:val="14"/>
                <w:szCs w:val="14"/>
                <w:b w:val="1"/>
                <w:bCs w:val="1"/>
                <w:color w:val="auto"/>
                <w:w w:val="89"/>
              </w:rPr>
              <w:t>(I.R.S. Employer</w:t>
            </w:r>
          </w:p>
        </w:tc>
      </w:tr>
      <w:tr>
        <w:trPr>
          <w:trHeight w:val="174"/>
        </w:trPr>
        <w:tc>
          <w:tcPr>
            <w:tcW w:w="2360" w:type="dxa"/>
            <w:vAlign w:val="bottom"/>
          </w:tcPr>
          <w:p>
            <w:pPr>
              <w:spacing w:after="0"/>
              <w:rPr>
                <w:sz w:val="15"/>
                <w:szCs w:val="15"/>
                <w:color w:val="auto"/>
              </w:rPr>
            </w:pPr>
          </w:p>
        </w:tc>
        <w:tc>
          <w:tcPr>
            <w:tcW w:w="4820" w:type="dxa"/>
            <w:vAlign w:val="bottom"/>
          </w:tcPr>
          <w:p>
            <w:pPr>
              <w:jc w:val="center"/>
              <w:ind w:left="3704"/>
              <w:spacing w:after="0"/>
              <w:rPr>
                <w:sz w:val="20"/>
                <w:szCs w:val="20"/>
                <w:color w:val="auto"/>
              </w:rPr>
            </w:pPr>
            <w:r>
              <w:rPr>
                <w:rFonts w:ascii="Arial" w:cs="Arial" w:eastAsia="Arial" w:hAnsi="Arial"/>
                <w:sz w:val="14"/>
                <w:szCs w:val="14"/>
                <w:b w:val="1"/>
                <w:bCs w:val="1"/>
                <w:color w:val="auto"/>
                <w:w w:val="87"/>
              </w:rPr>
              <w:t>Identification No.)</w:t>
            </w:r>
          </w:p>
        </w:tc>
      </w:tr>
      <w:tr>
        <w:trPr>
          <w:trHeight w:val="418"/>
        </w:trPr>
        <w:tc>
          <w:tcPr>
            <w:tcW w:w="2360" w:type="dxa"/>
            <w:vAlign w:val="bottom"/>
          </w:tcPr>
          <w:p>
            <w:pPr>
              <w:jc w:val="center"/>
              <w:ind w:right="602"/>
              <w:spacing w:after="0"/>
              <w:rPr>
                <w:sz w:val="20"/>
                <w:szCs w:val="20"/>
                <w:color w:val="auto"/>
              </w:rPr>
            </w:pPr>
            <w:r>
              <w:rPr>
                <w:rFonts w:ascii="Arial" w:cs="Arial" w:eastAsia="Arial" w:hAnsi="Arial"/>
                <w:sz w:val="18"/>
                <w:szCs w:val="18"/>
                <w:b w:val="1"/>
                <w:bCs w:val="1"/>
                <w:color w:val="auto"/>
                <w:w w:val="89"/>
              </w:rPr>
              <w:t>125 Highway 515 East</w:t>
            </w:r>
          </w:p>
        </w:tc>
        <w:tc>
          <w:tcPr>
            <w:tcW w:w="4820" w:type="dxa"/>
            <w:vAlign w:val="bottom"/>
          </w:tcPr>
          <w:p>
            <w:pPr>
              <w:spacing w:after="0"/>
              <w:rPr>
                <w:sz w:val="24"/>
                <w:szCs w:val="24"/>
                <w:color w:val="auto"/>
              </w:rPr>
            </w:pPr>
          </w:p>
        </w:tc>
      </w:tr>
      <w:tr>
        <w:trPr>
          <w:trHeight w:val="231"/>
        </w:trPr>
        <w:tc>
          <w:tcPr>
            <w:tcW w:w="2360" w:type="dxa"/>
            <w:vAlign w:val="bottom"/>
          </w:tcPr>
          <w:p>
            <w:pPr>
              <w:jc w:val="center"/>
              <w:ind w:right="602"/>
              <w:spacing w:after="0"/>
              <w:rPr>
                <w:sz w:val="20"/>
                <w:szCs w:val="20"/>
                <w:color w:val="auto"/>
              </w:rPr>
            </w:pPr>
            <w:r>
              <w:rPr>
                <w:rFonts w:ascii="Arial" w:cs="Arial" w:eastAsia="Arial" w:hAnsi="Arial"/>
                <w:sz w:val="18"/>
                <w:szCs w:val="18"/>
                <w:b w:val="1"/>
                <w:bCs w:val="1"/>
                <w:color w:val="auto"/>
                <w:w w:val="88"/>
              </w:rPr>
              <w:t>Blairsville, Georgia</w:t>
            </w:r>
          </w:p>
        </w:tc>
        <w:tc>
          <w:tcPr>
            <w:tcW w:w="4820" w:type="dxa"/>
            <w:vAlign w:val="bottom"/>
          </w:tcPr>
          <w:p>
            <w:pPr>
              <w:jc w:val="right"/>
              <w:ind w:right="224"/>
              <w:spacing w:after="0"/>
              <w:rPr>
                <w:sz w:val="20"/>
                <w:szCs w:val="20"/>
                <w:color w:val="auto"/>
              </w:rPr>
            </w:pPr>
            <w:r>
              <w:rPr>
                <w:rFonts w:ascii="Arial" w:cs="Arial" w:eastAsia="Arial" w:hAnsi="Arial"/>
                <w:sz w:val="18"/>
                <w:szCs w:val="18"/>
                <w:b w:val="1"/>
                <w:bCs w:val="1"/>
                <w:color w:val="auto"/>
              </w:rPr>
              <w:t>30512</w:t>
            </w:r>
          </w:p>
        </w:tc>
      </w:tr>
      <w:tr>
        <w:trPr>
          <w:trHeight w:val="149"/>
        </w:trPr>
        <w:tc>
          <w:tcPr>
            <w:tcW w:w="2360" w:type="dxa"/>
            <w:vAlign w:val="bottom"/>
          </w:tcPr>
          <w:p>
            <w:pPr>
              <w:jc w:val="center"/>
              <w:ind w:right="602"/>
              <w:spacing w:after="0" w:line="149" w:lineRule="exact"/>
              <w:rPr>
                <w:sz w:val="20"/>
                <w:szCs w:val="20"/>
                <w:color w:val="auto"/>
              </w:rPr>
            </w:pPr>
            <w:r>
              <w:rPr>
                <w:rFonts w:ascii="Arial" w:cs="Arial" w:eastAsia="Arial" w:hAnsi="Arial"/>
                <w:sz w:val="14"/>
                <w:szCs w:val="14"/>
                <w:b w:val="1"/>
                <w:bCs w:val="1"/>
                <w:color w:val="auto"/>
                <w:w w:val="88"/>
              </w:rPr>
              <w:t>Address of Principal</w:t>
            </w:r>
          </w:p>
        </w:tc>
        <w:tc>
          <w:tcPr>
            <w:tcW w:w="4820" w:type="dxa"/>
            <w:vAlign w:val="bottom"/>
          </w:tcPr>
          <w:p>
            <w:pPr>
              <w:jc w:val="center"/>
              <w:ind w:left="3704"/>
              <w:spacing w:after="0" w:line="149" w:lineRule="exact"/>
              <w:rPr>
                <w:sz w:val="20"/>
                <w:szCs w:val="20"/>
                <w:color w:val="auto"/>
              </w:rPr>
            </w:pPr>
            <w:r>
              <w:rPr>
                <w:rFonts w:ascii="Arial" w:cs="Arial" w:eastAsia="Arial" w:hAnsi="Arial"/>
                <w:sz w:val="14"/>
                <w:szCs w:val="14"/>
                <w:b w:val="1"/>
                <w:bCs w:val="1"/>
                <w:color w:val="auto"/>
                <w:w w:val="92"/>
              </w:rPr>
              <w:t>(Zip Code)</w:t>
            </w:r>
          </w:p>
        </w:tc>
      </w:tr>
      <w:tr>
        <w:trPr>
          <w:trHeight w:val="174"/>
        </w:trPr>
        <w:tc>
          <w:tcPr>
            <w:tcW w:w="2360" w:type="dxa"/>
            <w:vAlign w:val="bottom"/>
          </w:tcPr>
          <w:p>
            <w:pPr>
              <w:jc w:val="center"/>
              <w:ind w:right="602"/>
              <w:spacing w:after="0"/>
              <w:rPr>
                <w:sz w:val="20"/>
                <w:szCs w:val="20"/>
                <w:color w:val="auto"/>
              </w:rPr>
            </w:pPr>
            <w:r>
              <w:rPr>
                <w:rFonts w:ascii="Arial" w:cs="Arial" w:eastAsia="Arial" w:hAnsi="Arial"/>
                <w:sz w:val="14"/>
                <w:szCs w:val="14"/>
                <w:b w:val="1"/>
                <w:bCs w:val="1"/>
                <w:color w:val="auto"/>
                <w:w w:val="85"/>
              </w:rPr>
              <w:t>Executive Offices</w:t>
            </w:r>
          </w:p>
        </w:tc>
        <w:tc>
          <w:tcPr>
            <w:tcW w:w="4820" w:type="dxa"/>
            <w:vAlign w:val="bottom"/>
          </w:tcPr>
          <w:p>
            <w:pPr>
              <w:spacing w:after="0"/>
              <w:rPr>
                <w:sz w:val="15"/>
                <w:szCs w:val="15"/>
                <w:color w:val="auto"/>
              </w:rPr>
            </w:pPr>
          </w:p>
        </w:tc>
      </w:tr>
      <w:tr>
        <w:trPr>
          <w:trHeight w:val="366"/>
        </w:trPr>
        <w:tc>
          <w:tcPr>
            <w:tcW w:w="2360" w:type="dxa"/>
            <w:vAlign w:val="bottom"/>
          </w:tcPr>
          <w:p>
            <w:pPr>
              <w:spacing w:after="0"/>
              <w:rPr>
                <w:sz w:val="24"/>
                <w:szCs w:val="24"/>
                <w:color w:val="auto"/>
              </w:rPr>
            </w:pPr>
          </w:p>
        </w:tc>
        <w:tc>
          <w:tcPr>
            <w:tcW w:w="4820" w:type="dxa"/>
            <w:vAlign w:val="bottom"/>
          </w:tcPr>
          <w:p>
            <w:pPr>
              <w:jc w:val="right"/>
              <w:ind w:right="2924"/>
              <w:spacing w:after="0"/>
              <w:rPr>
                <w:sz w:val="20"/>
                <w:szCs w:val="20"/>
                <w:color w:val="auto"/>
              </w:rPr>
            </w:pPr>
            <w:r>
              <w:rPr>
                <w:rFonts w:ascii="Arial" w:cs="Arial" w:eastAsia="Arial" w:hAnsi="Arial"/>
                <w:sz w:val="18"/>
                <w:szCs w:val="18"/>
                <w:b w:val="1"/>
                <w:bCs w:val="1"/>
                <w:color w:val="auto"/>
              </w:rPr>
              <w:t>(706) 781-2265</w:t>
            </w:r>
          </w:p>
        </w:tc>
      </w:tr>
      <w:tr>
        <w:trPr>
          <w:trHeight w:val="174"/>
        </w:trPr>
        <w:tc>
          <w:tcPr>
            <w:tcW w:w="2360" w:type="dxa"/>
            <w:vAlign w:val="bottom"/>
          </w:tcPr>
          <w:p>
            <w:pPr>
              <w:spacing w:after="0"/>
              <w:rPr>
                <w:sz w:val="15"/>
                <w:szCs w:val="15"/>
                <w:color w:val="auto"/>
              </w:rPr>
            </w:pPr>
          </w:p>
        </w:tc>
        <w:tc>
          <w:tcPr>
            <w:tcW w:w="4820" w:type="dxa"/>
            <w:vAlign w:val="bottom"/>
          </w:tcPr>
          <w:p>
            <w:pPr>
              <w:jc w:val="center"/>
              <w:ind w:right="2204"/>
              <w:spacing w:after="0"/>
              <w:rPr>
                <w:sz w:val="20"/>
                <w:szCs w:val="20"/>
                <w:color w:val="auto"/>
              </w:rPr>
            </w:pPr>
            <w:r>
              <w:rPr>
                <w:rFonts w:ascii="Arial" w:cs="Arial" w:eastAsia="Arial" w:hAnsi="Arial"/>
                <w:sz w:val="14"/>
                <w:szCs w:val="14"/>
                <w:b w:val="1"/>
                <w:bCs w:val="1"/>
                <w:color w:val="auto"/>
                <w:w w:val="86"/>
              </w:rPr>
              <w:t>(Telephone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172085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both"/>
        <w:ind w:right="80"/>
        <w:spacing w:after="0" w:line="227" w:lineRule="exact"/>
        <w:rPr>
          <w:sz w:val="20"/>
          <w:szCs w:val="20"/>
          <w:color w:val="auto"/>
        </w:rPr>
      </w:pPr>
      <w:r>
        <w:rPr>
          <w:rFonts w:ascii="Arial" w:cs="Arial" w:eastAsia="Arial" w:hAnsi="Arial"/>
          <w:sz w:val="18"/>
          <w:szCs w:val="18"/>
          <w:b w:val="1"/>
          <w:bCs w:val="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jc w:val="both"/>
        <w:ind w:right="380"/>
        <w:spacing w:after="0" w:line="227" w:lineRule="exact"/>
        <w:rPr>
          <w:sz w:val="20"/>
          <w:szCs w:val="20"/>
          <w:color w:val="auto"/>
        </w:rPr>
      </w:pPr>
      <w:r>
        <w:rPr>
          <w:rFonts w:ascii="Arial" w:cs="Arial" w:eastAsia="Arial" w:hAnsi="Arial"/>
          <w:sz w:val="16"/>
          <w:szCs w:val="16"/>
          <w:b w:val="1"/>
          <w:bCs w:val="1"/>
          <w:color w:val="auto"/>
        </w:rPr>
        <w:t xml:space="preserve">Indicate by check mark whether the registrant has submitted electronically and posted on its corporate Web site, if any, every Interactive Date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NO </w:t>
      </w:r>
      <w:r>
        <w:rPr>
          <w:rFonts w:ascii="MS PGothic" w:cs="MS PGothic" w:eastAsia="MS PGothic" w:hAnsi="MS PGothic"/>
          <w:sz w:val="16"/>
          <w:szCs w:val="16"/>
          <w:color w:val="auto"/>
        </w:rPr>
        <w:t>☐</w:t>
      </w:r>
    </w:p>
    <w:p>
      <w:pPr>
        <w:spacing w:after="0" w:line="132"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Indicate by check mark whether the registrant is a large accelerated filer, an accelerated filer, or a non-accelerated filer or a smaller reporting company.</w:t>
      </w:r>
    </w:p>
    <w:p>
      <w:pPr>
        <w:spacing w:after="0" w:line="5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See definitions of “large accelerated filer”, “accelerated filer” and “smaller reporting company” in Rule 12b-2 of the Exchange Act.</w:t>
      </w:r>
    </w:p>
    <w:p>
      <w:pPr>
        <w:sectPr>
          <w:pgSz w:w="11900" w:h="16838" w:orient="portrait"/>
          <w:cols w:equalWidth="0" w:num="1">
            <w:col w:w="11380"/>
          </w:cols>
          <w:pgMar w:left="240" w:top="230" w:right="279" w:bottom="1440" w:gutter="0" w:footer="0" w:header="0"/>
        </w:sectPr>
      </w:pPr>
    </w:p>
    <w:bookmarkStart w:id="1" w:name="page2"/>
    <w:bookmarkEnd w:id="1"/>
    <w:p>
      <w:pPr>
        <w:spacing w:after="0" w:line="207" w:lineRule="exact"/>
        <w:tabs>
          <w:tab w:leader="none" w:pos="2020" w:val="left"/>
        </w:tabs>
        <w:rPr>
          <w:sz w:val="20"/>
          <w:szCs w:val="20"/>
          <w:color w:val="auto"/>
        </w:rPr>
      </w:pPr>
      <w:r>
        <w:rPr>
          <w:rFonts w:ascii="Arial" w:cs="Arial" w:eastAsia="Arial" w:hAnsi="Arial"/>
          <w:sz w:val="18"/>
          <w:szCs w:val="18"/>
          <w:b w:val="1"/>
          <w:bCs w:val="1"/>
          <w:color w:val="auto"/>
        </w:rPr>
        <w:t>Large accelerated filer</w:t>
      </w:r>
      <w:r>
        <w:rPr>
          <w:sz w:val="20"/>
          <w:szCs w:val="20"/>
          <w:color w:val="auto"/>
        </w:rPr>
        <w:tab/>
      </w:r>
      <w:r>
        <w:rPr>
          <w:rFonts w:ascii="MS PGothic" w:cs="MS PGothic" w:eastAsia="MS PGothic" w:hAnsi="MS PGothic"/>
          <w:sz w:val="16"/>
          <w:szCs w:val="16"/>
          <w:color w:val="auto"/>
        </w:rPr>
        <w:t>☐</w:t>
      </w:r>
    </w:p>
    <w:p>
      <w:pPr>
        <w:spacing w:after="0" w:line="124" w:lineRule="exact"/>
        <w:rPr>
          <w:sz w:val="20"/>
          <w:szCs w:val="20"/>
          <w:color w:val="auto"/>
        </w:rPr>
      </w:pPr>
    </w:p>
    <w:p>
      <w:pPr>
        <w:spacing w:after="0" w:line="207" w:lineRule="exact"/>
        <w:tabs>
          <w:tab w:leader="none" w:pos="2020" w:val="left"/>
        </w:tabs>
        <w:rPr>
          <w:sz w:val="20"/>
          <w:szCs w:val="20"/>
          <w:color w:val="auto"/>
        </w:rPr>
      </w:pPr>
      <w:r>
        <w:rPr>
          <w:rFonts w:ascii="Arial" w:cs="Arial" w:eastAsia="Arial" w:hAnsi="Arial"/>
          <w:sz w:val="18"/>
          <w:szCs w:val="18"/>
          <w:b w:val="1"/>
          <w:bCs w:val="1"/>
          <w:color w:val="auto"/>
        </w:rPr>
        <w:t>Non-accelerated filer</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b w:val="1"/>
          <w:bCs w:val="1"/>
          <w:color w:val="auto"/>
        </w:rPr>
        <w:t>(Do not check if a smaller reporting company)</w:t>
      </w:r>
    </w:p>
    <w:p>
      <w:pPr>
        <w:spacing w:after="0" w:line="171" w:lineRule="exact"/>
        <w:rPr>
          <w:sz w:val="20"/>
          <w:szCs w:val="20"/>
          <w:color w:val="auto"/>
        </w:rPr>
      </w:pPr>
    </w:p>
    <w:p>
      <w:pPr>
        <w:spacing w:after="0" w:line="207" w:lineRule="exact"/>
        <w:tabs>
          <w:tab w:leader="none" w:pos="7820" w:val="left"/>
        </w:tabs>
        <w:rPr>
          <w:sz w:val="20"/>
          <w:szCs w:val="20"/>
          <w:color w:val="auto"/>
        </w:rPr>
      </w:pPr>
      <w:r>
        <w:rPr>
          <w:rFonts w:ascii="Arial" w:cs="Arial" w:eastAsia="Arial" w:hAnsi="Arial"/>
          <w:sz w:val="16"/>
          <w:szCs w:val="16"/>
          <w:b w:val="1"/>
          <w:bCs w:val="1"/>
          <w:color w:val="auto"/>
        </w:rPr>
        <w:t>Indicate by check mark whether the registrant is a shell company (as defined in Rule 12b-2 of the Act).</w:t>
      </w:r>
      <w:r>
        <w:rPr>
          <w:sz w:val="20"/>
          <w:szCs w:val="20"/>
          <w:color w:val="auto"/>
        </w:rPr>
        <w:tab/>
      </w: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Accelerated filer</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Smaller Reporting Company</w:t>
      </w:r>
    </w:p>
    <w:p>
      <w:pPr>
        <w:spacing w:after="0" w:line="174" w:lineRule="exact"/>
        <w:rPr>
          <w:sz w:val="20"/>
          <w:szCs w:val="20"/>
          <w:color w:val="auto"/>
        </w:rPr>
      </w:pPr>
    </w:p>
    <w:p>
      <w:pPr>
        <w:ind w:left="100"/>
        <w:spacing w:after="0" w:line="207" w:lineRule="exact"/>
        <w:rPr>
          <w:sz w:val="20"/>
          <w:szCs w:val="20"/>
          <w:color w:val="auto"/>
        </w:rPr>
      </w:pPr>
      <w:r>
        <w:rPr>
          <w:rFonts w:ascii="Arial" w:cs="Arial" w:eastAsia="Arial" w:hAnsi="Arial"/>
          <w:sz w:val="18"/>
          <w:szCs w:val="18"/>
          <w:b w:val="1"/>
          <w:bCs w:val="1"/>
          <w:color w:val="auto"/>
        </w:rPr>
        <w:t xml:space="preserve">NO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64"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622" w:lineRule="exact"/>
        <w:rPr>
          <w:sz w:val="20"/>
          <w:szCs w:val="20"/>
          <w:color w:val="auto"/>
        </w:rPr>
      </w:pPr>
    </w:p>
    <w:p>
      <w:pPr>
        <w:sectPr>
          <w:pgSz w:w="11900" w:h="16838" w:orient="portrait"/>
          <w:cols w:equalWidth="0" w:num="3">
            <w:col w:w="8440" w:space="80"/>
            <w:col w:w="2180" w:space="560"/>
            <w:col w:w="160"/>
          </w:cols>
          <w:pgMar w:left="240" w:top="301" w:right="239" w:bottom="1440" w:gutter="0" w:footer="0" w:header="0"/>
        </w:sectPr>
      </w:pPr>
    </w:p>
    <w:p>
      <w:pPr>
        <w:spacing w:after="0"/>
        <w:rPr>
          <w:sz w:val="20"/>
          <w:szCs w:val="20"/>
          <w:color w:val="auto"/>
        </w:rPr>
      </w:pPr>
      <w:r>
        <w:rPr>
          <w:rFonts w:ascii="Arial" w:cs="Arial" w:eastAsia="Arial" w:hAnsi="Arial"/>
          <w:sz w:val="15"/>
          <w:szCs w:val="15"/>
          <w:b w:val="1"/>
          <w:bCs w:val="1"/>
          <w:color w:val="auto"/>
        </w:rPr>
        <w:t>Common stock, par value $1 per share 42,403,765 shares voting and 15,316,794 shares non-voting outstanding as of October 31,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460" w:type="dxa"/>
            <w:vAlign w:val="bottom"/>
          </w:tcPr>
          <w:p>
            <w:pPr>
              <w:spacing w:after="0"/>
              <w:rPr>
                <w:sz w:val="20"/>
                <w:szCs w:val="20"/>
                <w:color w:val="auto"/>
              </w:rPr>
            </w:pPr>
            <w:r>
              <w:rPr>
                <w:rFonts w:ascii="Arial" w:cs="Arial" w:eastAsia="Arial" w:hAnsi="Arial"/>
                <w:sz w:val="18"/>
                <w:szCs w:val="18"/>
                <w:b w:val="1"/>
                <w:bCs w:val="1"/>
                <w:color w:val="auto"/>
              </w:rPr>
              <w:t>INDEX</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380"/>
        </w:trPr>
        <w:tc>
          <w:tcPr>
            <w:tcW w:w="10820" w:type="dxa"/>
            <w:vAlign w:val="bottom"/>
            <w:gridSpan w:val="23"/>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 Financial Information</w:t>
              </w:r>
            </w:hyperlink>
          </w:p>
        </w:tc>
        <w:tc>
          <w:tcPr>
            <w:tcW w:w="500" w:type="dxa"/>
            <w:vAlign w:val="bottom"/>
          </w:tcPr>
          <w:p>
            <w:pPr>
              <w:spacing w:after="0"/>
              <w:rPr>
                <w:sz w:val="24"/>
                <w:szCs w:val="24"/>
                <w:color w:val="auto"/>
              </w:rPr>
            </w:pPr>
          </w:p>
        </w:tc>
      </w:tr>
      <w:tr>
        <w:trPr>
          <w:trHeight w:val="20"/>
        </w:trPr>
        <w:tc>
          <w:tcPr>
            <w:tcW w:w="14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04"/>
        </w:trPr>
        <w:tc>
          <w:tcPr>
            <w:tcW w:w="1460" w:type="dxa"/>
            <w:vAlign w:val="bottom"/>
          </w:tcPr>
          <w:p>
            <w:pPr>
              <w:ind w:left="540"/>
              <w:spacing w:after="0"/>
              <w:rPr>
                <w:sz w:val="20"/>
                <w:szCs w:val="20"/>
                <w:color w:val="auto"/>
              </w:rPr>
            </w:pPr>
            <w:r>
              <w:rPr>
                <w:rFonts w:ascii="Arial" w:cs="Arial" w:eastAsia="Arial" w:hAnsi="Arial"/>
                <w:sz w:val="18"/>
                <w:szCs w:val="18"/>
                <w:b w:val="1"/>
                <w:bCs w:val="1"/>
                <w:color w:val="auto"/>
              </w:rPr>
              <w:t>Item 1.</w:t>
            </w:r>
          </w:p>
        </w:tc>
        <w:tc>
          <w:tcPr>
            <w:tcW w:w="9360" w:type="dxa"/>
            <w:vAlign w:val="bottom"/>
            <w:gridSpan w:val="22"/>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Financial Statements</w:t>
              </w:r>
            </w:hyperlink>
          </w:p>
        </w:tc>
        <w:tc>
          <w:tcPr>
            <w:tcW w:w="500" w:type="dxa"/>
            <w:vAlign w:val="bottom"/>
          </w:tcPr>
          <w:p>
            <w:pPr>
              <w:spacing w:after="0"/>
              <w:rPr>
                <w:sz w:val="24"/>
                <w:szCs w:val="24"/>
                <w:color w:val="auto"/>
              </w:rPr>
            </w:pPr>
          </w:p>
        </w:tc>
      </w:tr>
      <w:tr>
        <w:trPr>
          <w:trHeight w:val="20"/>
        </w:trPr>
        <w:tc>
          <w:tcPr>
            <w:tcW w:w="14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04"/>
        </w:trPr>
        <w:tc>
          <w:tcPr>
            <w:tcW w:w="1460" w:type="dxa"/>
            <w:vAlign w:val="bottom"/>
          </w:tcPr>
          <w:p>
            <w:pPr>
              <w:spacing w:after="0"/>
              <w:rPr>
                <w:sz w:val="24"/>
                <w:szCs w:val="24"/>
                <w:color w:val="auto"/>
              </w:rPr>
            </w:pPr>
          </w:p>
        </w:tc>
        <w:tc>
          <w:tcPr>
            <w:tcW w:w="9360" w:type="dxa"/>
            <w:vAlign w:val="bottom"/>
            <w:gridSpan w:val="22"/>
          </w:tcPr>
          <w:p>
            <w:pPr>
              <w:spacing w:after="0"/>
              <w:rPr>
                <w:rFonts w:ascii="Arial" w:cs="Arial" w:eastAsia="Arial" w:hAnsi="Arial"/>
                <w:sz w:val="18"/>
                <w:szCs w:val="18"/>
                <w:b w:val="1"/>
                <w:bCs w:val="1"/>
                <w:color w:val="0000EE"/>
                <w:w w:val="92"/>
              </w:rPr>
            </w:pPr>
            <w:hyperlink w:anchor="page4">
              <w:r>
                <w:rPr>
                  <w:rFonts w:ascii="Arial" w:cs="Arial" w:eastAsia="Arial" w:hAnsi="Arial"/>
                  <w:sz w:val="18"/>
                  <w:szCs w:val="18"/>
                  <w:b w:val="1"/>
                  <w:bCs w:val="1"/>
                  <w:color w:val="0000EE"/>
                  <w:w w:val="92"/>
                </w:rPr>
                <w:t>Consolidated Statement of Operations (unaudited) for the Three and Nine Months Ended September 30, 2012 and 2011</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14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04"/>
        </w:trPr>
        <w:tc>
          <w:tcPr>
            <w:tcW w:w="1460" w:type="dxa"/>
            <w:vAlign w:val="bottom"/>
          </w:tcPr>
          <w:p>
            <w:pPr>
              <w:spacing w:after="0"/>
              <w:rPr>
                <w:sz w:val="24"/>
                <w:szCs w:val="24"/>
                <w:color w:val="auto"/>
              </w:rPr>
            </w:pPr>
          </w:p>
        </w:tc>
        <w:tc>
          <w:tcPr>
            <w:tcW w:w="9360" w:type="dxa"/>
            <w:vAlign w:val="bottom"/>
            <w:gridSpan w:val="22"/>
          </w:tcPr>
          <w:p>
            <w:pPr>
              <w:spacing w:after="0"/>
              <w:rPr>
                <w:rFonts w:ascii="Arial" w:cs="Arial" w:eastAsia="Arial" w:hAnsi="Arial"/>
                <w:sz w:val="18"/>
                <w:szCs w:val="18"/>
                <w:b w:val="1"/>
                <w:bCs w:val="1"/>
                <w:color w:val="0000EE"/>
                <w:w w:val="88"/>
              </w:rPr>
            </w:pPr>
            <w:hyperlink w:anchor="page5">
              <w:r>
                <w:rPr>
                  <w:rFonts w:ascii="Arial" w:cs="Arial" w:eastAsia="Arial" w:hAnsi="Arial"/>
                  <w:sz w:val="18"/>
                  <w:szCs w:val="18"/>
                  <w:b w:val="1"/>
                  <w:bCs w:val="1"/>
                  <w:color w:val="0000EE"/>
                  <w:w w:val="88"/>
                </w:rPr>
                <w:t>Consolidated Statement of Comprehensive Income (Loss) (unaudited) for the Three and Nine Months Ended September 30,</w:t>
              </w:r>
            </w:hyperlink>
          </w:p>
        </w:tc>
        <w:tc>
          <w:tcPr>
            <w:tcW w:w="500" w:type="dxa"/>
            <w:vAlign w:val="bottom"/>
          </w:tcPr>
          <w:p>
            <w:pPr>
              <w:spacing w:after="0"/>
              <w:rPr>
                <w:sz w:val="24"/>
                <w:szCs w:val="24"/>
                <w:color w:val="auto"/>
              </w:rPr>
            </w:pPr>
          </w:p>
        </w:tc>
      </w:tr>
      <w:tr>
        <w:trPr>
          <w:trHeight w:val="196"/>
        </w:trPr>
        <w:tc>
          <w:tcPr>
            <w:tcW w:w="146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9020" w:type="dxa"/>
            <w:vAlign w:val="bottom"/>
            <w:tcBorders>
              <w:top w:val="single" w:sz="8" w:color="0000EE"/>
            </w:tcBorders>
            <w:gridSpan w:val="20"/>
          </w:tcPr>
          <w:p>
            <w:pPr>
              <w:spacing w:after="0" w:line="196" w:lineRule="exact"/>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2012 and 2011</w:t>
              </w:r>
            </w:hyperlink>
          </w:p>
        </w:tc>
        <w:tc>
          <w:tcPr>
            <w:tcW w:w="120" w:type="dxa"/>
            <w:vAlign w:val="bottom"/>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1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04"/>
        </w:trPr>
        <w:tc>
          <w:tcPr>
            <w:tcW w:w="1460" w:type="dxa"/>
            <w:vAlign w:val="bottom"/>
          </w:tcPr>
          <w:p>
            <w:pPr>
              <w:spacing w:after="0"/>
              <w:rPr>
                <w:sz w:val="24"/>
                <w:szCs w:val="24"/>
                <w:color w:val="auto"/>
              </w:rPr>
            </w:pPr>
          </w:p>
        </w:tc>
        <w:tc>
          <w:tcPr>
            <w:tcW w:w="9360" w:type="dxa"/>
            <w:vAlign w:val="bottom"/>
            <w:gridSpan w:val="22"/>
          </w:tcPr>
          <w:p>
            <w:pPr>
              <w:spacing w:after="0"/>
              <w:rPr>
                <w:rFonts w:ascii="Arial" w:cs="Arial" w:eastAsia="Arial" w:hAnsi="Arial"/>
                <w:sz w:val="18"/>
                <w:szCs w:val="18"/>
                <w:b w:val="1"/>
                <w:bCs w:val="1"/>
                <w:color w:val="0000EE"/>
                <w:w w:val="93"/>
              </w:rPr>
            </w:pPr>
            <w:hyperlink w:anchor="page6">
              <w:r>
                <w:rPr>
                  <w:rFonts w:ascii="Arial" w:cs="Arial" w:eastAsia="Arial" w:hAnsi="Arial"/>
                  <w:sz w:val="18"/>
                  <w:szCs w:val="18"/>
                  <w:b w:val="1"/>
                  <w:bCs w:val="1"/>
                  <w:color w:val="0000EE"/>
                  <w:w w:val="93"/>
                </w:rPr>
                <w:t>Consolidated Balance Sheet at September 30, 2012 (unaudited), December 31, 2011 (audited) and September 30, 2011</w:t>
              </w:r>
            </w:hyperlink>
          </w:p>
        </w:tc>
        <w:tc>
          <w:tcPr>
            <w:tcW w:w="500" w:type="dxa"/>
            <w:vAlign w:val="bottom"/>
          </w:tcPr>
          <w:p>
            <w:pPr>
              <w:spacing w:after="0"/>
              <w:rPr>
                <w:sz w:val="24"/>
                <w:szCs w:val="24"/>
                <w:color w:val="auto"/>
              </w:rPr>
            </w:pPr>
          </w:p>
        </w:tc>
      </w:tr>
      <w:tr>
        <w:trPr>
          <w:trHeight w:val="196"/>
        </w:trPr>
        <w:tc>
          <w:tcPr>
            <w:tcW w:w="146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580" w:type="dxa"/>
            <w:vAlign w:val="bottom"/>
            <w:tcBorders>
              <w:top w:val="single" w:sz="8" w:color="0000EE"/>
            </w:tcBorders>
            <w:gridSpan w:val="18"/>
          </w:tcPr>
          <w:p>
            <w:pPr>
              <w:spacing w:after="0" w:line="196" w:lineRule="exact"/>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(unaudited)</w:t>
              </w:r>
            </w:hyperlink>
          </w:p>
        </w:tc>
        <w:tc>
          <w:tcPr>
            <w:tcW w:w="560" w:type="dxa"/>
            <w:vAlign w:val="bottom"/>
            <w:gridSpan w:val="3"/>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20"/>
        </w:trPr>
        <w:tc>
          <w:tcPr>
            <w:tcW w:w="1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04"/>
        </w:trPr>
        <w:tc>
          <w:tcPr>
            <w:tcW w:w="1460" w:type="dxa"/>
            <w:vAlign w:val="bottom"/>
          </w:tcPr>
          <w:p>
            <w:pPr>
              <w:spacing w:after="0"/>
              <w:rPr>
                <w:sz w:val="24"/>
                <w:szCs w:val="24"/>
                <w:color w:val="auto"/>
              </w:rPr>
            </w:pPr>
          </w:p>
        </w:tc>
        <w:tc>
          <w:tcPr>
            <w:tcW w:w="9360" w:type="dxa"/>
            <w:vAlign w:val="bottom"/>
            <w:tcBorders>
              <w:bottom w:val="single" w:sz="8" w:color="0000EE"/>
            </w:tcBorders>
            <w:gridSpan w:val="22"/>
          </w:tcPr>
          <w:p>
            <w:pPr>
              <w:spacing w:after="0"/>
              <w:rPr>
                <w:rFonts w:ascii="Arial" w:cs="Arial" w:eastAsia="Arial" w:hAnsi="Arial"/>
                <w:sz w:val="18"/>
                <w:szCs w:val="18"/>
                <w:b w:val="1"/>
                <w:bCs w:val="1"/>
                <w:color w:val="0000EE"/>
                <w:w w:val="87"/>
              </w:rPr>
            </w:pPr>
            <w:hyperlink w:anchor="page7">
              <w:r>
                <w:rPr>
                  <w:rFonts w:ascii="Arial" w:cs="Arial" w:eastAsia="Arial" w:hAnsi="Arial"/>
                  <w:sz w:val="18"/>
                  <w:szCs w:val="18"/>
                  <w:b w:val="1"/>
                  <w:bCs w:val="1"/>
                  <w:color w:val="0000EE"/>
                  <w:w w:val="87"/>
                </w:rPr>
                <w:t>Consolidated Statement of Changes in Shareholders’ Equity (unaudited) for the Nine Months Ended September 30, 2012 and</w:t>
              </w:r>
            </w:hyperlink>
          </w:p>
        </w:tc>
        <w:tc>
          <w:tcPr>
            <w:tcW w:w="500" w:type="dxa"/>
            <w:vAlign w:val="bottom"/>
          </w:tcPr>
          <w:p>
            <w:pPr>
              <w:spacing w:after="0"/>
              <w:rPr>
                <w:sz w:val="24"/>
                <w:szCs w:val="24"/>
                <w:color w:val="auto"/>
              </w:rPr>
            </w:pPr>
          </w:p>
        </w:tc>
      </w:tr>
      <w:tr>
        <w:trPr>
          <w:trHeight w:val="196"/>
        </w:trPr>
        <w:tc>
          <w:tcPr>
            <w:tcW w:w="1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Borders>
              <w:bottom w:val="single" w:sz="8" w:color="0000EE"/>
            </w:tcBorders>
          </w:tcPr>
          <w:p>
            <w:pPr>
              <w:spacing w:after="0" w:line="196" w:lineRule="exact"/>
              <w:rPr>
                <w:rFonts w:ascii="Arial" w:cs="Arial" w:eastAsia="Arial" w:hAnsi="Arial"/>
                <w:sz w:val="18"/>
                <w:szCs w:val="18"/>
                <w:b w:val="1"/>
                <w:bCs w:val="1"/>
                <w:color w:val="0000EE"/>
                <w:w w:val="79"/>
              </w:rPr>
            </w:pPr>
            <w:hyperlink w:anchor="page7">
              <w:r>
                <w:rPr>
                  <w:rFonts w:ascii="Arial" w:cs="Arial" w:eastAsia="Arial" w:hAnsi="Arial"/>
                  <w:sz w:val="18"/>
                  <w:szCs w:val="18"/>
                  <w:b w:val="1"/>
                  <w:bCs w:val="1"/>
                  <w:color w:val="0000EE"/>
                  <w:w w:val="79"/>
                </w:rPr>
                <w:t>2011</w:t>
              </w:r>
            </w:hyperlink>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304"/>
        </w:trPr>
        <w:tc>
          <w:tcPr>
            <w:tcW w:w="1460" w:type="dxa"/>
            <w:vAlign w:val="bottom"/>
          </w:tcPr>
          <w:p>
            <w:pPr>
              <w:spacing w:after="0"/>
              <w:rPr>
                <w:sz w:val="24"/>
                <w:szCs w:val="24"/>
                <w:color w:val="auto"/>
              </w:rPr>
            </w:pPr>
          </w:p>
        </w:tc>
        <w:tc>
          <w:tcPr>
            <w:tcW w:w="8180" w:type="dxa"/>
            <w:vAlign w:val="bottom"/>
            <w:tcBorders>
              <w:bottom w:val="single" w:sz="8" w:color="0000EE"/>
            </w:tcBorders>
            <w:gridSpan w:val="18"/>
          </w:tcPr>
          <w:p>
            <w:pPr>
              <w:spacing w:after="0"/>
              <w:rPr>
                <w:rFonts w:ascii="Arial" w:cs="Arial" w:eastAsia="Arial" w:hAnsi="Arial"/>
                <w:sz w:val="18"/>
                <w:szCs w:val="18"/>
                <w:b w:val="1"/>
                <w:bCs w:val="1"/>
                <w:color w:val="0000EE"/>
                <w:w w:val="88"/>
              </w:rPr>
            </w:pPr>
            <w:hyperlink w:anchor="page9">
              <w:r>
                <w:rPr>
                  <w:rFonts w:ascii="Arial" w:cs="Arial" w:eastAsia="Arial" w:hAnsi="Arial"/>
                  <w:sz w:val="18"/>
                  <w:szCs w:val="18"/>
                  <w:b w:val="1"/>
                  <w:bCs w:val="1"/>
                  <w:color w:val="0000EE"/>
                  <w:w w:val="88"/>
                </w:rPr>
                <w:t>Consolidated Statement of Cash Flows (unaudited) for the Nine Months Ended September 30, 2012 and 2011</w:t>
              </w:r>
            </w:hyperlink>
          </w:p>
        </w:tc>
        <w:tc>
          <w:tcPr>
            <w:tcW w:w="1180" w:type="dxa"/>
            <w:vAlign w:val="bottom"/>
            <w:gridSpan w:val="4"/>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04"/>
        </w:trPr>
        <w:tc>
          <w:tcPr>
            <w:tcW w:w="1460" w:type="dxa"/>
            <w:vAlign w:val="bottom"/>
          </w:tcPr>
          <w:p>
            <w:pPr>
              <w:spacing w:after="0"/>
              <w:rPr>
                <w:sz w:val="24"/>
                <w:szCs w:val="24"/>
                <w:color w:val="auto"/>
              </w:rPr>
            </w:pPr>
          </w:p>
        </w:tc>
        <w:tc>
          <w:tcPr>
            <w:tcW w:w="9360" w:type="dxa"/>
            <w:vAlign w:val="bottom"/>
            <w:gridSpan w:val="22"/>
          </w:tcPr>
          <w:p>
            <w:pPr>
              <w:spacing w:after="0"/>
              <w:rPr>
                <w:rFonts w:ascii="Arial" w:cs="Arial" w:eastAsia="Arial" w:hAnsi="Arial"/>
                <w:sz w:val="18"/>
                <w:szCs w:val="18"/>
                <w:b w:val="1"/>
                <w:bCs w:val="1"/>
                <w:color w:val="0000EE"/>
              </w:rPr>
            </w:pPr>
            <w:hyperlink w:anchor="page10">
              <w:r>
                <w:rPr>
                  <w:rFonts w:ascii="Arial" w:cs="Arial" w:eastAsia="Arial" w:hAnsi="Arial"/>
                  <w:sz w:val="18"/>
                  <w:szCs w:val="18"/>
                  <w:b w:val="1"/>
                  <w:bCs w:val="1"/>
                  <w:color w:val="0000EE"/>
                </w:rPr>
                <w:t>Notes to Consolidated Financial Statements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0"/>
        </w:trPr>
        <w:tc>
          <w:tcPr>
            <w:tcW w:w="146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680" w:type="dxa"/>
            <w:vAlign w:val="bottom"/>
            <w:gridSpan w:val="5"/>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04"/>
        </w:trPr>
        <w:tc>
          <w:tcPr>
            <w:tcW w:w="1460" w:type="dxa"/>
            <w:vAlign w:val="bottom"/>
          </w:tcPr>
          <w:p>
            <w:pPr>
              <w:ind w:left="540"/>
              <w:spacing w:after="0"/>
              <w:rPr>
                <w:sz w:val="20"/>
                <w:szCs w:val="20"/>
                <w:color w:val="auto"/>
              </w:rPr>
            </w:pPr>
            <w:r>
              <w:rPr>
                <w:rFonts w:ascii="Arial" w:cs="Arial" w:eastAsia="Arial" w:hAnsi="Arial"/>
                <w:sz w:val="18"/>
                <w:szCs w:val="18"/>
                <w:b w:val="1"/>
                <w:bCs w:val="1"/>
                <w:color w:val="auto"/>
              </w:rPr>
              <w:t>Item 2.</w:t>
            </w:r>
          </w:p>
        </w:tc>
        <w:tc>
          <w:tcPr>
            <w:tcW w:w="6680" w:type="dxa"/>
            <w:vAlign w:val="bottom"/>
            <w:tcBorders>
              <w:bottom w:val="single" w:sz="8" w:color="0000EE"/>
            </w:tcBorders>
            <w:gridSpan w:val="17"/>
          </w:tcPr>
          <w:p>
            <w:pPr>
              <w:spacing w:after="0"/>
              <w:rPr>
                <w:rFonts w:ascii="Arial" w:cs="Arial" w:eastAsia="Arial" w:hAnsi="Arial"/>
                <w:sz w:val="18"/>
                <w:szCs w:val="18"/>
                <w:b w:val="1"/>
                <w:bCs w:val="1"/>
                <w:color w:val="0000EE"/>
                <w:w w:val="87"/>
              </w:rPr>
            </w:pPr>
            <w:hyperlink w:anchor="page33">
              <w:r>
                <w:rPr>
                  <w:rFonts w:ascii="Arial" w:cs="Arial" w:eastAsia="Arial" w:hAnsi="Arial"/>
                  <w:sz w:val="18"/>
                  <w:szCs w:val="18"/>
                  <w:b w:val="1"/>
                  <w:bCs w:val="1"/>
                  <w:color w:val="0000EE"/>
                  <w:w w:val="87"/>
                </w:rPr>
                <w:t>Management’s Discussion and Analysis of Financial Condition and Results of Operations</w:t>
              </w:r>
            </w:hyperlink>
          </w:p>
        </w:tc>
        <w:tc>
          <w:tcPr>
            <w:tcW w:w="2680" w:type="dxa"/>
            <w:vAlign w:val="bottom"/>
            <w:gridSpan w:val="5"/>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04"/>
        </w:trPr>
        <w:tc>
          <w:tcPr>
            <w:tcW w:w="1460" w:type="dxa"/>
            <w:vAlign w:val="bottom"/>
          </w:tcPr>
          <w:p>
            <w:pPr>
              <w:ind w:left="540"/>
              <w:spacing w:after="0"/>
              <w:rPr>
                <w:sz w:val="20"/>
                <w:szCs w:val="20"/>
                <w:color w:val="auto"/>
              </w:rPr>
            </w:pPr>
            <w:r>
              <w:rPr>
                <w:rFonts w:ascii="Arial" w:cs="Arial" w:eastAsia="Arial" w:hAnsi="Arial"/>
                <w:sz w:val="18"/>
                <w:szCs w:val="18"/>
                <w:b w:val="1"/>
                <w:bCs w:val="1"/>
                <w:color w:val="auto"/>
              </w:rPr>
              <w:t>Item 3.</w:t>
            </w:r>
          </w:p>
        </w:tc>
        <w:tc>
          <w:tcPr>
            <w:tcW w:w="4560" w:type="dxa"/>
            <w:vAlign w:val="bottom"/>
            <w:tcBorders>
              <w:bottom w:val="single" w:sz="8" w:color="0000EE"/>
            </w:tcBorders>
            <w:gridSpan w:val="16"/>
          </w:tcPr>
          <w:p>
            <w:pPr>
              <w:spacing w:after="0"/>
              <w:rPr>
                <w:rFonts w:ascii="Arial" w:cs="Arial" w:eastAsia="Arial" w:hAnsi="Arial"/>
                <w:sz w:val="18"/>
                <w:szCs w:val="18"/>
                <w:b w:val="1"/>
                <w:bCs w:val="1"/>
                <w:color w:val="0000EE"/>
                <w:w w:val="89"/>
              </w:rPr>
            </w:pPr>
            <w:hyperlink w:anchor="page58">
              <w:r>
                <w:rPr>
                  <w:rFonts w:ascii="Arial" w:cs="Arial" w:eastAsia="Arial" w:hAnsi="Arial"/>
                  <w:sz w:val="18"/>
                  <w:szCs w:val="18"/>
                  <w:b w:val="1"/>
                  <w:bCs w:val="1"/>
                  <w:color w:val="0000EE"/>
                  <w:w w:val="89"/>
                </w:rPr>
                <w:t>Quantitative and Qualitative Disclosures About Market Risk</w:t>
              </w:r>
            </w:hyperlink>
          </w:p>
        </w:tc>
        <w:tc>
          <w:tcPr>
            <w:tcW w:w="4800" w:type="dxa"/>
            <w:vAlign w:val="bottom"/>
            <w:gridSpan w:val="6"/>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304"/>
        </w:trPr>
        <w:tc>
          <w:tcPr>
            <w:tcW w:w="1460" w:type="dxa"/>
            <w:vAlign w:val="bottom"/>
          </w:tcPr>
          <w:p>
            <w:pPr>
              <w:ind w:left="540"/>
              <w:spacing w:after="0"/>
              <w:rPr>
                <w:sz w:val="20"/>
                <w:szCs w:val="20"/>
                <w:color w:val="auto"/>
              </w:rPr>
            </w:pPr>
            <w:r>
              <w:rPr>
                <w:rFonts w:ascii="Arial" w:cs="Arial" w:eastAsia="Arial" w:hAnsi="Arial"/>
                <w:sz w:val="18"/>
                <w:szCs w:val="18"/>
                <w:b w:val="1"/>
                <w:bCs w:val="1"/>
                <w:color w:val="auto"/>
              </w:rPr>
              <w:t>Item 4.</w:t>
            </w:r>
          </w:p>
        </w:tc>
        <w:tc>
          <w:tcPr>
            <w:tcW w:w="9360" w:type="dxa"/>
            <w:vAlign w:val="bottom"/>
            <w:gridSpan w:val="22"/>
          </w:tcPr>
          <w:p>
            <w:pPr>
              <w:spacing w:after="0"/>
              <w:rPr>
                <w:rFonts w:ascii="Arial" w:cs="Arial" w:eastAsia="Arial" w:hAnsi="Arial"/>
                <w:sz w:val="18"/>
                <w:szCs w:val="18"/>
                <w:b w:val="1"/>
                <w:bCs w:val="1"/>
                <w:color w:val="0000EE"/>
              </w:rPr>
            </w:pPr>
            <w:hyperlink w:anchor="page58">
              <w:r>
                <w:rPr>
                  <w:rFonts w:ascii="Arial" w:cs="Arial" w:eastAsia="Arial" w:hAnsi="Arial"/>
                  <w:sz w:val="18"/>
                  <w:szCs w:val="18"/>
                  <w:b w:val="1"/>
                  <w:bCs w:val="1"/>
                  <w:color w:val="0000EE"/>
                </w:rPr>
                <w:t>Controls and Procedures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0"/>
        </w:trPr>
        <w:tc>
          <w:tcPr>
            <w:tcW w:w="146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gridSpan w:val="2"/>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4900" w:type="dxa"/>
            <w:vAlign w:val="bottom"/>
            <w:gridSpan w:val="7"/>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04"/>
        </w:trPr>
        <w:tc>
          <w:tcPr>
            <w:tcW w:w="10820" w:type="dxa"/>
            <w:vAlign w:val="bottom"/>
            <w:gridSpan w:val="23"/>
          </w:tcPr>
          <w:p>
            <w:pPr>
              <w:spacing w:after="0"/>
              <w:rPr>
                <w:rFonts w:ascii="Arial" w:cs="Arial" w:eastAsia="Arial" w:hAnsi="Arial"/>
                <w:sz w:val="18"/>
                <w:szCs w:val="18"/>
                <w:b w:val="1"/>
                <w:bCs w:val="1"/>
                <w:color w:val="0000EE"/>
              </w:rPr>
            </w:pPr>
            <w:hyperlink w:anchor="page59">
              <w:r>
                <w:rPr>
                  <w:rFonts w:ascii="Arial" w:cs="Arial" w:eastAsia="Arial" w:hAnsi="Arial"/>
                  <w:sz w:val="18"/>
                  <w:szCs w:val="18"/>
                  <w:b w:val="1"/>
                  <w:bCs w:val="1"/>
                  <w:color w:val="0000EE"/>
                </w:rPr>
                <w:t>PART II - Other Information</w:t>
              </w:r>
            </w:hyperlink>
          </w:p>
        </w:tc>
        <w:tc>
          <w:tcPr>
            <w:tcW w:w="500" w:type="dxa"/>
            <w:vAlign w:val="bottom"/>
          </w:tcPr>
          <w:p>
            <w:pPr>
              <w:spacing w:after="0"/>
              <w:rPr>
                <w:sz w:val="24"/>
                <w:szCs w:val="24"/>
                <w:color w:val="auto"/>
              </w:rPr>
            </w:pPr>
          </w:p>
        </w:tc>
      </w:tr>
      <w:tr>
        <w:trPr>
          <w:trHeight w:val="20"/>
        </w:trPr>
        <w:tc>
          <w:tcPr>
            <w:tcW w:w="1460" w:type="dxa"/>
            <w:vAlign w:val="bottom"/>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4900" w:type="dxa"/>
            <w:vAlign w:val="bottom"/>
            <w:gridSpan w:val="7"/>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04"/>
        </w:trPr>
        <w:tc>
          <w:tcPr>
            <w:tcW w:w="1460" w:type="dxa"/>
            <w:vAlign w:val="bottom"/>
          </w:tcPr>
          <w:p>
            <w:pPr>
              <w:ind w:left="540"/>
              <w:spacing w:after="0"/>
              <w:rPr>
                <w:sz w:val="20"/>
                <w:szCs w:val="20"/>
                <w:color w:val="auto"/>
              </w:rPr>
            </w:pPr>
            <w:r>
              <w:rPr>
                <w:rFonts w:ascii="Arial" w:cs="Arial" w:eastAsia="Arial" w:hAnsi="Arial"/>
                <w:sz w:val="18"/>
                <w:szCs w:val="18"/>
                <w:b w:val="1"/>
                <w:bCs w:val="1"/>
                <w:color w:val="auto"/>
              </w:rPr>
              <w:t>Item 1.</w:t>
            </w:r>
          </w:p>
        </w:tc>
        <w:tc>
          <w:tcPr>
            <w:tcW w:w="1380" w:type="dxa"/>
            <w:vAlign w:val="bottom"/>
            <w:tcBorders>
              <w:bottom w:val="single" w:sz="8" w:color="0000EE"/>
            </w:tcBorders>
            <w:gridSpan w:val="9"/>
          </w:tcPr>
          <w:p>
            <w:pPr>
              <w:spacing w:after="0"/>
              <w:rPr>
                <w:rFonts w:ascii="Arial" w:cs="Arial" w:eastAsia="Arial" w:hAnsi="Arial"/>
                <w:sz w:val="18"/>
                <w:szCs w:val="18"/>
                <w:b w:val="1"/>
                <w:bCs w:val="1"/>
                <w:color w:val="0000EE"/>
                <w:w w:val="84"/>
              </w:rPr>
            </w:pPr>
            <w:hyperlink w:anchor="page59">
              <w:r>
                <w:rPr>
                  <w:rFonts w:ascii="Arial" w:cs="Arial" w:eastAsia="Arial" w:hAnsi="Arial"/>
                  <w:sz w:val="18"/>
                  <w:szCs w:val="18"/>
                  <w:b w:val="1"/>
                  <w:bCs w:val="1"/>
                  <w:color w:val="0000EE"/>
                  <w:w w:val="84"/>
                </w:rPr>
                <w:t>Legal Proceedings</w:t>
              </w:r>
            </w:hyperlink>
          </w:p>
        </w:tc>
        <w:tc>
          <w:tcPr>
            <w:tcW w:w="7980" w:type="dxa"/>
            <w:vAlign w:val="bottom"/>
            <w:gridSpan w:val="13"/>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304"/>
        </w:trPr>
        <w:tc>
          <w:tcPr>
            <w:tcW w:w="1460" w:type="dxa"/>
            <w:vAlign w:val="bottom"/>
          </w:tcPr>
          <w:p>
            <w:pPr>
              <w:ind w:left="540"/>
              <w:spacing w:after="0"/>
              <w:rPr>
                <w:sz w:val="20"/>
                <w:szCs w:val="20"/>
                <w:color w:val="auto"/>
              </w:rPr>
            </w:pPr>
            <w:r>
              <w:rPr>
                <w:rFonts w:ascii="Arial" w:cs="Arial" w:eastAsia="Arial" w:hAnsi="Arial"/>
                <w:sz w:val="18"/>
                <w:szCs w:val="18"/>
                <w:b w:val="1"/>
                <w:bCs w:val="1"/>
                <w:color w:val="auto"/>
              </w:rPr>
              <w:t>Item 1A.</w:t>
            </w:r>
          </w:p>
        </w:tc>
        <w:tc>
          <w:tcPr>
            <w:tcW w:w="960" w:type="dxa"/>
            <w:vAlign w:val="bottom"/>
            <w:tcBorders>
              <w:bottom w:val="single" w:sz="8" w:color="0000EE"/>
            </w:tcBorders>
            <w:gridSpan w:val="6"/>
          </w:tcPr>
          <w:p>
            <w:pPr>
              <w:spacing w:after="0"/>
              <w:rPr>
                <w:rFonts w:ascii="Arial" w:cs="Arial" w:eastAsia="Arial" w:hAnsi="Arial"/>
                <w:sz w:val="18"/>
                <w:szCs w:val="18"/>
                <w:b w:val="1"/>
                <w:bCs w:val="1"/>
                <w:color w:val="0000EE"/>
                <w:w w:val="86"/>
              </w:rPr>
            </w:pPr>
            <w:hyperlink w:anchor="page59">
              <w:r>
                <w:rPr>
                  <w:rFonts w:ascii="Arial" w:cs="Arial" w:eastAsia="Arial" w:hAnsi="Arial"/>
                  <w:sz w:val="18"/>
                  <w:szCs w:val="18"/>
                  <w:b w:val="1"/>
                  <w:bCs w:val="1"/>
                  <w:color w:val="0000EE"/>
                  <w:w w:val="86"/>
                </w:rPr>
                <w:t>Risk Factors</w:t>
              </w:r>
            </w:hyperlink>
          </w:p>
        </w:tc>
        <w:tc>
          <w:tcPr>
            <w:tcW w:w="8400" w:type="dxa"/>
            <w:vAlign w:val="bottom"/>
            <w:gridSpan w:val="16"/>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304"/>
        </w:trPr>
        <w:tc>
          <w:tcPr>
            <w:tcW w:w="1460" w:type="dxa"/>
            <w:vAlign w:val="bottom"/>
          </w:tcPr>
          <w:p>
            <w:pPr>
              <w:ind w:left="540"/>
              <w:spacing w:after="0"/>
              <w:rPr>
                <w:sz w:val="20"/>
                <w:szCs w:val="20"/>
                <w:color w:val="auto"/>
              </w:rPr>
            </w:pPr>
            <w:r>
              <w:rPr>
                <w:rFonts w:ascii="Arial" w:cs="Arial" w:eastAsia="Arial" w:hAnsi="Arial"/>
                <w:sz w:val="18"/>
                <w:szCs w:val="18"/>
                <w:b w:val="1"/>
                <w:bCs w:val="1"/>
                <w:color w:val="auto"/>
              </w:rPr>
              <w:t>Item 2.</w:t>
            </w:r>
          </w:p>
        </w:tc>
        <w:tc>
          <w:tcPr>
            <w:tcW w:w="9360" w:type="dxa"/>
            <w:vAlign w:val="bottom"/>
            <w:gridSpan w:val="22"/>
          </w:tcPr>
          <w:p>
            <w:pPr>
              <w:spacing w:after="0"/>
              <w:rPr>
                <w:rFonts w:ascii="Arial" w:cs="Arial" w:eastAsia="Arial" w:hAnsi="Arial"/>
                <w:sz w:val="18"/>
                <w:szCs w:val="18"/>
                <w:b w:val="1"/>
                <w:bCs w:val="1"/>
                <w:color w:val="0000EE"/>
              </w:rPr>
            </w:pPr>
            <w:hyperlink w:anchor="page59">
              <w:r>
                <w:rPr>
                  <w:rFonts w:ascii="Arial" w:cs="Arial" w:eastAsia="Arial" w:hAnsi="Arial"/>
                  <w:sz w:val="18"/>
                  <w:szCs w:val="18"/>
                  <w:b w:val="1"/>
                  <w:bCs w:val="1"/>
                  <w:color w:val="0000EE"/>
                </w:rPr>
                <w:t>Unregistered Sales of Equity Securities and Use of Proceeds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304"/>
        </w:trPr>
        <w:tc>
          <w:tcPr>
            <w:tcW w:w="1460" w:type="dxa"/>
            <w:vAlign w:val="bottom"/>
          </w:tcPr>
          <w:p>
            <w:pPr>
              <w:ind w:left="540"/>
              <w:spacing w:after="0"/>
              <w:rPr>
                <w:sz w:val="20"/>
                <w:szCs w:val="20"/>
                <w:color w:val="auto"/>
              </w:rPr>
            </w:pPr>
            <w:r>
              <w:rPr>
                <w:rFonts w:ascii="Arial" w:cs="Arial" w:eastAsia="Arial" w:hAnsi="Arial"/>
                <w:sz w:val="18"/>
                <w:szCs w:val="18"/>
                <w:b w:val="1"/>
                <w:bCs w:val="1"/>
                <w:color w:val="auto"/>
              </w:rPr>
              <w:t>Item 3.</w:t>
            </w:r>
          </w:p>
        </w:tc>
        <w:tc>
          <w:tcPr>
            <w:tcW w:w="2400" w:type="dxa"/>
            <w:vAlign w:val="bottom"/>
            <w:tcBorders>
              <w:top w:val="single" w:sz="8" w:color="0000EE"/>
              <w:bottom w:val="single" w:sz="8" w:color="0000EE"/>
            </w:tcBorders>
            <w:gridSpan w:val="13"/>
          </w:tcPr>
          <w:p>
            <w:pPr>
              <w:spacing w:after="0"/>
              <w:rPr>
                <w:rFonts w:ascii="Arial" w:cs="Arial" w:eastAsia="Arial" w:hAnsi="Arial"/>
                <w:sz w:val="18"/>
                <w:szCs w:val="18"/>
                <w:b w:val="1"/>
                <w:bCs w:val="1"/>
                <w:color w:val="0000EE"/>
                <w:w w:val="86"/>
              </w:rPr>
            </w:pPr>
            <w:hyperlink w:anchor="page59">
              <w:r>
                <w:rPr>
                  <w:rFonts w:ascii="Arial" w:cs="Arial" w:eastAsia="Arial" w:hAnsi="Arial"/>
                  <w:sz w:val="18"/>
                  <w:szCs w:val="18"/>
                  <w:b w:val="1"/>
                  <w:bCs w:val="1"/>
                  <w:color w:val="0000EE"/>
                  <w:w w:val="86"/>
                </w:rPr>
                <w:t>Defaults Upon Senior Securities</w:t>
              </w:r>
            </w:hyperlink>
          </w:p>
        </w:tc>
        <w:tc>
          <w:tcPr>
            <w:tcW w:w="2060" w:type="dxa"/>
            <w:vAlign w:val="bottom"/>
            <w:tcBorders>
              <w:top w:val="single" w:sz="8" w:color="0000EE"/>
            </w:tcBorders>
            <w:gridSpan w:val="2"/>
          </w:tcPr>
          <w:p>
            <w:pPr>
              <w:spacing w:after="0"/>
              <w:rPr>
                <w:sz w:val="24"/>
                <w:szCs w:val="24"/>
                <w:color w:val="auto"/>
              </w:rPr>
            </w:pPr>
          </w:p>
        </w:tc>
        <w:tc>
          <w:tcPr>
            <w:tcW w:w="4900" w:type="dxa"/>
            <w:vAlign w:val="bottom"/>
            <w:gridSpan w:val="7"/>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304"/>
        </w:trPr>
        <w:tc>
          <w:tcPr>
            <w:tcW w:w="1460" w:type="dxa"/>
            <w:vAlign w:val="bottom"/>
          </w:tcPr>
          <w:p>
            <w:pPr>
              <w:ind w:left="540"/>
              <w:spacing w:after="0"/>
              <w:rPr>
                <w:sz w:val="20"/>
                <w:szCs w:val="20"/>
                <w:color w:val="auto"/>
              </w:rPr>
            </w:pPr>
            <w:r>
              <w:rPr>
                <w:rFonts w:ascii="Arial" w:cs="Arial" w:eastAsia="Arial" w:hAnsi="Arial"/>
                <w:sz w:val="18"/>
                <w:szCs w:val="18"/>
                <w:b w:val="1"/>
                <w:bCs w:val="1"/>
                <w:color w:val="auto"/>
              </w:rPr>
              <w:t>Item 4.</w:t>
            </w:r>
          </w:p>
        </w:tc>
        <w:tc>
          <w:tcPr>
            <w:tcW w:w="1860" w:type="dxa"/>
            <w:vAlign w:val="bottom"/>
            <w:tcBorders>
              <w:bottom w:val="single" w:sz="8" w:color="0000EE"/>
            </w:tcBorders>
            <w:gridSpan w:val="12"/>
          </w:tcPr>
          <w:p>
            <w:pPr>
              <w:spacing w:after="0"/>
              <w:rPr>
                <w:rFonts w:ascii="Arial" w:cs="Arial" w:eastAsia="Arial" w:hAnsi="Arial"/>
                <w:sz w:val="18"/>
                <w:szCs w:val="18"/>
                <w:b w:val="1"/>
                <w:bCs w:val="1"/>
                <w:color w:val="0000EE"/>
                <w:w w:val="87"/>
              </w:rPr>
            </w:pPr>
            <w:hyperlink w:anchor="page59">
              <w:r>
                <w:rPr>
                  <w:rFonts w:ascii="Arial" w:cs="Arial" w:eastAsia="Arial" w:hAnsi="Arial"/>
                  <w:sz w:val="18"/>
                  <w:szCs w:val="18"/>
                  <w:b w:val="1"/>
                  <w:bCs w:val="1"/>
                  <w:color w:val="0000EE"/>
                  <w:w w:val="87"/>
                </w:rPr>
                <w:t>Mine Safety Disclosures</w:t>
              </w:r>
            </w:hyperlink>
          </w:p>
        </w:tc>
        <w:tc>
          <w:tcPr>
            <w:tcW w:w="7500" w:type="dxa"/>
            <w:vAlign w:val="bottom"/>
            <w:gridSpan w:val="10"/>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304"/>
        </w:trPr>
        <w:tc>
          <w:tcPr>
            <w:tcW w:w="1460" w:type="dxa"/>
            <w:vAlign w:val="bottom"/>
          </w:tcPr>
          <w:p>
            <w:pPr>
              <w:ind w:left="540"/>
              <w:spacing w:after="0"/>
              <w:rPr>
                <w:sz w:val="20"/>
                <w:szCs w:val="20"/>
                <w:color w:val="auto"/>
              </w:rPr>
            </w:pPr>
            <w:r>
              <w:rPr>
                <w:rFonts w:ascii="Arial" w:cs="Arial" w:eastAsia="Arial" w:hAnsi="Arial"/>
                <w:sz w:val="18"/>
                <w:szCs w:val="18"/>
                <w:b w:val="1"/>
                <w:bCs w:val="1"/>
                <w:color w:val="auto"/>
              </w:rPr>
              <w:t>Item 5.</w:t>
            </w:r>
          </w:p>
        </w:tc>
        <w:tc>
          <w:tcPr>
            <w:tcW w:w="1420" w:type="dxa"/>
            <w:vAlign w:val="bottom"/>
            <w:tcBorders>
              <w:bottom w:val="single" w:sz="8" w:color="0000EE"/>
            </w:tcBorders>
            <w:gridSpan w:val="10"/>
          </w:tcPr>
          <w:p>
            <w:pPr>
              <w:spacing w:after="0"/>
              <w:rPr>
                <w:rFonts w:ascii="Arial" w:cs="Arial" w:eastAsia="Arial" w:hAnsi="Arial"/>
                <w:sz w:val="18"/>
                <w:szCs w:val="18"/>
                <w:b w:val="1"/>
                <w:bCs w:val="1"/>
                <w:color w:val="0000EE"/>
                <w:w w:val="92"/>
              </w:rPr>
            </w:pPr>
            <w:hyperlink w:anchor="page59">
              <w:r>
                <w:rPr>
                  <w:rFonts w:ascii="Arial" w:cs="Arial" w:eastAsia="Arial" w:hAnsi="Arial"/>
                  <w:sz w:val="18"/>
                  <w:szCs w:val="18"/>
                  <w:b w:val="1"/>
                  <w:bCs w:val="1"/>
                  <w:color w:val="0000EE"/>
                  <w:w w:val="92"/>
                </w:rPr>
                <w:t>Other Information</w:t>
              </w:r>
            </w:hyperlink>
          </w:p>
        </w:tc>
        <w:tc>
          <w:tcPr>
            <w:tcW w:w="7940" w:type="dxa"/>
            <w:vAlign w:val="bottom"/>
            <w:gridSpan w:val="12"/>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304"/>
        </w:trPr>
        <w:tc>
          <w:tcPr>
            <w:tcW w:w="1460" w:type="dxa"/>
            <w:vAlign w:val="bottom"/>
          </w:tcPr>
          <w:p>
            <w:pPr>
              <w:ind w:left="540"/>
              <w:spacing w:after="0"/>
              <w:rPr>
                <w:sz w:val="20"/>
                <w:szCs w:val="20"/>
                <w:color w:val="auto"/>
              </w:rPr>
            </w:pPr>
            <w:r>
              <w:rPr>
                <w:rFonts w:ascii="Arial" w:cs="Arial" w:eastAsia="Arial" w:hAnsi="Arial"/>
                <w:sz w:val="18"/>
                <w:szCs w:val="18"/>
                <w:b w:val="1"/>
                <w:bCs w:val="1"/>
                <w:color w:val="auto"/>
              </w:rPr>
              <w:t>Item 6.</w:t>
            </w:r>
          </w:p>
        </w:tc>
        <w:tc>
          <w:tcPr>
            <w:tcW w:w="640" w:type="dxa"/>
            <w:vAlign w:val="bottom"/>
            <w:tcBorders>
              <w:bottom w:val="single" w:sz="8" w:color="0000EE"/>
            </w:tcBorders>
            <w:gridSpan w:val="3"/>
          </w:tcPr>
          <w:p>
            <w:pPr>
              <w:spacing w:after="0"/>
              <w:rPr>
                <w:rFonts w:ascii="Arial" w:cs="Arial" w:eastAsia="Arial" w:hAnsi="Arial"/>
                <w:sz w:val="18"/>
                <w:szCs w:val="18"/>
                <w:b w:val="1"/>
                <w:bCs w:val="1"/>
                <w:color w:val="0000EE"/>
                <w:w w:val="88"/>
              </w:rPr>
            </w:pPr>
            <w:hyperlink w:anchor="page60">
              <w:r>
                <w:rPr>
                  <w:rFonts w:ascii="Arial" w:cs="Arial" w:eastAsia="Arial" w:hAnsi="Arial"/>
                  <w:sz w:val="18"/>
                  <w:szCs w:val="18"/>
                  <w:b w:val="1"/>
                  <w:bCs w:val="1"/>
                  <w:color w:val="0000EE"/>
                  <w:w w:val="88"/>
                </w:rPr>
                <w:t>Exhibits</w:t>
              </w:r>
            </w:hyperlink>
          </w:p>
        </w:tc>
        <w:tc>
          <w:tcPr>
            <w:tcW w:w="8720" w:type="dxa"/>
            <w:vAlign w:val="bottom"/>
            <w:gridSpan w:val="19"/>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383"/>
        </w:trPr>
        <w:tc>
          <w:tcPr>
            <w:tcW w:w="1460" w:type="dxa"/>
            <w:vAlign w:val="bottom"/>
          </w:tcPr>
          <w:p>
            <w:pPr>
              <w:spacing w:after="0"/>
              <w:rPr>
                <w:sz w:val="24"/>
                <w:szCs w:val="24"/>
                <w:color w:val="auto"/>
              </w:rPr>
            </w:pPr>
          </w:p>
        </w:tc>
        <w:tc>
          <w:tcPr>
            <w:tcW w:w="4460" w:type="dxa"/>
            <w:vAlign w:val="bottom"/>
            <w:gridSpan w:val="15"/>
          </w:tcPr>
          <w:p>
            <w:pPr>
              <w:ind w:left="422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 Financial Statements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COMMUNITY BANKS, INC.</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Consolidated Statement of Operations </w:t>
      </w:r>
      <w:r>
        <w:rPr>
          <w:rFonts w:ascii="Arial" w:cs="Arial" w:eastAsia="Arial" w:hAnsi="Arial"/>
          <w:sz w:val="18"/>
          <w:szCs w:val="18"/>
          <w:i w:val="1"/>
          <w:i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92"/>
              </w:rPr>
              <w:t>Three Months Ended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734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(in thousands, except per share data)</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9"/>
        </w:trPr>
        <w:tc>
          <w:tcPr>
            <w:tcW w:w="7340" w:type="dxa"/>
            <w:vAlign w:val="bottom"/>
            <w:gridSpan w:val="3"/>
            <w:vMerge w:val="continue"/>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4"/>
              <w:spacing w:after="0" w:line="129" w:lineRule="exact"/>
              <w:rPr>
                <w:sz w:val="20"/>
                <w:szCs w:val="20"/>
                <w:color w:val="auto"/>
              </w:rPr>
            </w:pPr>
            <w:r>
              <w:rPr>
                <w:rFonts w:ascii="Arial" w:cs="Arial" w:eastAsia="Arial" w:hAnsi="Arial"/>
                <w:sz w:val="14"/>
                <w:szCs w:val="14"/>
                <w:b w:val="1"/>
                <w:bCs w:val="1"/>
                <w:color w:val="auto"/>
              </w:rPr>
              <w:t>2012</w:t>
            </w: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13"/>
              <w:spacing w:after="0" w:line="129" w:lineRule="exact"/>
              <w:rPr>
                <w:sz w:val="20"/>
                <w:szCs w:val="20"/>
                <w:color w:val="auto"/>
              </w:rPr>
            </w:pPr>
            <w:r>
              <w:rPr>
                <w:rFonts w:ascii="Arial" w:cs="Arial" w:eastAsia="Arial" w:hAnsi="Arial"/>
                <w:sz w:val="14"/>
                <w:szCs w:val="14"/>
                <w:b w:val="1"/>
                <w:bCs w:val="1"/>
                <w:color w:val="auto"/>
              </w:rPr>
              <w:t>2011</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4"/>
              <w:spacing w:after="0" w:line="129" w:lineRule="exact"/>
              <w:rPr>
                <w:sz w:val="20"/>
                <w:szCs w:val="20"/>
                <w:color w:val="auto"/>
              </w:rPr>
            </w:pPr>
            <w:r>
              <w:rPr>
                <w:rFonts w:ascii="Arial" w:cs="Arial" w:eastAsia="Arial" w:hAnsi="Arial"/>
                <w:sz w:val="14"/>
                <w:szCs w:val="14"/>
                <w:b w:val="1"/>
                <w:bCs w:val="1"/>
                <w:color w:val="auto"/>
              </w:rPr>
              <w:t>2012</w:t>
            </w: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53"/>
              <w:spacing w:after="0" w:line="129"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10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Interest revenue:</w:t>
            </w:r>
          </w:p>
        </w:tc>
        <w:tc>
          <w:tcPr>
            <w:tcW w:w="522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tcPr>
          <w:p>
            <w:pPr>
              <w:ind w:left="420"/>
              <w:spacing w:after="0"/>
              <w:rPr>
                <w:sz w:val="20"/>
                <w:szCs w:val="20"/>
                <w:color w:val="auto"/>
              </w:rPr>
            </w:pPr>
            <w:r>
              <w:rPr>
                <w:rFonts w:ascii="Arial" w:cs="Arial" w:eastAsia="Arial" w:hAnsi="Arial"/>
                <w:sz w:val="18"/>
                <w:szCs w:val="18"/>
                <w:color w:val="auto"/>
              </w:rPr>
              <w:t>Loans, including fees</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53,868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59,294</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163,805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181,359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Investment securities, including tax exempt of $225, $244, $737 and $754</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10,706</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14,568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34,772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42,964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320" w:type="dxa"/>
            <w:vAlign w:val="bottom"/>
            <w:gridSpan w:val="2"/>
          </w:tcPr>
          <w:p>
            <w:pPr>
              <w:ind w:left="420"/>
              <w:spacing w:after="0"/>
              <w:rPr>
                <w:sz w:val="20"/>
                <w:szCs w:val="20"/>
                <w:color w:val="auto"/>
              </w:rPr>
            </w:pPr>
            <w:r>
              <w:rPr>
                <w:rFonts w:ascii="Arial" w:cs="Arial" w:eastAsia="Arial" w:hAnsi="Arial"/>
                <w:sz w:val="18"/>
                <w:szCs w:val="18"/>
                <w:color w:val="auto"/>
                <w:w w:val="91"/>
              </w:rPr>
              <w:t>Federal funds sold, reverse repurchase agreements, securities lending, commercial paper and</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320" w:type="dxa"/>
            <w:vAlign w:val="bottom"/>
            <w:gridSpan w:val="2"/>
          </w:tcPr>
          <w:p>
            <w:pPr>
              <w:ind w:left="640"/>
              <w:spacing w:after="0"/>
              <w:rPr>
                <w:sz w:val="20"/>
                <w:szCs w:val="20"/>
                <w:color w:val="auto"/>
              </w:rPr>
            </w:pPr>
            <w:r>
              <w:rPr>
                <w:rFonts w:ascii="Arial" w:cs="Arial" w:eastAsia="Arial" w:hAnsi="Arial"/>
                <w:sz w:val="18"/>
                <w:szCs w:val="18"/>
                <w:color w:val="auto"/>
              </w:rPr>
              <w:t>deposits in banks</w:t>
            </w:r>
          </w:p>
        </w:tc>
        <w:tc>
          <w:tcPr>
            <w:tcW w:w="4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985</w:t>
            </w:r>
          </w:p>
        </w:tc>
        <w:tc>
          <w:tcPr>
            <w:tcW w:w="3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3,093</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 interest revenue</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65,559</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74,123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201,670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226,155</w:t>
            </w:r>
          </w:p>
        </w:tc>
        <w:tc>
          <w:tcPr>
            <w:tcW w:w="0" w:type="dxa"/>
            <w:vAlign w:val="bottom"/>
          </w:tcPr>
          <w:p>
            <w:pPr>
              <w:spacing w:after="0"/>
              <w:rPr>
                <w:sz w:val="1"/>
                <w:szCs w:val="1"/>
                <w:color w:val="auto"/>
              </w:rPr>
            </w:pPr>
          </w:p>
        </w:tc>
      </w:tr>
      <w:tr>
        <w:trPr>
          <w:trHeight w:val="222"/>
        </w:trPr>
        <w:tc>
          <w:tcPr>
            <w:tcW w:w="7340" w:type="dxa"/>
            <w:vAlign w:val="bottom"/>
            <w:gridSpan w:val="3"/>
          </w:tcPr>
          <w:p>
            <w:pPr>
              <w:spacing w:after="0"/>
              <w:rPr>
                <w:sz w:val="20"/>
                <w:szCs w:val="20"/>
                <w:color w:val="auto"/>
              </w:rPr>
            </w:pPr>
            <w:r>
              <w:rPr>
                <w:rFonts w:ascii="Arial" w:cs="Arial" w:eastAsia="Arial" w:hAnsi="Arial"/>
                <w:sz w:val="18"/>
                <w:szCs w:val="18"/>
                <w:b w:val="1"/>
                <w:bCs w:val="1"/>
                <w:color w:val="auto"/>
              </w:rPr>
              <w:t>Interest expense:</w:t>
            </w:r>
          </w:p>
        </w:tc>
        <w:tc>
          <w:tcPr>
            <w:tcW w:w="4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Deposits:</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tcPr>
          <w:p>
            <w:pPr>
              <w:ind w:left="860"/>
              <w:spacing w:after="0"/>
              <w:rPr>
                <w:sz w:val="20"/>
                <w:szCs w:val="20"/>
                <w:color w:val="auto"/>
              </w:rPr>
            </w:pPr>
            <w:r>
              <w:rPr>
                <w:rFonts w:ascii="Arial" w:cs="Arial" w:eastAsia="Arial" w:hAnsi="Arial"/>
                <w:sz w:val="18"/>
                <w:szCs w:val="18"/>
                <w:color w:val="auto"/>
              </w:rPr>
              <w:t>NOW</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447</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831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1,587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Money market</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599</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1,901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tcPr>
          <w:p>
            <w:pPr>
              <w:ind w:left="860"/>
              <w:spacing w:after="0"/>
              <w:rPr>
                <w:sz w:val="20"/>
                <w:szCs w:val="20"/>
                <w:color w:val="auto"/>
              </w:rPr>
            </w:pPr>
            <w:r>
              <w:rPr>
                <w:rFonts w:ascii="Arial" w:cs="Arial" w:eastAsia="Arial" w:hAnsi="Arial"/>
                <w:sz w:val="18"/>
                <w:szCs w:val="18"/>
                <w:color w:val="auto"/>
              </w:rPr>
              <w:t>Savings</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112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Time</w:t>
            </w: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4,612</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9,086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15,844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20" w:type="dxa"/>
            <w:vAlign w:val="bottom"/>
            <w:gridSpan w:val="2"/>
          </w:tcPr>
          <w:p>
            <w:pPr>
              <w:ind w:left="1280"/>
              <w:spacing w:after="0"/>
              <w:rPr>
                <w:sz w:val="20"/>
                <w:szCs w:val="20"/>
                <w:color w:val="auto"/>
              </w:rPr>
            </w:pPr>
            <w:r>
              <w:rPr>
                <w:rFonts w:ascii="Arial" w:cs="Arial" w:eastAsia="Arial" w:hAnsi="Arial"/>
                <w:sz w:val="18"/>
                <w:szCs w:val="18"/>
                <w:color w:val="auto"/>
              </w:rPr>
              <w:t>Total deposit interest expense</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5,695</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11,098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19,444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39,853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Federal funds purchased, repurchase agreements and other short-term borrowings</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514</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2,463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tcPr>
          <w:p>
            <w:pPr>
              <w:ind w:left="420"/>
              <w:spacing w:after="0"/>
              <w:rPr>
                <w:sz w:val="20"/>
                <w:szCs w:val="20"/>
                <w:color w:val="auto"/>
              </w:rPr>
            </w:pPr>
            <w:r>
              <w:rPr>
                <w:rFonts w:ascii="Arial" w:cs="Arial" w:eastAsia="Arial" w:hAnsi="Arial"/>
                <w:sz w:val="18"/>
                <w:szCs w:val="18"/>
                <w:color w:val="auto"/>
              </w:rPr>
              <w:t>Federal Home Loan Bank advances</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441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882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1,601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Long-term debt</w:t>
            </w: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2,372</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20" w:type="dxa"/>
            <w:vAlign w:val="bottom"/>
            <w:gridSpan w:val="2"/>
          </w:tcPr>
          <w:p>
            <w:pPr>
              <w:ind w:left="860"/>
              <w:spacing w:after="0"/>
              <w:rPr>
                <w:sz w:val="20"/>
                <w:szCs w:val="20"/>
                <w:color w:val="auto"/>
              </w:rPr>
            </w:pPr>
            <w:r>
              <w:rPr>
                <w:rFonts w:ascii="Arial" w:cs="Arial" w:eastAsia="Arial" w:hAnsi="Arial"/>
                <w:sz w:val="18"/>
                <w:szCs w:val="18"/>
                <w:color w:val="auto"/>
              </w:rPr>
              <w:t>Total interest expense</w:t>
            </w:r>
          </w:p>
        </w:tc>
        <w:tc>
          <w:tcPr>
            <w:tcW w:w="4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8,607</w:t>
            </w:r>
          </w:p>
        </w:tc>
        <w:tc>
          <w:tcPr>
            <w:tcW w:w="3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15,262</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29,908</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Net interest revenue</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56,952</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58,861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171,762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173,335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20" w:type="dxa"/>
            <w:vAlign w:val="bottom"/>
            <w:gridSpan w:val="2"/>
          </w:tcPr>
          <w:p>
            <w:pPr>
              <w:ind w:left="420"/>
              <w:spacing w:after="0"/>
              <w:rPr>
                <w:sz w:val="20"/>
                <w:szCs w:val="20"/>
                <w:color w:val="auto"/>
              </w:rPr>
            </w:pPr>
            <w:r>
              <w:rPr>
                <w:rFonts w:ascii="Arial" w:cs="Arial" w:eastAsia="Arial" w:hAnsi="Arial"/>
                <w:sz w:val="18"/>
                <w:szCs w:val="18"/>
                <w:color w:val="auto"/>
              </w:rPr>
              <w:t>Provision for loan losses</w:t>
            </w:r>
          </w:p>
        </w:tc>
        <w:tc>
          <w:tcPr>
            <w:tcW w:w="4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15,500</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36,000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48,500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237,000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Net interest revenue after provision for loan losses</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41,452</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22,861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123,262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(63,665)</w:t>
            </w:r>
          </w:p>
        </w:tc>
        <w:tc>
          <w:tcPr>
            <w:tcW w:w="0" w:type="dxa"/>
            <w:vAlign w:val="bottom"/>
          </w:tcPr>
          <w:p>
            <w:pPr>
              <w:spacing w:after="0"/>
              <w:rPr>
                <w:sz w:val="1"/>
                <w:szCs w:val="1"/>
                <w:color w:val="auto"/>
              </w:rPr>
            </w:pPr>
          </w:p>
        </w:tc>
      </w:tr>
      <w:tr>
        <w:trPr>
          <w:trHeight w:val="222"/>
        </w:trPr>
        <w:tc>
          <w:tcPr>
            <w:tcW w:w="7340" w:type="dxa"/>
            <w:vAlign w:val="bottom"/>
            <w:gridSpan w:val="3"/>
          </w:tcPr>
          <w:p>
            <w:pPr>
              <w:spacing w:after="0"/>
              <w:rPr>
                <w:sz w:val="20"/>
                <w:szCs w:val="20"/>
                <w:color w:val="auto"/>
              </w:rPr>
            </w:pPr>
            <w:r>
              <w:rPr>
                <w:rFonts w:ascii="Arial" w:cs="Arial" w:eastAsia="Arial" w:hAnsi="Arial"/>
                <w:sz w:val="18"/>
                <w:szCs w:val="18"/>
                <w:b w:val="1"/>
                <w:bCs w:val="1"/>
                <w:color w:val="auto"/>
              </w:rPr>
              <w:t>Fee revenue:</w:t>
            </w:r>
          </w:p>
        </w:tc>
        <w:tc>
          <w:tcPr>
            <w:tcW w:w="4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Service charges and fees</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7,696</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23,295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tcPr>
          <w:p>
            <w:pPr>
              <w:ind w:left="420"/>
              <w:spacing w:after="0"/>
              <w:rPr>
                <w:sz w:val="20"/>
                <w:szCs w:val="20"/>
                <w:color w:val="auto"/>
              </w:rPr>
            </w:pPr>
            <w:r>
              <w:rPr>
                <w:rFonts w:ascii="Arial" w:cs="Arial" w:eastAsia="Arial" w:hAnsi="Arial"/>
                <w:sz w:val="18"/>
                <w:szCs w:val="18"/>
                <w:color w:val="auto"/>
              </w:rPr>
              <w:t>Mortgage loan and other related fees</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2,800</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1,148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7,221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3,594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Brokerage fees</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709</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2,331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tcPr>
          <w:p>
            <w:pPr>
              <w:ind w:left="420"/>
              <w:spacing w:after="0"/>
              <w:rPr>
                <w:sz w:val="20"/>
                <w:szCs w:val="20"/>
                <w:color w:val="auto"/>
              </w:rPr>
            </w:pPr>
            <w:r>
              <w:rPr>
                <w:rFonts w:ascii="Arial" w:cs="Arial" w:eastAsia="Arial" w:hAnsi="Arial"/>
                <w:sz w:val="18"/>
                <w:szCs w:val="18"/>
                <w:color w:val="auto"/>
              </w:rPr>
              <w:t>Securities gains, net</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7,047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Loss from prepayment of debt</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(6,681)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20" w:type="dxa"/>
            <w:vAlign w:val="bottom"/>
            <w:gridSpan w:val="2"/>
          </w:tcPr>
          <w:p>
            <w:pPr>
              <w:ind w:left="420"/>
              <w:spacing w:after="0"/>
              <w:rPr>
                <w:sz w:val="20"/>
                <w:szCs w:val="20"/>
                <w:color w:val="auto"/>
              </w:rPr>
            </w:pPr>
            <w:r>
              <w:rPr>
                <w:rFonts w:ascii="Arial" w:cs="Arial" w:eastAsia="Arial" w:hAnsi="Arial"/>
                <w:sz w:val="18"/>
                <w:szCs w:val="18"/>
                <w:color w:val="auto"/>
              </w:rPr>
              <w:t>Other</w:t>
            </w:r>
          </w:p>
        </w:tc>
        <w:tc>
          <w:tcPr>
            <w:tcW w:w="4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2,559</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8,797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 fee revenue</w:t>
            </w: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13,764</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11,498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42,010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20" w:type="dxa"/>
            <w:vAlign w:val="bottom"/>
            <w:gridSpan w:val="2"/>
          </w:tcPr>
          <w:p>
            <w:pPr>
              <w:ind w:left="860"/>
              <w:spacing w:after="0"/>
              <w:rPr>
                <w:sz w:val="20"/>
                <w:szCs w:val="20"/>
                <w:color w:val="auto"/>
              </w:rPr>
            </w:pPr>
            <w:r>
              <w:rPr>
                <w:rFonts w:ascii="Arial" w:cs="Arial" w:eastAsia="Arial" w:hAnsi="Arial"/>
                <w:sz w:val="18"/>
                <w:szCs w:val="18"/>
                <w:b w:val="1"/>
                <w:bCs w:val="1"/>
                <w:color w:val="auto"/>
              </w:rPr>
              <w:t>Total revenue</w:t>
            </w: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55,216</w:t>
            </w: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34,359</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165,272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(26,424)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4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tcPr>
          <w:p>
            <w:pPr>
              <w:ind w:left="420"/>
              <w:spacing w:after="0"/>
              <w:rPr>
                <w:sz w:val="20"/>
                <w:szCs w:val="20"/>
                <w:color w:val="auto"/>
              </w:rPr>
            </w:pPr>
            <w:r>
              <w:rPr>
                <w:rFonts w:ascii="Arial" w:cs="Arial" w:eastAsia="Arial" w:hAnsi="Arial"/>
                <w:sz w:val="18"/>
                <w:szCs w:val="18"/>
                <w:color w:val="auto"/>
              </w:rPr>
              <w:t>Salaries and employee benefits</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22,918</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25,262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72,440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76,622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Communications and equipment</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3,254</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9,620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tcPr>
          <w:p>
            <w:pPr>
              <w:ind w:left="420"/>
              <w:spacing w:after="0"/>
              <w:rPr>
                <w:sz w:val="20"/>
                <w:szCs w:val="20"/>
                <w:color w:val="auto"/>
              </w:rPr>
            </w:pPr>
            <w:r>
              <w:rPr>
                <w:rFonts w:ascii="Arial" w:cs="Arial" w:eastAsia="Arial" w:hAnsi="Arial"/>
                <w:sz w:val="18"/>
                <w:szCs w:val="18"/>
                <w:color w:val="auto"/>
              </w:rPr>
              <w:t>Occupancy</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3,539</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3,794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10,849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11,673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Advertising and public relations</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934</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2,868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tcPr>
          <w:p>
            <w:pPr>
              <w:ind w:left="420"/>
              <w:spacing w:after="0"/>
              <w:rPr>
                <w:sz w:val="20"/>
                <w:szCs w:val="20"/>
                <w:color w:val="auto"/>
              </w:rPr>
            </w:pPr>
            <w:r>
              <w:rPr>
                <w:rFonts w:ascii="Arial" w:cs="Arial" w:eastAsia="Arial" w:hAnsi="Arial"/>
                <w:sz w:val="18"/>
                <w:szCs w:val="18"/>
                <w:color w:val="auto"/>
              </w:rPr>
              <w:t>Postage, printing and supplies</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954</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1,036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2,849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Professional fees</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2,180</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6,107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tcPr>
          <w:p>
            <w:pPr>
              <w:ind w:left="420"/>
              <w:spacing w:after="0"/>
              <w:rPr>
                <w:sz w:val="20"/>
                <w:szCs w:val="20"/>
                <w:color w:val="auto"/>
              </w:rPr>
            </w:pPr>
            <w:r>
              <w:rPr>
                <w:rFonts w:ascii="Arial" w:cs="Arial" w:eastAsia="Arial" w:hAnsi="Arial"/>
                <w:sz w:val="18"/>
                <w:szCs w:val="18"/>
                <w:color w:val="auto"/>
              </w:rPr>
              <w:t>Foreclosed property</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3,706</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2,813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9,382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69,603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FDIC assessments and other regulatory charges</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2,537</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7,592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tcPr>
          <w:p>
            <w:pPr>
              <w:ind w:left="420"/>
              <w:spacing w:after="0"/>
              <w:rPr>
                <w:sz w:val="20"/>
                <w:szCs w:val="20"/>
                <w:color w:val="auto"/>
              </w:rPr>
            </w:pPr>
            <w:r>
              <w:rPr>
                <w:rFonts w:ascii="Arial" w:cs="Arial" w:eastAsia="Arial" w:hAnsi="Arial"/>
                <w:sz w:val="18"/>
                <w:szCs w:val="18"/>
                <w:color w:val="auto"/>
              </w:rPr>
              <w:t>Amortization of intangibles</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748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2,190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4,033</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12,151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20" w:type="dxa"/>
            <w:vAlign w:val="bottom"/>
            <w:gridSpan w:val="2"/>
          </w:tcPr>
          <w:p>
            <w:pPr>
              <w:ind w:left="860"/>
              <w:spacing w:after="0"/>
              <w:rPr>
                <w:sz w:val="20"/>
                <w:szCs w:val="20"/>
                <w:color w:val="auto"/>
              </w:rPr>
            </w:pPr>
            <w:r>
              <w:rPr>
                <w:rFonts w:ascii="Arial" w:cs="Arial" w:eastAsia="Arial" w:hAnsi="Arial"/>
                <w:sz w:val="18"/>
                <w:szCs w:val="18"/>
                <w:color w:val="auto"/>
              </w:rPr>
              <w:t>Total operating expenses</w:t>
            </w:r>
          </w:p>
        </w:tc>
        <w:tc>
          <w:tcPr>
            <w:tcW w:w="4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44,783</w:t>
            </w:r>
          </w:p>
        </w:tc>
        <w:tc>
          <w:tcPr>
            <w:tcW w:w="3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46,520</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136,048</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210,519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Net income (loss) before income taxes</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10,433</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(12,161)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29,224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(236,943)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tcPr>
          <w:p>
            <w:pPr>
              <w:ind w:left="420"/>
              <w:spacing w:after="0"/>
              <w:rPr>
                <w:sz w:val="20"/>
                <w:szCs w:val="20"/>
                <w:color w:val="auto"/>
              </w:rPr>
            </w:pPr>
            <w:r>
              <w:rPr>
                <w:rFonts w:ascii="Arial" w:cs="Arial" w:eastAsia="Arial" w:hAnsi="Arial"/>
                <w:sz w:val="18"/>
                <w:szCs w:val="18"/>
                <w:color w:val="auto"/>
              </w:rPr>
              <w:t>Income tax (benefit) expense</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(822)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629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5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shd w:val="clear" w:color="auto" w:fill="CCEEFF"/>
          </w:tcPr>
          <w:p>
            <w:pPr>
              <w:ind w:left="860"/>
              <w:spacing w:after="0"/>
              <w:rPr>
                <w:sz w:val="20"/>
                <w:szCs w:val="20"/>
                <w:color w:val="auto"/>
              </w:rPr>
            </w:pPr>
            <w:r>
              <w:rPr>
                <w:rFonts w:ascii="Arial" w:cs="Arial" w:eastAsia="Arial" w:hAnsi="Arial"/>
                <w:sz w:val="18"/>
                <w:szCs w:val="18"/>
                <w:b w:val="1"/>
                <w:bCs w:val="1"/>
                <w:color w:val="auto"/>
              </w:rPr>
              <w:t>Net income (loss)</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10,568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(11,339)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28,595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(236,647)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20" w:type="dxa"/>
            <w:vAlign w:val="bottom"/>
            <w:gridSpan w:val="2"/>
          </w:tcPr>
          <w:p>
            <w:pPr>
              <w:ind w:left="420"/>
              <w:spacing w:after="0"/>
              <w:rPr>
                <w:sz w:val="20"/>
                <w:szCs w:val="20"/>
                <w:color w:val="auto"/>
              </w:rPr>
            </w:pPr>
            <w:r>
              <w:rPr>
                <w:rFonts w:ascii="Arial" w:cs="Arial" w:eastAsia="Arial" w:hAnsi="Arial"/>
                <w:sz w:val="18"/>
                <w:szCs w:val="18"/>
                <w:color w:val="auto"/>
              </w:rPr>
              <w:t>Preferred stock dividends and discount accretion</w:t>
            </w:r>
          </w:p>
        </w:tc>
        <w:tc>
          <w:tcPr>
            <w:tcW w:w="4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3,041</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9,103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gridSpan w:val="2"/>
            <w:shd w:val="clear" w:color="auto" w:fill="CCEEFF"/>
          </w:tcPr>
          <w:p>
            <w:pPr>
              <w:ind w:left="860"/>
              <w:spacing w:after="0"/>
              <w:rPr>
                <w:sz w:val="20"/>
                <w:szCs w:val="20"/>
                <w:color w:val="auto"/>
              </w:rPr>
            </w:pPr>
            <w:r>
              <w:rPr>
                <w:rFonts w:ascii="Arial" w:cs="Arial" w:eastAsia="Arial" w:hAnsi="Arial"/>
                <w:sz w:val="18"/>
                <w:szCs w:val="18"/>
                <w:b w:val="1"/>
                <w:bCs w:val="1"/>
                <w:color w:val="auto"/>
              </w:rPr>
              <w:t>Net income (loss) available to common shareholders</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7,527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(14,358)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19,492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(245,460)</w:t>
            </w:r>
          </w:p>
        </w:tc>
        <w:tc>
          <w:tcPr>
            <w:tcW w:w="0" w:type="dxa"/>
            <w:vAlign w:val="bottom"/>
          </w:tcPr>
          <w:p>
            <w:pPr>
              <w:spacing w:after="0"/>
              <w:rPr>
                <w:sz w:val="1"/>
                <w:szCs w:val="1"/>
                <w:color w:val="auto"/>
              </w:rPr>
            </w:pPr>
          </w:p>
        </w:tc>
      </w:tr>
      <w:tr>
        <w:trPr>
          <w:trHeight w:val="20"/>
        </w:trPr>
        <w:tc>
          <w:tcPr>
            <w:tcW w:w="7340" w:type="dxa"/>
            <w:vAlign w:val="bottom"/>
            <w:gridSpan w:val="3"/>
            <w:vMerge w:val="restart"/>
          </w:tcPr>
          <w:p>
            <w:pPr>
              <w:spacing w:after="0"/>
              <w:rPr>
                <w:sz w:val="20"/>
                <w:szCs w:val="20"/>
                <w:color w:val="auto"/>
              </w:rPr>
            </w:pPr>
            <w:r>
              <w:rPr>
                <w:rFonts w:ascii="Arial" w:cs="Arial" w:eastAsia="Arial" w:hAnsi="Arial"/>
                <w:sz w:val="18"/>
                <w:szCs w:val="18"/>
                <w:color w:val="auto"/>
              </w:rPr>
              <w:t>Earnings (loss) per common share - Basic / Diluted</w:t>
            </w: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340" w:type="dxa"/>
            <w:vAlign w:val="bottom"/>
            <w:gridSpan w:val="3"/>
            <w:vMerge w:val="continue"/>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.13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(.25)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.34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(7.23)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common shares outstanding - Basic / Diluted</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57,880</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57,599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57,826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33,973</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20"/>
          </w:cols>
          <w:pgMar w:left="240" w:top="459" w:right="23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COMMUNITY BANKS,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Consolidated Statement of Comprehensive Income (Loss) </w:t>
      </w:r>
      <w:r>
        <w:rPr>
          <w:rFonts w:ascii="Arial" w:cs="Arial" w:eastAsia="Arial" w:hAnsi="Arial"/>
          <w:sz w:val="18"/>
          <w:szCs w:val="18"/>
          <w:i w:val="1"/>
          <w:i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184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w:t>
            </w:r>
          </w:p>
        </w:tc>
        <w:tc>
          <w:tcPr>
            <w:tcW w:w="180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820" w:type="dxa"/>
            <w:vAlign w:val="bottom"/>
            <w:vMerge w:val="restart"/>
          </w:tcPr>
          <w:p>
            <w:pPr>
              <w:spacing w:after="0"/>
              <w:rPr>
                <w:sz w:val="20"/>
                <w:szCs w:val="20"/>
                <w:color w:val="auto"/>
              </w:rPr>
            </w:pPr>
            <w:r>
              <w:rPr>
                <w:rFonts w:ascii="Arial" w:cs="Arial" w:eastAsia="Arial" w:hAnsi="Arial"/>
                <w:sz w:val="14"/>
                <w:szCs w:val="14"/>
                <w:i w:val="1"/>
                <w:iCs w:val="1"/>
                <w:color w:val="auto"/>
                <w:w w:val="90"/>
              </w:rPr>
              <w:t>(in thousands)</w:t>
            </w:r>
          </w:p>
        </w:tc>
        <w:tc>
          <w:tcPr>
            <w:tcW w:w="6960" w:type="dxa"/>
            <w:vAlign w:val="bottom"/>
            <w:vMerge w:val="restart"/>
          </w:tcPr>
          <w:p>
            <w:pPr>
              <w:spacing w:after="0"/>
              <w:rPr>
                <w:sz w:val="14"/>
                <w:szCs w:val="14"/>
                <w:color w:val="auto"/>
              </w:rPr>
            </w:pPr>
          </w:p>
        </w:tc>
        <w:tc>
          <w:tcPr>
            <w:tcW w:w="184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September 30,</w:t>
            </w:r>
          </w:p>
        </w:tc>
        <w:tc>
          <w:tcPr>
            <w:tcW w:w="180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9"/>
        </w:trPr>
        <w:tc>
          <w:tcPr>
            <w:tcW w:w="820" w:type="dxa"/>
            <w:vAlign w:val="bottom"/>
            <w:tcBorders>
              <w:bottom w:val="single" w:sz="8" w:color="auto"/>
            </w:tcBorders>
            <w:vMerge w:val="continue"/>
          </w:tcPr>
          <w:p>
            <w:pPr>
              <w:spacing w:after="0"/>
              <w:rPr>
                <w:sz w:val="12"/>
                <w:szCs w:val="12"/>
                <w:color w:val="auto"/>
              </w:rPr>
            </w:pPr>
          </w:p>
        </w:tc>
        <w:tc>
          <w:tcPr>
            <w:tcW w:w="6960" w:type="dxa"/>
            <w:vAlign w:val="bottom"/>
            <w:vMerge w:val="continue"/>
          </w:tcPr>
          <w:p>
            <w:pPr>
              <w:spacing w:after="0"/>
              <w:rPr>
                <w:sz w:val="12"/>
                <w:szCs w:val="12"/>
                <w:color w:val="auto"/>
              </w:rPr>
            </w:pPr>
          </w:p>
        </w:tc>
        <w:tc>
          <w:tcPr>
            <w:tcW w:w="580" w:type="dxa"/>
            <w:vAlign w:val="bottom"/>
            <w:tcBorders>
              <w:top w:val="single" w:sz="8" w:color="auto"/>
            </w:tcBorders>
          </w:tcPr>
          <w:p>
            <w:pPr>
              <w:ind w:left="140"/>
              <w:spacing w:after="0" w:line="129" w:lineRule="exact"/>
              <w:rPr>
                <w:sz w:val="20"/>
                <w:szCs w:val="20"/>
                <w:color w:val="auto"/>
              </w:rPr>
            </w:pPr>
            <w:r>
              <w:rPr>
                <w:rFonts w:ascii="Arial" w:cs="Arial" w:eastAsia="Arial" w:hAnsi="Arial"/>
                <w:sz w:val="14"/>
                <w:szCs w:val="14"/>
                <w:b w:val="1"/>
                <w:bCs w:val="1"/>
                <w:color w:val="auto"/>
              </w:rPr>
              <w:t>2012</w:t>
            </w:r>
          </w:p>
        </w:tc>
        <w:tc>
          <w:tcPr>
            <w:tcW w:w="1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ind w:right="112"/>
              <w:spacing w:after="0" w:line="129" w:lineRule="exact"/>
              <w:rPr>
                <w:sz w:val="20"/>
                <w:szCs w:val="20"/>
                <w:color w:val="auto"/>
              </w:rPr>
            </w:pPr>
            <w:r>
              <w:rPr>
                <w:rFonts w:ascii="Arial" w:cs="Arial" w:eastAsia="Arial" w:hAnsi="Arial"/>
                <w:sz w:val="14"/>
                <w:szCs w:val="14"/>
                <w:b w:val="1"/>
                <w:bCs w:val="1"/>
                <w:color w:val="auto"/>
              </w:rPr>
              <w:t>2011</w:t>
            </w:r>
          </w:p>
        </w:tc>
        <w:tc>
          <w:tcPr>
            <w:tcW w:w="300" w:type="dxa"/>
            <w:vAlign w:val="bottom"/>
          </w:tcPr>
          <w:p>
            <w:pPr>
              <w:spacing w:after="0"/>
              <w:rPr>
                <w:sz w:val="12"/>
                <w:szCs w:val="12"/>
                <w:color w:val="auto"/>
              </w:rPr>
            </w:pPr>
          </w:p>
        </w:tc>
        <w:tc>
          <w:tcPr>
            <w:tcW w:w="660" w:type="dxa"/>
            <w:vAlign w:val="bottom"/>
            <w:tcBorders>
              <w:top w:val="single" w:sz="8" w:color="auto"/>
            </w:tcBorders>
          </w:tcPr>
          <w:p>
            <w:pPr>
              <w:jc w:val="right"/>
              <w:ind w:right="117"/>
              <w:spacing w:after="0" w:line="129" w:lineRule="exact"/>
              <w:rPr>
                <w:sz w:val="20"/>
                <w:szCs w:val="20"/>
                <w:color w:val="auto"/>
              </w:rPr>
            </w:pPr>
            <w:r>
              <w:rPr>
                <w:rFonts w:ascii="Arial" w:cs="Arial" w:eastAsia="Arial" w:hAnsi="Arial"/>
                <w:sz w:val="14"/>
                <w:szCs w:val="14"/>
                <w:b w:val="1"/>
                <w:bCs w:val="1"/>
                <w:color w:val="auto"/>
              </w:rPr>
              <w:t>2012</w:t>
            </w:r>
          </w:p>
        </w:tc>
        <w:tc>
          <w:tcPr>
            <w:tcW w:w="1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right"/>
              <w:ind w:right="152"/>
              <w:spacing w:after="0" w:line="129"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77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income (loss)</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$10,568</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7"/>
              </w:rPr>
              <w:t>$ (11,339)</w:t>
            </w:r>
          </w:p>
        </w:tc>
        <w:tc>
          <w:tcPr>
            <w:tcW w:w="3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1"/>
              </w:rPr>
              <w:t>$ 28,595</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2"/>
              </w:rPr>
              <w:t>$(236,647)</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80" w:type="dxa"/>
            <w:vAlign w:val="bottom"/>
            <w:gridSpan w:val="2"/>
          </w:tcPr>
          <w:p>
            <w:pPr>
              <w:spacing w:after="0"/>
              <w:rPr>
                <w:sz w:val="20"/>
                <w:szCs w:val="20"/>
                <w:color w:val="auto"/>
              </w:rPr>
            </w:pPr>
            <w:r>
              <w:rPr>
                <w:rFonts w:ascii="Arial" w:cs="Arial" w:eastAsia="Arial" w:hAnsi="Arial"/>
                <w:sz w:val="18"/>
                <w:szCs w:val="18"/>
                <w:color w:val="auto"/>
              </w:rPr>
              <w:t>Other comprehensive income (loss):</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Unrealized gains (losses) on available for sale securities:</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6960" w:type="dxa"/>
            <w:vAlign w:val="bottom"/>
          </w:tcPr>
          <w:p>
            <w:pPr>
              <w:ind w:left="60"/>
              <w:spacing w:after="0"/>
              <w:rPr>
                <w:sz w:val="20"/>
                <w:szCs w:val="20"/>
                <w:color w:val="auto"/>
              </w:rPr>
            </w:pPr>
            <w:r>
              <w:rPr>
                <w:rFonts w:ascii="Arial" w:cs="Arial" w:eastAsia="Arial" w:hAnsi="Arial"/>
                <w:sz w:val="18"/>
                <w:szCs w:val="18"/>
                <w:color w:val="auto"/>
              </w:rPr>
              <w:t>Unrealized holding gains (losses) arising during period</w:t>
            </w:r>
          </w:p>
        </w:tc>
        <w:tc>
          <w:tcPr>
            <w:tcW w:w="580" w:type="dxa"/>
            <w:vAlign w:val="bottom"/>
          </w:tcPr>
          <w:p>
            <w:pPr>
              <w:jc w:val="right"/>
              <w:spacing w:after="0"/>
              <w:rPr>
                <w:sz w:val="20"/>
                <w:szCs w:val="20"/>
                <w:color w:val="auto"/>
              </w:rPr>
            </w:pPr>
            <w:r>
              <w:rPr>
                <w:rFonts w:ascii="Arial" w:cs="Arial" w:eastAsia="Arial" w:hAnsi="Arial"/>
                <w:sz w:val="18"/>
                <w:szCs w:val="18"/>
                <w:color w:val="auto"/>
              </w:rPr>
              <w:t>5,813</w:t>
            </w:r>
          </w:p>
        </w:tc>
        <w:tc>
          <w:tcPr>
            <w:tcW w:w="180" w:type="dxa"/>
            <w:vAlign w:val="bottom"/>
          </w:tcPr>
          <w:p>
            <w:pPr>
              <w:spacing w:after="0"/>
              <w:rPr>
                <w:sz w:val="18"/>
                <w:szCs w:val="18"/>
                <w:color w:val="auto"/>
              </w:rPr>
            </w:pPr>
          </w:p>
        </w:tc>
        <w:tc>
          <w:tcPr>
            <w:tcW w:w="1080" w:type="dxa"/>
            <w:vAlign w:val="bottom"/>
            <w:gridSpan w:val="3"/>
          </w:tcPr>
          <w:p>
            <w:pPr>
              <w:jc w:val="right"/>
              <w:ind w:right="240"/>
              <w:spacing w:after="0"/>
              <w:rPr>
                <w:sz w:val="20"/>
                <w:szCs w:val="20"/>
                <w:color w:val="auto"/>
              </w:rPr>
            </w:pPr>
            <w:r>
              <w:rPr>
                <w:rFonts w:ascii="Arial" w:cs="Arial" w:eastAsia="Arial" w:hAnsi="Arial"/>
                <w:sz w:val="18"/>
                <w:szCs w:val="18"/>
                <w:color w:val="auto"/>
              </w:rPr>
              <w:t>(2,852)</w:t>
            </w:r>
          </w:p>
        </w:tc>
        <w:tc>
          <w:tcPr>
            <w:tcW w:w="660" w:type="dxa"/>
            <w:vAlign w:val="bottom"/>
          </w:tcPr>
          <w:p>
            <w:pPr>
              <w:jc w:val="right"/>
              <w:spacing w:after="0"/>
              <w:rPr>
                <w:sz w:val="20"/>
                <w:szCs w:val="20"/>
                <w:color w:val="auto"/>
              </w:rPr>
            </w:pPr>
            <w:r>
              <w:rPr>
                <w:rFonts w:ascii="Arial" w:cs="Arial" w:eastAsia="Arial" w:hAnsi="Arial"/>
                <w:sz w:val="18"/>
                <w:szCs w:val="18"/>
                <w:color w:val="auto"/>
              </w:rPr>
              <w:t>6,737</w:t>
            </w:r>
          </w:p>
        </w:tc>
        <w:tc>
          <w:tcPr>
            <w:tcW w:w="180" w:type="dxa"/>
            <w:vAlign w:val="bottom"/>
          </w:tcPr>
          <w:p>
            <w:pPr>
              <w:spacing w:after="0"/>
              <w:rPr>
                <w:sz w:val="18"/>
                <w:szCs w:val="18"/>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7,156</w:t>
            </w: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spacing w:after="0"/>
              <w:rPr>
                <w:sz w:val="18"/>
                <w:szCs w:val="18"/>
                <w:color w:val="auto"/>
              </w:rPr>
            </w:pPr>
          </w:p>
        </w:tc>
        <w:tc>
          <w:tcPr>
            <w:tcW w:w="6960" w:type="dxa"/>
            <w:vAlign w:val="bottom"/>
            <w:shd w:val="clear" w:color="auto" w:fill="CCEEFF"/>
          </w:tcPr>
          <w:p>
            <w:pPr>
              <w:ind w:left="60"/>
              <w:spacing w:after="0"/>
              <w:rPr>
                <w:sz w:val="20"/>
                <w:szCs w:val="20"/>
                <w:color w:val="auto"/>
              </w:rPr>
            </w:pPr>
            <w:r>
              <w:rPr>
                <w:rFonts w:ascii="Arial" w:cs="Arial" w:eastAsia="Arial" w:hAnsi="Arial"/>
                <w:sz w:val="18"/>
                <w:szCs w:val="18"/>
                <w:color w:val="auto"/>
              </w:rPr>
              <w:t>Reclassification adjustment for gains included in net income</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(7,047)</w:t>
            </w: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(838)</w:t>
            </w:r>
          </w:p>
        </w:tc>
        <w:tc>
          <w:tcPr>
            <w:tcW w:w="0" w:type="dxa"/>
            <w:vAlign w:val="bottom"/>
          </w:tcPr>
          <w:p>
            <w:pPr>
              <w:spacing w:after="0"/>
              <w:rPr>
                <w:sz w:val="1"/>
                <w:szCs w:val="1"/>
                <w:color w:val="auto"/>
              </w:rPr>
            </w:pPr>
          </w:p>
        </w:tc>
      </w:tr>
      <w:tr>
        <w:trPr>
          <w:trHeight w:val="208"/>
        </w:trPr>
        <w:tc>
          <w:tcPr>
            <w:tcW w:w="7780" w:type="dxa"/>
            <w:vAlign w:val="bottom"/>
            <w:gridSpan w:val="2"/>
          </w:tcPr>
          <w:p>
            <w:pPr>
              <w:ind w:left="440"/>
              <w:spacing w:after="0"/>
              <w:rPr>
                <w:sz w:val="20"/>
                <w:szCs w:val="20"/>
                <w:color w:val="auto"/>
              </w:rPr>
            </w:pPr>
            <w:r>
              <w:rPr>
                <w:rFonts w:ascii="Arial" w:cs="Arial" w:eastAsia="Arial" w:hAnsi="Arial"/>
                <w:sz w:val="18"/>
                <w:szCs w:val="18"/>
                <w:color w:val="auto"/>
                <w:w w:val="91"/>
              </w:rPr>
              <w:t>Amortization of gains included in net income (loss) on available for sale securities transferred to held</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780" w:type="dxa"/>
            <w:vAlign w:val="bottom"/>
            <w:gridSpan w:val="2"/>
          </w:tcPr>
          <w:p>
            <w:pPr>
              <w:ind w:left="660"/>
              <w:spacing w:after="0"/>
              <w:rPr>
                <w:sz w:val="20"/>
                <w:szCs w:val="20"/>
                <w:color w:val="auto"/>
              </w:rPr>
            </w:pPr>
            <w:r>
              <w:rPr>
                <w:rFonts w:ascii="Arial" w:cs="Arial" w:eastAsia="Arial" w:hAnsi="Arial"/>
                <w:sz w:val="18"/>
                <w:szCs w:val="18"/>
                <w:color w:val="auto"/>
              </w:rPr>
              <w:t>to maturity</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(499)</w:t>
            </w:r>
          </w:p>
        </w:tc>
        <w:tc>
          <w:tcPr>
            <w:tcW w:w="1080" w:type="dxa"/>
            <w:vAlign w:val="bottom"/>
            <w:gridSpan w:val="3"/>
          </w:tcPr>
          <w:p>
            <w:pPr>
              <w:jc w:val="right"/>
              <w:ind w:right="240"/>
              <w:spacing w:after="0"/>
              <w:rPr>
                <w:sz w:val="20"/>
                <w:szCs w:val="20"/>
                <w:color w:val="auto"/>
              </w:rPr>
            </w:pPr>
            <w:r>
              <w:rPr>
                <w:rFonts w:ascii="Arial" w:cs="Arial" w:eastAsia="Arial" w:hAnsi="Arial"/>
                <w:sz w:val="18"/>
                <w:szCs w:val="18"/>
                <w:color w:val="auto"/>
              </w:rPr>
              <w:t>(563)</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(1,312)</w:t>
            </w: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(1,730)</w:t>
            </w:r>
          </w:p>
        </w:tc>
        <w:tc>
          <w:tcPr>
            <w:tcW w:w="0" w:type="dxa"/>
            <w:vAlign w:val="bottom"/>
          </w:tcPr>
          <w:p>
            <w:pPr>
              <w:spacing w:after="0"/>
              <w:rPr>
                <w:sz w:val="1"/>
                <w:szCs w:val="1"/>
                <w:color w:val="auto"/>
              </w:rPr>
            </w:pPr>
          </w:p>
        </w:tc>
      </w:tr>
      <w:tr>
        <w:trPr>
          <w:trHeight w:val="209"/>
        </w:trPr>
        <w:tc>
          <w:tcPr>
            <w:tcW w:w="7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2"/>
              </w:rPr>
              <w:t>Amortization of gains included in net income (loss) on derivative financial instruments accounted for</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7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as cash flow hedges</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(763)</w:t>
            </w: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(2,948)</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(3,077)</w:t>
            </w: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(12,570)</w:t>
            </w:r>
          </w:p>
        </w:tc>
        <w:tc>
          <w:tcPr>
            <w:tcW w:w="0" w:type="dxa"/>
            <w:vAlign w:val="bottom"/>
          </w:tcPr>
          <w:p>
            <w:pPr>
              <w:spacing w:after="0"/>
              <w:rPr>
                <w:sz w:val="1"/>
                <w:szCs w:val="1"/>
                <w:color w:val="auto"/>
              </w:rPr>
            </w:pPr>
          </w:p>
        </w:tc>
      </w:tr>
      <w:tr>
        <w:trPr>
          <w:trHeight w:val="216"/>
        </w:trPr>
        <w:tc>
          <w:tcPr>
            <w:tcW w:w="7780" w:type="dxa"/>
            <w:vAlign w:val="bottom"/>
            <w:gridSpan w:val="2"/>
          </w:tcPr>
          <w:p>
            <w:pPr>
              <w:ind w:left="440"/>
              <w:spacing w:after="0"/>
              <w:rPr>
                <w:sz w:val="20"/>
                <w:szCs w:val="20"/>
                <w:color w:val="auto"/>
              </w:rPr>
            </w:pPr>
            <w:r>
              <w:rPr>
                <w:rFonts w:ascii="Arial" w:cs="Arial" w:eastAsia="Arial" w:hAnsi="Arial"/>
                <w:sz w:val="18"/>
                <w:szCs w:val="18"/>
                <w:color w:val="auto"/>
              </w:rPr>
              <w:t>Unrealized losses on derivative financial instruments accounted for as cash flow hedges</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(3,943)</w:t>
            </w:r>
          </w:p>
        </w:tc>
        <w:tc>
          <w:tcPr>
            <w:tcW w:w="12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(8,798)</w:t>
            </w: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7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8"/>
              </w:rPr>
              <w:t>Amortization of prior service cost and actuarial losses included in net periodic pension cost for</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7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defined benefit pension plans</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820" w:type="dxa"/>
            <w:vAlign w:val="bottom"/>
          </w:tcPr>
          <w:p>
            <w:pPr>
              <w:spacing w:after="0"/>
              <w:rPr>
                <w:sz w:val="19"/>
                <w:szCs w:val="19"/>
                <w:color w:val="auto"/>
              </w:rPr>
            </w:pPr>
          </w:p>
        </w:tc>
        <w:tc>
          <w:tcPr>
            <w:tcW w:w="6960" w:type="dxa"/>
            <w:vAlign w:val="bottom"/>
          </w:tcPr>
          <w:p>
            <w:pPr>
              <w:ind w:left="480"/>
              <w:spacing w:after="0"/>
              <w:rPr>
                <w:sz w:val="20"/>
                <w:szCs w:val="20"/>
                <w:color w:val="auto"/>
              </w:rPr>
            </w:pPr>
            <w:r>
              <w:rPr>
                <w:rFonts w:ascii="Arial" w:cs="Arial" w:eastAsia="Arial" w:hAnsi="Arial"/>
                <w:sz w:val="18"/>
                <w:szCs w:val="18"/>
                <w:color w:val="auto"/>
              </w:rPr>
              <w:t>Total other comprehensive income (loss)</w:t>
            </w:r>
          </w:p>
        </w:tc>
        <w:tc>
          <w:tcPr>
            <w:tcW w:w="580" w:type="dxa"/>
            <w:vAlign w:val="bottom"/>
          </w:tcPr>
          <w:p>
            <w:pPr>
              <w:jc w:val="right"/>
              <w:spacing w:after="0"/>
              <w:rPr>
                <w:sz w:val="20"/>
                <w:szCs w:val="20"/>
                <w:color w:val="auto"/>
              </w:rPr>
            </w:pPr>
            <w:r>
              <w:rPr>
                <w:rFonts w:ascii="Arial" w:cs="Arial" w:eastAsia="Arial" w:hAnsi="Arial"/>
                <w:sz w:val="18"/>
                <w:szCs w:val="18"/>
                <w:color w:val="auto"/>
              </w:rPr>
              <w:t>762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(6,363)</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(13,035)</w:t>
            </w: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(7,982)</w:t>
            </w:r>
          </w:p>
        </w:tc>
        <w:tc>
          <w:tcPr>
            <w:tcW w:w="0" w:type="dxa"/>
            <w:vAlign w:val="bottom"/>
          </w:tcPr>
          <w:p>
            <w:pPr>
              <w:spacing w:after="0"/>
              <w:rPr>
                <w:sz w:val="1"/>
                <w:szCs w:val="1"/>
                <w:color w:val="auto"/>
              </w:rPr>
            </w:pPr>
          </w:p>
        </w:tc>
      </w:tr>
      <w:tr>
        <w:trPr>
          <w:trHeight w:val="28"/>
        </w:trPr>
        <w:tc>
          <w:tcPr>
            <w:tcW w:w="820" w:type="dxa"/>
            <w:vAlign w:val="bottom"/>
          </w:tcPr>
          <w:p>
            <w:pPr>
              <w:spacing w:after="0"/>
              <w:rPr>
                <w:sz w:val="2"/>
                <w:szCs w:val="2"/>
                <w:color w:val="auto"/>
              </w:rPr>
            </w:pPr>
          </w:p>
        </w:tc>
        <w:tc>
          <w:tcPr>
            <w:tcW w:w="69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20" w:type="dxa"/>
            <w:vAlign w:val="bottom"/>
            <w:shd w:val="clear" w:color="auto" w:fill="CCEEFF"/>
          </w:tcPr>
          <w:p>
            <w:pPr>
              <w:spacing w:after="0"/>
              <w:rPr>
                <w:sz w:val="18"/>
                <w:szCs w:val="18"/>
                <w:color w:val="auto"/>
              </w:rPr>
            </w:pPr>
          </w:p>
        </w:tc>
        <w:tc>
          <w:tcPr>
            <w:tcW w:w="69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Comprehensive income (loss)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11,330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(17,702)</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$ 15,560</w:t>
            </w:r>
          </w:p>
        </w:tc>
        <w:tc>
          <w:tcPr>
            <w:tcW w:w="1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(244,629)</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COMMUNITY BANKS,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 except share and per share data)</w:t>
            </w:r>
          </w:p>
        </w:tc>
        <w:tc>
          <w:tcPr>
            <w:tcW w:w="1260" w:type="dxa"/>
            <w:vAlign w:val="bottom"/>
            <w:gridSpan w:val="4"/>
          </w:tcPr>
          <w:p>
            <w:pPr>
              <w:spacing w:after="0"/>
              <w:rPr>
                <w:sz w:val="20"/>
                <w:szCs w:val="20"/>
                <w:color w:val="auto"/>
              </w:rPr>
            </w:pPr>
            <w:r>
              <w:rPr>
                <w:rFonts w:ascii="Arial" w:cs="Arial" w:eastAsia="Arial" w:hAnsi="Arial"/>
                <w:sz w:val="14"/>
                <w:szCs w:val="14"/>
                <w:b w:val="1"/>
                <w:bCs w:val="1"/>
                <w:color w:val="auto"/>
              </w:rPr>
              <w:t>September 30,</w:t>
            </w: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w w:val="96"/>
              </w:rPr>
              <w:t>September 30,</w:t>
            </w:r>
          </w:p>
        </w:tc>
        <w:tc>
          <w:tcPr>
            <w:tcW w:w="0" w:type="dxa"/>
            <w:vAlign w:val="bottom"/>
          </w:tcPr>
          <w:p>
            <w:pPr>
              <w:spacing w:after="0"/>
              <w:rPr>
                <w:sz w:val="1"/>
                <w:szCs w:val="1"/>
                <w:color w:val="auto"/>
              </w:rPr>
            </w:pPr>
          </w:p>
        </w:tc>
      </w:tr>
      <w:tr>
        <w:trPr>
          <w:trHeight w:val="155"/>
        </w:trPr>
        <w:tc>
          <w:tcPr>
            <w:tcW w:w="80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ind w:right="173"/>
              <w:spacing w:after="0" w:line="148" w:lineRule="exact"/>
              <w:rPr>
                <w:sz w:val="20"/>
                <w:szCs w:val="20"/>
                <w:color w:val="auto"/>
              </w:rPr>
            </w:pPr>
            <w:r>
              <w:rPr>
                <w:rFonts w:ascii="Arial" w:cs="Arial" w:eastAsia="Arial" w:hAnsi="Arial"/>
                <w:sz w:val="14"/>
                <w:szCs w:val="14"/>
                <w:b w:val="1"/>
                <w:bCs w:val="1"/>
                <w:color w:val="auto"/>
              </w:rPr>
              <w:t>2012</w:t>
            </w: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ind w:right="193"/>
              <w:spacing w:after="0" w:line="148" w:lineRule="exact"/>
              <w:rPr>
                <w:sz w:val="20"/>
                <w:szCs w:val="20"/>
                <w:color w:val="auto"/>
              </w:rPr>
            </w:pPr>
            <w:r>
              <w:rPr>
                <w:rFonts w:ascii="Arial" w:cs="Arial" w:eastAsia="Arial" w:hAnsi="Arial"/>
                <w:sz w:val="14"/>
                <w:szCs w:val="14"/>
                <w:b w:val="1"/>
                <w:bCs w:val="1"/>
                <w:color w:val="auto"/>
              </w:rPr>
              <w:t>2011</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ind w:right="193"/>
              <w:spacing w:after="0" w:line="148"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740" w:type="dxa"/>
            <w:vAlign w:val="bottom"/>
            <w:tcBorders>
              <w:top w:val="single" w:sz="8" w:color="auto"/>
            </w:tcBorders>
          </w:tcPr>
          <w:p>
            <w:pPr>
              <w:spacing w:after="0"/>
              <w:rPr>
                <w:sz w:val="12"/>
                <w:szCs w:val="12"/>
                <w:color w:val="auto"/>
              </w:rPr>
            </w:pPr>
          </w:p>
        </w:tc>
        <w:tc>
          <w:tcPr>
            <w:tcW w:w="52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i w:val="1"/>
                <w:iCs w:val="1"/>
                <w:color w:val="auto"/>
                <w:w w:val="87"/>
              </w:rPr>
              <w:t>(unaudited)</w:t>
            </w:r>
          </w:p>
        </w:tc>
        <w:tc>
          <w:tcPr>
            <w:tcW w:w="440" w:type="dxa"/>
            <w:vAlign w:val="bottom"/>
            <w:gridSpan w:val="2"/>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73"/>
              <w:spacing w:after="0" w:line="149" w:lineRule="exact"/>
              <w:rPr>
                <w:sz w:val="20"/>
                <w:szCs w:val="20"/>
                <w:color w:val="auto"/>
              </w:rPr>
            </w:pPr>
            <w:r>
              <w:rPr>
                <w:rFonts w:ascii="Arial" w:cs="Arial" w:eastAsia="Arial" w:hAnsi="Arial"/>
                <w:sz w:val="14"/>
                <w:szCs w:val="14"/>
                <w:i w:val="1"/>
                <w:iCs w:val="1"/>
                <w:color w:val="auto"/>
                <w:w w:val="94"/>
              </w:rPr>
              <w:t>(audited)</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13"/>
              <w:spacing w:after="0" w:line="149" w:lineRule="exact"/>
              <w:rPr>
                <w:sz w:val="20"/>
                <w:szCs w:val="20"/>
                <w:color w:val="auto"/>
              </w:rPr>
            </w:pPr>
            <w:r>
              <w:rPr>
                <w:rFonts w:ascii="Arial" w:cs="Arial" w:eastAsia="Arial" w:hAnsi="Arial"/>
                <w:sz w:val="14"/>
                <w:szCs w:val="14"/>
                <w:i w:val="1"/>
                <w:iCs w:val="1"/>
                <w:color w:val="auto"/>
                <w:w w:val="87"/>
              </w:rPr>
              <w:t>(unaudited)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ind w:left="220"/>
              <w:spacing w:after="0"/>
              <w:rPr>
                <w:sz w:val="20"/>
                <w:szCs w:val="20"/>
                <w:color w:val="auto"/>
              </w:rPr>
            </w:pPr>
            <w:r>
              <w:rPr>
                <w:rFonts w:ascii="Arial" w:cs="Arial" w:eastAsia="Arial" w:hAnsi="Arial"/>
                <w:sz w:val="18"/>
                <w:szCs w:val="18"/>
                <w:color w:val="auto"/>
              </w:rPr>
              <w:t>Cash and due from banks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57,270</w:t>
            </w:r>
          </w:p>
        </w:tc>
        <w:tc>
          <w:tcPr>
            <w:tcW w:w="4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53,807</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57,780</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Interest-bearing deposits in banks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119,355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139,609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241,440</w:t>
            </w:r>
          </w:p>
        </w:tc>
        <w:tc>
          <w:tcPr>
            <w:tcW w:w="0" w:type="dxa"/>
            <w:vAlign w:val="bottom"/>
          </w:tcPr>
          <w:p>
            <w:pPr>
              <w:spacing w:after="0"/>
              <w:rPr>
                <w:sz w:val="1"/>
                <w:szCs w:val="1"/>
                <w:color w:val="auto"/>
              </w:rPr>
            </w:pPr>
          </w:p>
        </w:tc>
      </w:tr>
      <w:tr>
        <w:trPr>
          <w:trHeight w:val="208"/>
        </w:trPr>
        <w:tc>
          <w:tcPr>
            <w:tcW w:w="8000" w:type="dxa"/>
            <w:vAlign w:val="bottom"/>
            <w:gridSpan w:val="2"/>
          </w:tcPr>
          <w:p>
            <w:pPr>
              <w:ind w:left="220"/>
              <w:spacing w:after="0"/>
              <w:rPr>
                <w:sz w:val="20"/>
                <w:szCs w:val="20"/>
                <w:color w:val="auto"/>
              </w:rPr>
            </w:pPr>
            <w:r>
              <w:rPr>
                <w:rFonts w:ascii="Arial" w:cs="Arial" w:eastAsia="Arial" w:hAnsi="Arial"/>
                <w:sz w:val="18"/>
                <w:szCs w:val="18"/>
                <w:color w:val="auto"/>
                <w:w w:val="92"/>
              </w:rPr>
              <w:t>Federal funds sold, reverse repurchase agreements, securities lending, commercial paper and short-term</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8000" w:type="dxa"/>
            <w:vAlign w:val="bottom"/>
            <w:gridSpan w:val="2"/>
          </w:tcPr>
          <w:p>
            <w:pPr>
              <w:ind w:left="440"/>
              <w:spacing w:after="0"/>
              <w:rPr>
                <w:sz w:val="20"/>
                <w:szCs w:val="20"/>
                <w:color w:val="auto"/>
              </w:rPr>
            </w:pPr>
            <w:r>
              <w:rPr>
                <w:rFonts w:ascii="Arial" w:cs="Arial" w:eastAsia="Arial" w:hAnsi="Arial"/>
                <w:sz w:val="18"/>
                <w:szCs w:val="18"/>
                <w:color w:val="auto"/>
              </w:rPr>
              <w:t>investments</w:t>
            </w: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45,000</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185,000</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221,625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378,416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299,220</w:t>
            </w:r>
          </w:p>
        </w:tc>
        <w:tc>
          <w:tcPr>
            <w:tcW w:w="0" w:type="dxa"/>
            <w:vAlign w:val="bottom"/>
          </w:tcPr>
          <w:p>
            <w:pPr>
              <w:spacing w:after="0"/>
              <w:rPr>
                <w:sz w:val="1"/>
                <w:szCs w:val="1"/>
                <w:color w:val="auto"/>
              </w:rPr>
            </w:pPr>
          </w:p>
        </w:tc>
      </w:tr>
      <w:tr>
        <w:trPr>
          <w:trHeight w:val="216"/>
        </w:trPr>
        <w:tc>
          <w:tcPr>
            <w:tcW w:w="8000" w:type="dxa"/>
            <w:vAlign w:val="bottom"/>
            <w:gridSpan w:val="2"/>
          </w:tcPr>
          <w:p>
            <w:pPr>
              <w:ind w:left="220"/>
              <w:spacing w:after="0"/>
              <w:rPr>
                <w:sz w:val="20"/>
                <w:szCs w:val="20"/>
                <w:color w:val="auto"/>
              </w:rPr>
            </w:pPr>
            <w:r>
              <w:rPr>
                <w:rFonts w:ascii="Arial" w:cs="Arial" w:eastAsia="Arial" w:hAnsi="Arial"/>
                <w:sz w:val="18"/>
                <w:szCs w:val="18"/>
                <w:color w:val="auto"/>
              </w:rPr>
              <w:t>Securities available for sale</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1,761,994</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w w:val="84"/>
              </w:rPr>
              <w:t>1,790,047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1,769,083</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Securities held to maturity (fair value $281,336, $343,531 and $369,020)</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262,648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330,203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353,739</w:t>
            </w:r>
          </w:p>
        </w:tc>
        <w:tc>
          <w:tcPr>
            <w:tcW w:w="0" w:type="dxa"/>
            <w:vAlign w:val="bottom"/>
          </w:tcPr>
          <w:p>
            <w:pPr>
              <w:spacing w:after="0"/>
              <w:rPr>
                <w:sz w:val="1"/>
                <w:szCs w:val="1"/>
                <w:color w:val="auto"/>
              </w:rPr>
            </w:pPr>
          </w:p>
        </w:tc>
      </w:tr>
      <w:tr>
        <w:trPr>
          <w:trHeight w:val="216"/>
        </w:trPr>
        <w:tc>
          <w:tcPr>
            <w:tcW w:w="8000" w:type="dxa"/>
            <w:vAlign w:val="bottom"/>
            <w:gridSpan w:val="2"/>
          </w:tcPr>
          <w:p>
            <w:pPr>
              <w:ind w:left="220"/>
              <w:spacing w:after="0"/>
              <w:rPr>
                <w:sz w:val="20"/>
                <w:szCs w:val="20"/>
                <w:color w:val="auto"/>
              </w:rPr>
            </w:pPr>
            <w:r>
              <w:rPr>
                <w:rFonts w:ascii="Arial" w:cs="Arial" w:eastAsia="Arial" w:hAnsi="Arial"/>
                <w:sz w:val="18"/>
                <w:szCs w:val="18"/>
                <w:color w:val="auto"/>
              </w:rPr>
              <w:t>Mortgage loans held for sale</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30,571</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23,881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22,050</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Loans, net of unearned income</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4,137,845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4"/>
              </w:rPr>
              <w:t>4,109,614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4,109,875</w:t>
            </w:r>
          </w:p>
        </w:tc>
        <w:tc>
          <w:tcPr>
            <w:tcW w:w="0" w:type="dxa"/>
            <w:vAlign w:val="bottom"/>
          </w:tcPr>
          <w:p>
            <w:pPr>
              <w:spacing w:after="0"/>
              <w:rPr>
                <w:sz w:val="1"/>
                <w:szCs w:val="1"/>
                <w:color w:val="auto"/>
              </w:rPr>
            </w:pPr>
          </w:p>
        </w:tc>
      </w:tr>
      <w:tr>
        <w:trPr>
          <w:trHeight w:val="223"/>
        </w:trPr>
        <w:tc>
          <w:tcPr>
            <w:tcW w:w="8000" w:type="dxa"/>
            <w:vAlign w:val="bottom"/>
            <w:gridSpan w:val="2"/>
          </w:tcPr>
          <w:p>
            <w:pPr>
              <w:ind w:left="880"/>
              <w:spacing w:after="0"/>
              <w:rPr>
                <w:sz w:val="20"/>
                <w:szCs w:val="20"/>
                <w:color w:val="auto"/>
              </w:rPr>
            </w:pPr>
            <w:r>
              <w:rPr>
                <w:rFonts w:ascii="Arial" w:cs="Arial" w:eastAsia="Arial" w:hAnsi="Arial"/>
                <w:sz w:val="18"/>
                <w:szCs w:val="18"/>
                <w:color w:val="auto"/>
              </w:rPr>
              <w:t>Less allowance for loan losses</w:t>
            </w:r>
          </w:p>
        </w:tc>
        <w:tc>
          <w:tcPr>
            <w:tcW w:w="100" w:type="dxa"/>
            <w:vAlign w:val="bottom"/>
          </w:tcPr>
          <w:p>
            <w:pPr>
              <w:spacing w:after="0"/>
              <w:rPr>
                <w:sz w:val="19"/>
                <w:szCs w:val="19"/>
                <w:color w:val="auto"/>
              </w:rPr>
            </w:pPr>
          </w:p>
        </w:tc>
        <w:tc>
          <w:tcPr>
            <w:tcW w:w="1160" w:type="dxa"/>
            <w:vAlign w:val="bottom"/>
            <w:gridSpan w:val="3"/>
          </w:tcPr>
          <w:p>
            <w:pPr>
              <w:jc w:val="right"/>
              <w:ind w:right="380"/>
              <w:spacing w:after="0"/>
              <w:rPr>
                <w:sz w:val="20"/>
                <w:szCs w:val="20"/>
                <w:color w:val="auto"/>
              </w:rPr>
            </w:pPr>
            <w:r>
              <w:rPr>
                <w:rFonts w:ascii="Arial" w:cs="Arial" w:eastAsia="Arial" w:hAnsi="Arial"/>
                <w:sz w:val="18"/>
                <w:szCs w:val="18"/>
                <w:color w:val="auto"/>
                <w:w w:val="98"/>
              </w:rPr>
              <w:t>(107,642)</w:t>
            </w:r>
          </w:p>
        </w:tc>
        <w:tc>
          <w:tcPr>
            <w:tcW w:w="10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(114,468)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(146,092)</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520"/>
              <w:spacing w:after="0"/>
              <w:rPr>
                <w:sz w:val="20"/>
                <w:szCs w:val="20"/>
                <w:color w:val="auto"/>
              </w:rPr>
            </w:pPr>
            <w:r>
              <w:rPr>
                <w:rFonts w:ascii="Arial" w:cs="Arial" w:eastAsia="Arial" w:hAnsi="Arial"/>
                <w:sz w:val="18"/>
                <w:szCs w:val="18"/>
                <w:color w:val="auto"/>
              </w:rPr>
              <w:t>Loans, net</w:t>
            </w: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4,030,203</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3,995,146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3,963,783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ind w:left="220"/>
              <w:spacing w:after="0"/>
              <w:rPr>
                <w:sz w:val="20"/>
                <w:szCs w:val="20"/>
                <w:color w:val="auto"/>
              </w:rPr>
            </w:pPr>
            <w:r>
              <w:rPr>
                <w:rFonts w:ascii="Arial" w:cs="Arial" w:eastAsia="Arial" w:hAnsi="Arial"/>
                <w:sz w:val="18"/>
                <w:szCs w:val="18"/>
                <w:color w:val="auto"/>
              </w:rPr>
              <w:t>Assets covered by loss sharing agreements with the FDIC</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53,070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78,145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83,623</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Premises and equipment, net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170,532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175,088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176,839</w:t>
            </w:r>
          </w:p>
        </w:tc>
        <w:tc>
          <w:tcPr>
            <w:tcW w:w="0" w:type="dxa"/>
            <w:vAlign w:val="bottom"/>
          </w:tcPr>
          <w:p>
            <w:pPr>
              <w:spacing w:after="0"/>
              <w:rPr>
                <w:sz w:val="1"/>
                <w:szCs w:val="1"/>
                <w:color w:val="auto"/>
              </w:rPr>
            </w:pPr>
          </w:p>
        </w:tc>
      </w:tr>
      <w:tr>
        <w:trPr>
          <w:trHeight w:val="216"/>
        </w:trPr>
        <w:tc>
          <w:tcPr>
            <w:tcW w:w="8000" w:type="dxa"/>
            <w:vAlign w:val="bottom"/>
            <w:gridSpan w:val="2"/>
          </w:tcPr>
          <w:p>
            <w:pPr>
              <w:ind w:left="220"/>
              <w:spacing w:after="0"/>
              <w:rPr>
                <w:sz w:val="20"/>
                <w:szCs w:val="20"/>
                <w:color w:val="auto"/>
              </w:rPr>
            </w:pPr>
            <w:r>
              <w:rPr>
                <w:rFonts w:ascii="Arial" w:cs="Arial" w:eastAsia="Arial" w:hAnsi="Arial"/>
                <w:sz w:val="18"/>
                <w:szCs w:val="18"/>
                <w:color w:val="auto"/>
              </w:rPr>
              <w:t>Bank owned life insurance</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81,574</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80,599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80,452</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Accrued interest receivable</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19,133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20,693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19,744</w:t>
            </w:r>
          </w:p>
        </w:tc>
        <w:tc>
          <w:tcPr>
            <w:tcW w:w="0" w:type="dxa"/>
            <w:vAlign w:val="bottom"/>
          </w:tcPr>
          <w:p>
            <w:pPr>
              <w:spacing w:after="0"/>
              <w:rPr>
                <w:sz w:val="1"/>
                <w:szCs w:val="1"/>
                <w:color w:val="auto"/>
              </w:rPr>
            </w:pPr>
          </w:p>
        </w:tc>
      </w:tr>
      <w:tr>
        <w:trPr>
          <w:trHeight w:val="216"/>
        </w:trPr>
        <w:tc>
          <w:tcPr>
            <w:tcW w:w="8000" w:type="dxa"/>
            <w:vAlign w:val="bottom"/>
            <w:gridSpan w:val="2"/>
          </w:tcPr>
          <w:p>
            <w:pPr>
              <w:ind w:left="220"/>
              <w:spacing w:after="0"/>
              <w:rPr>
                <w:sz w:val="20"/>
                <w:szCs w:val="20"/>
                <w:color w:val="auto"/>
              </w:rPr>
            </w:pPr>
            <w:r>
              <w:rPr>
                <w:rFonts w:ascii="Arial" w:cs="Arial" w:eastAsia="Arial" w:hAnsi="Arial"/>
                <w:sz w:val="18"/>
                <w:szCs w:val="18"/>
                <w:color w:val="auto"/>
              </w:rPr>
              <w:t>Goodwill and other intangible assets</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6,237</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8,428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9,175</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Foreclosed property</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26,958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32,859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44,263</w:t>
            </w:r>
          </w:p>
        </w:tc>
        <w:tc>
          <w:tcPr>
            <w:tcW w:w="0" w:type="dxa"/>
            <w:vAlign w:val="bottom"/>
          </w:tcPr>
          <w:p>
            <w:pPr>
              <w:spacing w:after="0"/>
              <w:rPr>
                <w:sz w:val="1"/>
                <w:szCs w:val="1"/>
                <w:color w:val="auto"/>
              </w:rPr>
            </w:pPr>
          </w:p>
        </w:tc>
      </w:tr>
      <w:tr>
        <w:trPr>
          <w:trHeight w:val="223"/>
        </w:trPr>
        <w:tc>
          <w:tcPr>
            <w:tcW w:w="8000" w:type="dxa"/>
            <w:vAlign w:val="bottom"/>
            <w:gridSpan w:val="2"/>
          </w:tcPr>
          <w:p>
            <w:pPr>
              <w:ind w:left="220"/>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34,690</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69,915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72,302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660"/>
              <w:spacing w:after="0"/>
              <w:rPr>
                <w:sz w:val="20"/>
                <w:szCs w:val="20"/>
                <w:color w:val="auto"/>
              </w:rPr>
            </w:pPr>
            <w:r>
              <w:rPr>
                <w:rFonts w:ascii="Arial" w:cs="Arial" w:eastAsia="Arial" w:hAnsi="Arial"/>
                <w:sz w:val="18"/>
                <w:szCs w:val="18"/>
                <w:b w:val="1"/>
                <w:bCs w:val="1"/>
                <w:color w:val="auto"/>
              </w:rPr>
              <w:t>Total assets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6,699,235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4"/>
              </w:rPr>
              <w:t>6,983,420</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6,894,273</w:t>
            </w:r>
          </w:p>
        </w:tc>
        <w:tc>
          <w:tcPr>
            <w:tcW w:w="0" w:type="dxa"/>
            <w:vAlign w:val="bottom"/>
          </w:tcPr>
          <w:p>
            <w:pPr>
              <w:spacing w:after="0"/>
              <w:rPr>
                <w:sz w:val="1"/>
                <w:szCs w:val="1"/>
                <w:color w:val="auto"/>
              </w:rPr>
            </w:pPr>
          </w:p>
        </w:tc>
      </w:tr>
      <w:tr>
        <w:trPr>
          <w:trHeight w:val="20"/>
        </w:trPr>
        <w:tc>
          <w:tcPr>
            <w:tcW w:w="8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0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ind w:left="220"/>
              <w:spacing w:after="0"/>
              <w:rPr>
                <w:sz w:val="20"/>
                <w:szCs w:val="20"/>
                <w:color w:val="auto"/>
              </w:rPr>
            </w:pPr>
            <w:r>
              <w:rPr>
                <w:rFonts w:ascii="Arial" w:cs="Arial" w:eastAsia="Arial" w:hAnsi="Arial"/>
                <w:sz w:val="18"/>
                <w:szCs w:val="18"/>
                <w:color w:val="auto"/>
              </w:rPr>
              <w:t>Deposits: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Demand</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1,210,703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992,109</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966,452</w:t>
            </w:r>
          </w:p>
        </w:tc>
        <w:tc>
          <w:tcPr>
            <w:tcW w:w="0" w:type="dxa"/>
            <w:vAlign w:val="bottom"/>
          </w:tcPr>
          <w:p>
            <w:pPr>
              <w:spacing w:after="0"/>
              <w:rPr>
                <w:sz w:val="1"/>
                <w:szCs w:val="1"/>
                <w:color w:val="auto"/>
              </w:rPr>
            </w:pPr>
          </w:p>
        </w:tc>
      </w:tr>
      <w:tr>
        <w:trPr>
          <w:trHeight w:val="216"/>
        </w:trPr>
        <w:tc>
          <w:tcPr>
            <w:tcW w:w="8000" w:type="dxa"/>
            <w:vAlign w:val="bottom"/>
            <w:gridSpan w:val="2"/>
          </w:tcPr>
          <w:p>
            <w:pPr>
              <w:ind w:left="880"/>
              <w:spacing w:after="0"/>
              <w:rPr>
                <w:sz w:val="20"/>
                <w:szCs w:val="20"/>
                <w:color w:val="auto"/>
              </w:rPr>
            </w:pPr>
            <w:r>
              <w:rPr>
                <w:rFonts w:ascii="Arial" w:cs="Arial" w:eastAsia="Arial" w:hAnsi="Arial"/>
                <w:sz w:val="18"/>
                <w:szCs w:val="18"/>
                <w:color w:val="auto"/>
              </w:rPr>
              <w:t>NOW</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1,184,341</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w w:val="84"/>
              </w:rPr>
              <w:t>1,509,896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1,299,512</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Money market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1,126,312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4"/>
              </w:rPr>
              <w:t>1,038,778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1,030,370</w:t>
            </w:r>
          </w:p>
        </w:tc>
        <w:tc>
          <w:tcPr>
            <w:tcW w:w="0" w:type="dxa"/>
            <w:vAlign w:val="bottom"/>
          </w:tcPr>
          <w:p>
            <w:pPr>
              <w:spacing w:after="0"/>
              <w:rPr>
                <w:sz w:val="1"/>
                <w:szCs w:val="1"/>
                <w:color w:val="auto"/>
              </w:rPr>
            </w:pPr>
          </w:p>
        </w:tc>
      </w:tr>
      <w:tr>
        <w:trPr>
          <w:trHeight w:val="216"/>
        </w:trPr>
        <w:tc>
          <w:tcPr>
            <w:tcW w:w="8000" w:type="dxa"/>
            <w:vAlign w:val="bottom"/>
            <w:gridSpan w:val="2"/>
          </w:tcPr>
          <w:p>
            <w:pPr>
              <w:ind w:left="880"/>
              <w:spacing w:after="0"/>
              <w:rPr>
                <w:sz w:val="20"/>
                <w:szCs w:val="20"/>
                <w:color w:val="auto"/>
              </w:rPr>
            </w:pPr>
            <w:r>
              <w:rPr>
                <w:rFonts w:ascii="Arial" w:cs="Arial" w:eastAsia="Arial" w:hAnsi="Arial"/>
                <w:sz w:val="18"/>
                <w:szCs w:val="18"/>
                <w:color w:val="auto"/>
              </w:rPr>
              <w:t>Savings</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222,431</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199,007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200,231</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Time:</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ind w:left="1300"/>
              <w:spacing w:after="0"/>
              <w:rPr>
                <w:sz w:val="20"/>
                <w:szCs w:val="20"/>
                <w:color w:val="auto"/>
              </w:rPr>
            </w:pPr>
            <w:r>
              <w:rPr>
                <w:rFonts w:ascii="Arial" w:cs="Arial" w:eastAsia="Arial" w:hAnsi="Arial"/>
                <w:sz w:val="18"/>
                <w:szCs w:val="18"/>
                <w:color w:val="auto"/>
              </w:rPr>
              <w:t>Less than $100,000</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1,123,672</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w w:val="84"/>
              </w:rPr>
              <w:t>1,332,394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1,393,559</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rPr>
              <w:t>Greater than $100,000</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731,766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847,152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905,183</w:t>
            </w:r>
          </w:p>
        </w:tc>
        <w:tc>
          <w:tcPr>
            <w:tcW w:w="0" w:type="dxa"/>
            <w:vAlign w:val="bottom"/>
          </w:tcPr>
          <w:p>
            <w:pPr>
              <w:spacing w:after="0"/>
              <w:rPr>
                <w:sz w:val="1"/>
                <w:szCs w:val="1"/>
                <w:color w:val="auto"/>
              </w:rPr>
            </w:pPr>
          </w:p>
        </w:tc>
      </w:tr>
      <w:tr>
        <w:trPr>
          <w:trHeight w:val="223"/>
        </w:trPr>
        <w:tc>
          <w:tcPr>
            <w:tcW w:w="8000" w:type="dxa"/>
            <w:vAlign w:val="bottom"/>
            <w:gridSpan w:val="2"/>
          </w:tcPr>
          <w:p>
            <w:pPr>
              <w:ind w:left="880"/>
              <w:spacing w:after="0"/>
              <w:rPr>
                <w:sz w:val="20"/>
                <w:szCs w:val="20"/>
                <w:color w:val="auto"/>
              </w:rPr>
            </w:pPr>
            <w:r>
              <w:rPr>
                <w:rFonts w:ascii="Arial" w:cs="Arial" w:eastAsia="Arial" w:hAnsi="Arial"/>
                <w:sz w:val="18"/>
                <w:szCs w:val="18"/>
                <w:color w:val="auto"/>
              </w:rPr>
              <w:t>Brokered</w:t>
            </w: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223,474</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178,647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209,998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740"/>
              <w:spacing w:after="0"/>
              <w:rPr>
                <w:sz w:val="20"/>
                <w:szCs w:val="20"/>
                <w:color w:val="auto"/>
              </w:rPr>
            </w:pPr>
            <w:r>
              <w:rPr>
                <w:rFonts w:ascii="Arial" w:cs="Arial" w:eastAsia="Arial" w:hAnsi="Arial"/>
                <w:sz w:val="18"/>
                <w:szCs w:val="18"/>
                <w:color w:val="auto"/>
              </w:rPr>
              <w:t>Total deposits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5,822,699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4"/>
              </w:rPr>
              <w:t>6,097,983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6,005,305</w:t>
            </w:r>
          </w:p>
        </w:tc>
        <w:tc>
          <w:tcPr>
            <w:tcW w:w="0" w:type="dxa"/>
            <w:vAlign w:val="bottom"/>
          </w:tcPr>
          <w:p>
            <w:pPr>
              <w:spacing w:after="0"/>
              <w:rPr>
                <w:sz w:val="1"/>
                <w:szCs w:val="1"/>
                <w:color w:val="auto"/>
              </w:rPr>
            </w:pPr>
          </w:p>
        </w:tc>
      </w:tr>
      <w:tr>
        <w:trPr>
          <w:trHeight w:val="216"/>
        </w:trPr>
        <w:tc>
          <w:tcPr>
            <w:tcW w:w="8000" w:type="dxa"/>
            <w:vAlign w:val="bottom"/>
            <w:gridSpan w:val="2"/>
          </w:tcPr>
          <w:p>
            <w:pPr>
              <w:ind w:left="220"/>
              <w:spacing w:after="0"/>
              <w:rPr>
                <w:sz w:val="20"/>
                <w:szCs w:val="20"/>
                <w:color w:val="auto"/>
              </w:rPr>
            </w:pPr>
            <w:r>
              <w:rPr>
                <w:rFonts w:ascii="Arial" w:cs="Arial" w:eastAsia="Arial" w:hAnsi="Arial"/>
                <w:sz w:val="18"/>
                <w:szCs w:val="18"/>
                <w:color w:val="auto"/>
              </w:rPr>
              <w:t>Federal funds purchased, repurchase agreements, and other short-term borrowings</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53,243</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102,577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102,883</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Federal Home Loan Bank advances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50,125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40,625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40,625</w:t>
            </w:r>
          </w:p>
        </w:tc>
        <w:tc>
          <w:tcPr>
            <w:tcW w:w="0" w:type="dxa"/>
            <w:vAlign w:val="bottom"/>
          </w:tcPr>
          <w:p>
            <w:pPr>
              <w:spacing w:after="0"/>
              <w:rPr>
                <w:sz w:val="1"/>
                <w:szCs w:val="1"/>
                <w:color w:val="auto"/>
              </w:rPr>
            </w:pPr>
          </w:p>
        </w:tc>
      </w:tr>
      <w:tr>
        <w:trPr>
          <w:trHeight w:val="216"/>
        </w:trPr>
        <w:tc>
          <w:tcPr>
            <w:tcW w:w="8000" w:type="dxa"/>
            <w:vAlign w:val="bottom"/>
            <w:gridSpan w:val="2"/>
          </w:tcPr>
          <w:p>
            <w:pPr>
              <w:ind w:left="220"/>
              <w:spacing w:after="0"/>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120,285</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120,225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120,206</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Unsettled securities purchases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24,319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10,325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10,585</w:t>
            </w:r>
          </w:p>
        </w:tc>
        <w:tc>
          <w:tcPr>
            <w:tcW w:w="0" w:type="dxa"/>
            <w:vAlign w:val="bottom"/>
          </w:tcPr>
          <w:p>
            <w:pPr>
              <w:spacing w:after="0"/>
              <w:rPr>
                <w:sz w:val="1"/>
                <w:szCs w:val="1"/>
                <w:color w:val="auto"/>
              </w:rPr>
            </w:pPr>
          </w:p>
        </w:tc>
      </w:tr>
      <w:tr>
        <w:trPr>
          <w:trHeight w:val="223"/>
        </w:trPr>
        <w:tc>
          <w:tcPr>
            <w:tcW w:w="8000" w:type="dxa"/>
            <w:vAlign w:val="bottom"/>
            <w:gridSpan w:val="2"/>
          </w:tcPr>
          <w:p>
            <w:pPr>
              <w:ind w:left="220"/>
              <w:spacing w:after="0"/>
              <w:rPr>
                <w:sz w:val="20"/>
                <w:szCs w:val="20"/>
                <w:color w:val="auto"/>
              </w:rPr>
            </w:pPr>
            <w:r>
              <w:rPr>
                <w:rFonts w:ascii="Arial" w:cs="Arial" w:eastAsia="Arial" w:hAnsi="Arial"/>
                <w:sz w:val="18"/>
                <w:szCs w:val="18"/>
                <w:color w:val="auto"/>
              </w:rPr>
              <w:t>Accrued expenses and other liabilities</w:t>
            </w: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43,309</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36,199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880"/>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6,113,980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4"/>
              </w:rPr>
              <w:t>6,407,934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6,310,906</w:t>
            </w:r>
          </w:p>
        </w:tc>
        <w:tc>
          <w:tcPr>
            <w:tcW w:w="0" w:type="dxa"/>
            <w:vAlign w:val="bottom"/>
          </w:tcPr>
          <w:p>
            <w:pPr>
              <w:spacing w:after="0"/>
              <w:rPr>
                <w:sz w:val="1"/>
                <w:szCs w:val="1"/>
                <w:color w:val="auto"/>
              </w:rPr>
            </w:pPr>
          </w:p>
        </w:tc>
      </w:tr>
      <w:tr>
        <w:trPr>
          <w:trHeight w:val="222"/>
        </w:trPr>
        <w:tc>
          <w:tcPr>
            <w:tcW w:w="8000" w:type="dxa"/>
            <w:vAlign w:val="bottom"/>
            <w:gridSpan w:val="2"/>
          </w:tcPr>
          <w:p>
            <w:pPr>
              <w:spacing w:after="0"/>
              <w:rPr>
                <w:sz w:val="20"/>
                <w:szCs w:val="20"/>
                <w:color w:val="auto"/>
              </w:rPr>
            </w:pPr>
            <w:r>
              <w:rPr>
                <w:rFonts w:ascii="Arial" w:cs="Arial" w:eastAsia="Arial" w:hAnsi="Arial"/>
                <w:sz w:val="18"/>
                <w:szCs w:val="18"/>
                <w:color w:val="auto"/>
              </w:rPr>
              <w:t>Shareholders’ equity:</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0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Preferred stock, $1 par value; 10,000,000 shares authorized;</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ind w:left="1080"/>
              <w:spacing w:after="0"/>
              <w:rPr>
                <w:sz w:val="20"/>
                <w:szCs w:val="20"/>
                <w:color w:val="auto"/>
              </w:rPr>
            </w:pPr>
            <w:r>
              <w:rPr>
                <w:rFonts w:ascii="Arial" w:cs="Arial" w:eastAsia="Arial" w:hAnsi="Arial"/>
                <w:sz w:val="18"/>
                <w:szCs w:val="18"/>
                <w:color w:val="auto"/>
              </w:rPr>
              <w:t>Series A; $10 stated value; 21,700 shares issued and outstanding</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217</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217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Series B; $1,000 stated value; 180,000 shares issued and outstanding</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178,183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177,092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176,739</w:t>
            </w:r>
          </w:p>
        </w:tc>
        <w:tc>
          <w:tcPr>
            <w:tcW w:w="0" w:type="dxa"/>
            <w:vAlign w:val="bottom"/>
          </w:tcPr>
          <w:p>
            <w:pPr>
              <w:spacing w:after="0"/>
              <w:rPr>
                <w:sz w:val="1"/>
                <w:szCs w:val="1"/>
                <w:color w:val="auto"/>
              </w:rPr>
            </w:pPr>
          </w:p>
        </w:tc>
      </w:tr>
      <w:tr>
        <w:trPr>
          <w:trHeight w:val="216"/>
        </w:trPr>
        <w:tc>
          <w:tcPr>
            <w:tcW w:w="8000" w:type="dxa"/>
            <w:vAlign w:val="bottom"/>
            <w:gridSpan w:val="2"/>
          </w:tcPr>
          <w:p>
            <w:pPr>
              <w:ind w:left="1080"/>
              <w:spacing w:after="0"/>
              <w:rPr>
                <w:sz w:val="20"/>
                <w:szCs w:val="20"/>
                <w:color w:val="auto"/>
              </w:rPr>
            </w:pPr>
            <w:r>
              <w:rPr>
                <w:rFonts w:ascii="Arial" w:cs="Arial" w:eastAsia="Arial" w:hAnsi="Arial"/>
                <w:sz w:val="18"/>
                <w:szCs w:val="18"/>
                <w:color w:val="auto"/>
              </w:rPr>
              <w:t>Series D; $1,000 stated value; 16,613 shares issued and outstanding</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16,613</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16,613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16,613</w:t>
            </w:r>
          </w:p>
        </w:tc>
        <w:tc>
          <w:tcPr>
            <w:tcW w:w="0" w:type="dxa"/>
            <w:vAlign w:val="bottom"/>
          </w:tcPr>
          <w:p>
            <w:pPr>
              <w:spacing w:after="0"/>
              <w:rPr>
                <w:sz w:val="1"/>
                <w:szCs w:val="1"/>
                <w:color w:val="auto"/>
              </w:rPr>
            </w:pPr>
          </w:p>
        </w:tc>
      </w:tr>
      <w:tr>
        <w:trPr>
          <w:trHeight w:val="208"/>
        </w:trPr>
        <w:tc>
          <w:tcPr>
            <w:tcW w:w="80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2"/>
              </w:rPr>
              <w:t>Common stock, $1 par value; 100,000,000 shares authorized; 42,393,319, 41,647,100 and 41,595,692</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0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shares issued and outstanding</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42,393</w:t>
            </w: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41,647</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41,596</w:t>
            </w:r>
          </w:p>
        </w:tc>
        <w:tc>
          <w:tcPr>
            <w:tcW w:w="0" w:type="dxa"/>
            <w:vAlign w:val="bottom"/>
          </w:tcPr>
          <w:p>
            <w:pPr>
              <w:spacing w:after="0"/>
              <w:rPr>
                <w:sz w:val="1"/>
                <w:szCs w:val="1"/>
                <w:color w:val="auto"/>
              </w:rPr>
            </w:pPr>
          </w:p>
        </w:tc>
      </w:tr>
      <w:tr>
        <w:trPr>
          <w:trHeight w:val="208"/>
        </w:trPr>
        <w:tc>
          <w:tcPr>
            <w:tcW w:w="8000" w:type="dxa"/>
            <w:vAlign w:val="bottom"/>
            <w:gridSpan w:val="2"/>
          </w:tcPr>
          <w:p>
            <w:pPr>
              <w:ind w:left="440"/>
              <w:spacing w:after="0"/>
              <w:rPr>
                <w:sz w:val="20"/>
                <w:szCs w:val="20"/>
                <w:color w:val="auto"/>
              </w:rPr>
            </w:pPr>
            <w:r>
              <w:rPr>
                <w:rFonts w:ascii="Arial" w:cs="Arial" w:eastAsia="Arial" w:hAnsi="Arial"/>
                <w:sz w:val="18"/>
                <w:szCs w:val="18"/>
                <w:color w:val="auto"/>
                <w:w w:val="93"/>
              </w:rPr>
              <w:t>Common stock, non-voting, $1 par value; 30,000,000 shares authorized; 15,316,794, 15,914,209 and</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000" w:type="dxa"/>
            <w:vAlign w:val="bottom"/>
            <w:gridSpan w:val="2"/>
          </w:tcPr>
          <w:p>
            <w:pPr>
              <w:ind w:left="660"/>
              <w:spacing w:after="0"/>
              <w:rPr>
                <w:sz w:val="20"/>
                <w:szCs w:val="20"/>
                <w:color w:val="auto"/>
              </w:rPr>
            </w:pPr>
            <w:r>
              <w:rPr>
                <w:rFonts w:ascii="Arial" w:cs="Arial" w:eastAsia="Arial" w:hAnsi="Arial"/>
                <w:sz w:val="18"/>
                <w:szCs w:val="18"/>
                <w:color w:val="auto"/>
              </w:rPr>
              <w:t>15,914,209 shares issued and outstanding</w:t>
            </w:r>
          </w:p>
        </w:tc>
        <w:tc>
          <w:tcPr>
            <w:tcW w:w="10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15,317</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15,914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15,914</w:t>
            </w:r>
          </w:p>
        </w:tc>
        <w:tc>
          <w:tcPr>
            <w:tcW w:w="0" w:type="dxa"/>
            <w:vAlign w:val="bottom"/>
          </w:tcPr>
          <w:p>
            <w:pPr>
              <w:spacing w:after="0"/>
              <w:rPr>
                <w:sz w:val="1"/>
                <w:szCs w:val="1"/>
                <w:color w:val="auto"/>
              </w:rPr>
            </w:pPr>
          </w:p>
        </w:tc>
      </w:tr>
      <w:tr>
        <w:trPr>
          <w:trHeight w:val="217"/>
        </w:trPr>
        <w:tc>
          <w:tcPr>
            <w:tcW w:w="80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Common stock issuable; 129,270, 93,681 and 88,501 shares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3,247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3,233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3,590</w:t>
            </w:r>
          </w:p>
        </w:tc>
        <w:tc>
          <w:tcPr>
            <w:tcW w:w="0" w:type="dxa"/>
            <w:vAlign w:val="bottom"/>
          </w:tcPr>
          <w:p>
            <w:pPr>
              <w:spacing w:after="0"/>
              <w:rPr>
                <w:sz w:val="1"/>
                <w:szCs w:val="1"/>
                <w:color w:val="auto"/>
              </w:rPr>
            </w:pPr>
          </w:p>
        </w:tc>
      </w:tr>
      <w:tr>
        <w:trPr>
          <w:trHeight w:val="216"/>
        </w:trPr>
        <w:tc>
          <w:tcPr>
            <w:tcW w:w="8000" w:type="dxa"/>
            <w:vAlign w:val="bottom"/>
            <w:gridSpan w:val="2"/>
          </w:tcPr>
          <w:p>
            <w:pPr>
              <w:ind w:left="440"/>
              <w:spacing w:after="0"/>
              <w:rPr>
                <w:sz w:val="20"/>
                <w:szCs w:val="20"/>
                <w:color w:val="auto"/>
              </w:rPr>
            </w:pPr>
            <w:r>
              <w:rPr>
                <w:rFonts w:ascii="Arial" w:cs="Arial" w:eastAsia="Arial" w:hAnsi="Arial"/>
                <w:sz w:val="18"/>
                <w:szCs w:val="18"/>
                <w:color w:val="auto"/>
              </w:rPr>
              <w:t>Capital surplus</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1,056,998</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w w:val="84"/>
              </w:rPr>
              <w:t>1,054,940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1,053,565</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w w:val="98"/>
              </w:rPr>
              <w:t>(711,369)</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(730,861)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(737,736)</w:t>
            </w:r>
          </w:p>
        </w:tc>
        <w:tc>
          <w:tcPr>
            <w:tcW w:w="0" w:type="dxa"/>
            <w:vAlign w:val="bottom"/>
          </w:tcPr>
          <w:p>
            <w:pPr>
              <w:spacing w:after="0"/>
              <w:rPr>
                <w:sz w:val="1"/>
                <w:szCs w:val="1"/>
                <w:color w:val="auto"/>
              </w:rPr>
            </w:pPr>
          </w:p>
        </w:tc>
      </w:tr>
      <w:tr>
        <w:trPr>
          <w:trHeight w:val="223"/>
        </w:trPr>
        <w:tc>
          <w:tcPr>
            <w:tcW w:w="8000" w:type="dxa"/>
            <w:vAlign w:val="bottom"/>
            <w:gridSpan w:val="2"/>
          </w:tcPr>
          <w:p>
            <w:pPr>
              <w:ind w:left="440"/>
              <w:spacing w:after="0"/>
              <w:rPr>
                <w:sz w:val="20"/>
                <w:szCs w:val="20"/>
                <w:color w:val="auto"/>
              </w:rPr>
            </w:pPr>
            <w:r>
              <w:rPr>
                <w:rFonts w:ascii="Arial" w:cs="Arial" w:eastAsia="Arial" w:hAnsi="Arial"/>
                <w:sz w:val="18"/>
                <w:szCs w:val="18"/>
                <w:color w:val="auto"/>
              </w:rPr>
              <w:t>Accumulated other comprehensive (loss) income</w:t>
            </w:r>
          </w:p>
        </w:tc>
        <w:tc>
          <w:tcPr>
            <w:tcW w:w="100" w:type="dxa"/>
            <w:vAlign w:val="bottom"/>
          </w:tcPr>
          <w:p>
            <w:pPr>
              <w:spacing w:after="0"/>
              <w:rPr>
                <w:sz w:val="19"/>
                <w:szCs w:val="19"/>
                <w:color w:val="auto"/>
              </w:rPr>
            </w:pPr>
          </w:p>
        </w:tc>
        <w:tc>
          <w:tcPr>
            <w:tcW w:w="1160" w:type="dxa"/>
            <w:vAlign w:val="bottom"/>
            <w:gridSpan w:val="3"/>
          </w:tcPr>
          <w:p>
            <w:pPr>
              <w:jc w:val="right"/>
              <w:ind w:right="380"/>
              <w:spacing w:after="0"/>
              <w:rPr>
                <w:sz w:val="20"/>
                <w:szCs w:val="20"/>
                <w:color w:val="auto"/>
              </w:rPr>
            </w:pPr>
            <w:r>
              <w:rPr>
                <w:rFonts w:ascii="Arial" w:cs="Arial" w:eastAsia="Arial" w:hAnsi="Arial"/>
                <w:sz w:val="18"/>
                <w:szCs w:val="18"/>
                <w:color w:val="auto"/>
              </w:rPr>
              <w:t>(16,344)</w:t>
            </w:r>
          </w:p>
        </w:tc>
        <w:tc>
          <w:tcPr>
            <w:tcW w:w="10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(3,309)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12,869</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880"/>
              <w:spacing w:after="0"/>
              <w:rPr>
                <w:sz w:val="20"/>
                <w:szCs w:val="20"/>
                <w:color w:val="auto"/>
              </w:rPr>
            </w:pPr>
            <w:r>
              <w:rPr>
                <w:rFonts w:ascii="Arial" w:cs="Arial" w:eastAsia="Arial" w:hAnsi="Arial"/>
                <w:sz w:val="18"/>
                <w:szCs w:val="18"/>
                <w:b w:val="1"/>
                <w:bCs w:val="1"/>
                <w:color w:val="auto"/>
              </w:rPr>
              <w:t>Total shareholders’ equity</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585,255</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575,486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583,367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000" w:type="dxa"/>
            <w:vAlign w:val="bottom"/>
            <w:gridSpan w:val="2"/>
          </w:tcPr>
          <w:p>
            <w:pPr>
              <w:ind w:left="880"/>
              <w:spacing w:after="0"/>
              <w:rPr>
                <w:sz w:val="20"/>
                <w:szCs w:val="20"/>
                <w:color w:val="auto"/>
              </w:rPr>
            </w:pPr>
            <w:r>
              <w:rPr>
                <w:rFonts w:ascii="Arial" w:cs="Arial" w:eastAsia="Arial" w:hAnsi="Arial"/>
                <w:sz w:val="18"/>
                <w:szCs w:val="18"/>
                <w:b w:val="1"/>
                <w:bCs w:val="1"/>
                <w:color w:val="auto"/>
              </w:rPr>
              <w:t>Total liabilities and shareholders’ equity</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6,699,235</w:t>
            </w:r>
          </w:p>
        </w:tc>
        <w:tc>
          <w:tcPr>
            <w:tcW w:w="4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u w:val="single" w:color="auto"/>
                <w:color w:val="auto"/>
                <w:w w:val="79"/>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w w:val="84"/>
              </w:rPr>
              <w:t>6,983,420</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6,894,273</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20"/>
          </w:cols>
          <w:pgMar w:left="240" w:top="459" w:right="23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COMMUNITY BANKS,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Consolidated Statement of Changes in Shareholders’ Equity </w:t>
      </w:r>
      <w:r>
        <w:rPr>
          <w:rFonts w:ascii="Arial" w:cs="Arial" w:eastAsia="Arial" w:hAnsi="Arial"/>
          <w:sz w:val="18"/>
          <w:szCs w:val="18"/>
          <w:i w:val="1"/>
          <w:iCs w:val="1"/>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Nine Months Ended September 30,</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6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 except</w:t>
            </w:r>
          </w:p>
        </w:tc>
        <w:tc>
          <w:tcPr>
            <w:tcW w:w="3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Preferred Stock</w:t>
            </w: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8"/>
              </w:rPr>
              <w:t>Accumulated</w:t>
            </w: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156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gridSpan w:val="2"/>
          </w:tcPr>
          <w:p>
            <w:pPr>
              <w:jc w:val="center"/>
              <w:spacing w:after="0" w:line="118" w:lineRule="exact"/>
              <w:rPr>
                <w:sz w:val="20"/>
                <w:szCs w:val="20"/>
                <w:color w:val="auto"/>
              </w:rPr>
            </w:pPr>
            <w:r>
              <w:rPr>
                <w:rFonts w:ascii="Arial" w:cs="Arial" w:eastAsia="Arial" w:hAnsi="Arial"/>
                <w:sz w:val="12"/>
                <w:szCs w:val="12"/>
                <w:b w:val="1"/>
                <w:bCs w:val="1"/>
                <w:color w:val="auto"/>
              </w:rPr>
              <w:t>Non-Voting</w:t>
            </w:r>
          </w:p>
        </w:tc>
        <w:tc>
          <w:tcPr>
            <w:tcW w:w="160" w:type="dxa"/>
            <w:vAlign w:val="bottom"/>
          </w:tcPr>
          <w:p>
            <w:pPr>
              <w:spacing w:after="0"/>
              <w:rPr>
                <w:sz w:val="10"/>
                <w:szCs w:val="10"/>
                <w:color w:val="auto"/>
              </w:rPr>
            </w:pPr>
          </w:p>
        </w:tc>
        <w:tc>
          <w:tcPr>
            <w:tcW w:w="700" w:type="dxa"/>
            <w:vAlign w:val="bottom"/>
            <w:gridSpan w:val="2"/>
          </w:tcPr>
          <w:p>
            <w:pPr>
              <w:jc w:val="center"/>
              <w:ind w:right="160"/>
              <w:spacing w:after="0" w:line="118" w:lineRule="exact"/>
              <w:rPr>
                <w:sz w:val="20"/>
                <w:szCs w:val="20"/>
                <w:color w:val="auto"/>
              </w:rPr>
            </w:pPr>
            <w:r>
              <w:rPr>
                <w:rFonts w:ascii="Arial" w:cs="Arial" w:eastAsia="Arial" w:hAnsi="Arial"/>
                <w:sz w:val="12"/>
                <w:szCs w:val="12"/>
                <w:b w:val="1"/>
                <w:bCs w:val="1"/>
                <w:color w:val="auto"/>
              </w:rPr>
              <w:t>Common</w:t>
            </w: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gridSpan w:val="2"/>
          </w:tcPr>
          <w:p>
            <w:pPr>
              <w:jc w:val="center"/>
              <w:ind w:right="300"/>
              <w:spacing w:after="0" w:line="118" w:lineRule="exact"/>
              <w:rPr>
                <w:sz w:val="20"/>
                <w:szCs w:val="20"/>
                <w:color w:val="auto"/>
              </w:rPr>
            </w:pPr>
            <w:r>
              <w:rPr>
                <w:rFonts w:ascii="Arial" w:cs="Arial" w:eastAsia="Arial" w:hAnsi="Arial"/>
                <w:sz w:val="12"/>
                <w:szCs w:val="12"/>
                <w:b w:val="1"/>
                <w:bCs w:val="1"/>
                <w:color w:val="auto"/>
              </w:rPr>
              <w:t>Other</w:t>
            </w: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560" w:type="dxa"/>
            <w:vAlign w:val="bottom"/>
            <w:gridSpan w:val="2"/>
          </w:tcPr>
          <w:p>
            <w:pPr>
              <w:spacing w:after="0" w:line="149" w:lineRule="exact"/>
              <w:rPr>
                <w:sz w:val="20"/>
                <w:szCs w:val="20"/>
                <w:color w:val="auto"/>
              </w:rPr>
            </w:pPr>
            <w:r>
              <w:rPr>
                <w:rFonts w:ascii="Arial" w:cs="Arial" w:eastAsia="Arial" w:hAnsi="Arial"/>
                <w:sz w:val="14"/>
                <w:szCs w:val="14"/>
                <w:i w:val="1"/>
                <w:iCs w:val="1"/>
                <w:color w:val="auto"/>
              </w:rPr>
              <w:t>share and per share</w:t>
            </w:r>
          </w:p>
        </w:tc>
        <w:tc>
          <w:tcPr>
            <w:tcW w:w="5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0"/>
              </w:rPr>
              <w:t>Series</w:t>
            </w:r>
          </w:p>
        </w:tc>
        <w:tc>
          <w:tcPr>
            <w:tcW w:w="660" w:type="dxa"/>
            <w:vAlign w:val="bottom"/>
          </w:tcPr>
          <w:p>
            <w:pPr>
              <w:jc w:val="right"/>
              <w:ind w:right="82"/>
              <w:spacing w:after="0" w:line="149" w:lineRule="exact"/>
              <w:rPr>
                <w:sz w:val="20"/>
                <w:szCs w:val="20"/>
                <w:color w:val="auto"/>
              </w:rPr>
            </w:pPr>
            <w:r>
              <w:rPr>
                <w:rFonts w:ascii="Arial" w:cs="Arial" w:eastAsia="Arial" w:hAnsi="Arial"/>
                <w:sz w:val="14"/>
                <w:szCs w:val="14"/>
                <w:b w:val="1"/>
                <w:bCs w:val="1"/>
                <w:color w:val="auto"/>
              </w:rPr>
              <w:t>Series</w:t>
            </w:r>
          </w:p>
        </w:tc>
        <w:tc>
          <w:tcPr>
            <w:tcW w:w="160" w:type="dxa"/>
            <w:vAlign w:val="bottom"/>
          </w:tcPr>
          <w:p>
            <w:pPr>
              <w:spacing w:after="0"/>
              <w:rPr>
                <w:sz w:val="12"/>
                <w:szCs w:val="12"/>
                <w:color w:val="auto"/>
              </w:rPr>
            </w:pPr>
          </w:p>
        </w:tc>
        <w:tc>
          <w:tcPr>
            <w:tcW w:w="58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Series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95"/>
              </w:rPr>
              <w:t>Series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99"/>
              </w:rPr>
              <w:t>Series</w:t>
            </w:r>
          </w:p>
        </w:tc>
        <w:tc>
          <w:tcPr>
            <w:tcW w:w="40" w:type="dxa"/>
            <w:vAlign w:val="bottom"/>
          </w:tcPr>
          <w:p>
            <w:pPr>
              <w:spacing w:after="0"/>
              <w:rPr>
                <w:sz w:val="12"/>
                <w:szCs w:val="12"/>
                <w:color w:val="auto"/>
              </w:rPr>
            </w:pPr>
          </w:p>
        </w:tc>
        <w:tc>
          <w:tcPr>
            <w:tcW w:w="74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w w:val="88"/>
              </w:rPr>
              <w:t>Common</w:t>
            </w: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Common</w:t>
            </w:r>
          </w:p>
        </w:tc>
        <w:tc>
          <w:tcPr>
            <w:tcW w:w="160" w:type="dxa"/>
            <w:vAlign w:val="bottom"/>
          </w:tcPr>
          <w:p>
            <w:pPr>
              <w:spacing w:after="0"/>
              <w:rPr>
                <w:sz w:val="12"/>
                <w:szCs w:val="12"/>
                <w:color w:val="auto"/>
              </w:rPr>
            </w:pPr>
          </w:p>
        </w:tc>
        <w:tc>
          <w:tcPr>
            <w:tcW w:w="7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3"/>
              </w:rPr>
              <w:t>Stock</w:t>
            </w:r>
          </w:p>
        </w:tc>
        <w:tc>
          <w:tcPr>
            <w:tcW w:w="92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Capital</w:t>
            </w:r>
          </w:p>
        </w:tc>
        <w:tc>
          <w:tcPr>
            <w:tcW w:w="40" w:type="dxa"/>
            <w:vAlign w:val="bottom"/>
          </w:tcPr>
          <w:p>
            <w:pPr>
              <w:spacing w:after="0"/>
              <w:rPr>
                <w:sz w:val="12"/>
                <w:szCs w:val="12"/>
                <w:color w:val="auto"/>
              </w:rPr>
            </w:pP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10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122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i w:val="1"/>
                <w:iCs w:val="1"/>
                <w:color w:val="auto"/>
              </w:rPr>
              <w:t>data)</w:t>
            </w:r>
          </w:p>
        </w:tc>
        <w:tc>
          <w:tcPr>
            <w:tcW w:w="340" w:type="dxa"/>
            <w:vAlign w:val="bottom"/>
          </w:tcPr>
          <w:p>
            <w:pPr>
              <w:spacing w:after="0"/>
              <w:rPr>
                <w:sz w:val="15"/>
                <w:szCs w:val="15"/>
                <w:color w:val="auto"/>
              </w:rPr>
            </w:pPr>
          </w:p>
        </w:tc>
        <w:tc>
          <w:tcPr>
            <w:tcW w:w="520" w:type="dxa"/>
            <w:vAlign w:val="bottom"/>
            <w:gridSpan w:val="2"/>
          </w:tcPr>
          <w:p>
            <w:pPr>
              <w:jc w:val="center"/>
              <w:ind w:right="140"/>
              <w:spacing w:after="0" w:line="159" w:lineRule="exact"/>
              <w:rPr>
                <w:sz w:val="20"/>
                <w:szCs w:val="20"/>
                <w:color w:val="auto"/>
              </w:rPr>
            </w:pPr>
            <w:r>
              <w:rPr>
                <w:rFonts w:ascii="Arial" w:cs="Arial" w:eastAsia="Arial" w:hAnsi="Arial"/>
                <w:sz w:val="14"/>
                <w:szCs w:val="14"/>
                <w:b w:val="1"/>
                <w:bCs w:val="1"/>
                <w:color w:val="auto"/>
                <w:w w:val="98"/>
              </w:rPr>
              <w:t>A</w:t>
            </w:r>
          </w:p>
        </w:tc>
        <w:tc>
          <w:tcPr>
            <w:tcW w:w="660" w:type="dxa"/>
            <w:vAlign w:val="bottom"/>
          </w:tcPr>
          <w:p>
            <w:pPr>
              <w:jc w:val="right"/>
              <w:ind w:right="202"/>
              <w:spacing w:after="0" w:line="159" w:lineRule="exact"/>
              <w:rPr>
                <w:sz w:val="20"/>
                <w:szCs w:val="20"/>
                <w:color w:val="auto"/>
              </w:rPr>
            </w:pPr>
            <w:r>
              <w:rPr>
                <w:rFonts w:ascii="Arial" w:cs="Arial" w:eastAsia="Arial" w:hAnsi="Arial"/>
                <w:sz w:val="14"/>
                <w:szCs w:val="14"/>
                <w:b w:val="1"/>
                <w:bCs w:val="1"/>
                <w:color w:val="auto"/>
              </w:rPr>
              <w:t>B</w:t>
            </w:r>
          </w:p>
        </w:tc>
        <w:tc>
          <w:tcPr>
            <w:tcW w:w="160" w:type="dxa"/>
            <w:vAlign w:val="bottom"/>
          </w:tcPr>
          <w:p>
            <w:pPr>
              <w:spacing w:after="0"/>
              <w:rPr>
                <w:sz w:val="15"/>
                <w:szCs w:val="15"/>
                <w:color w:val="auto"/>
              </w:rPr>
            </w:pPr>
          </w:p>
        </w:tc>
        <w:tc>
          <w:tcPr>
            <w:tcW w:w="580" w:type="dxa"/>
            <w:vAlign w:val="bottom"/>
          </w:tcPr>
          <w:p>
            <w:pPr>
              <w:ind w:left="240"/>
              <w:spacing w:after="0" w:line="159" w:lineRule="exact"/>
              <w:rPr>
                <w:sz w:val="20"/>
                <w:szCs w:val="20"/>
                <w:color w:val="auto"/>
              </w:rPr>
            </w:pPr>
            <w:r>
              <w:rPr>
                <w:rFonts w:ascii="Arial" w:cs="Arial" w:eastAsia="Arial" w:hAnsi="Arial"/>
                <w:sz w:val="14"/>
                <w:szCs w:val="14"/>
                <w:b w:val="1"/>
                <w:bCs w:val="1"/>
                <w:color w:val="auto"/>
              </w:rPr>
              <w:t>D</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jc w:val="right"/>
              <w:ind w:right="380"/>
              <w:spacing w:after="0" w:line="159" w:lineRule="exact"/>
              <w:rPr>
                <w:sz w:val="20"/>
                <w:szCs w:val="20"/>
                <w:color w:val="auto"/>
              </w:rPr>
            </w:pPr>
            <w:r>
              <w:rPr>
                <w:rFonts w:ascii="Arial" w:cs="Arial" w:eastAsia="Arial" w:hAnsi="Arial"/>
                <w:sz w:val="14"/>
                <w:szCs w:val="14"/>
                <w:b w:val="1"/>
                <w:bCs w:val="1"/>
                <w:color w:val="auto"/>
              </w:rPr>
              <w:t>F</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right"/>
              <w:ind w:right="440"/>
              <w:spacing w:after="0" w:line="159" w:lineRule="exact"/>
              <w:rPr>
                <w:sz w:val="20"/>
                <w:szCs w:val="20"/>
                <w:color w:val="auto"/>
              </w:rPr>
            </w:pPr>
            <w:r>
              <w:rPr>
                <w:rFonts w:ascii="Arial" w:cs="Arial" w:eastAsia="Arial" w:hAnsi="Arial"/>
                <w:sz w:val="14"/>
                <w:szCs w:val="14"/>
                <w:b w:val="1"/>
                <w:bCs w:val="1"/>
                <w:color w:val="auto"/>
              </w:rPr>
              <w:t>G</w:t>
            </w:r>
          </w:p>
        </w:tc>
        <w:tc>
          <w:tcPr>
            <w:tcW w:w="40" w:type="dxa"/>
            <w:vAlign w:val="bottom"/>
          </w:tcPr>
          <w:p>
            <w:pPr>
              <w:spacing w:after="0"/>
              <w:rPr>
                <w:sz w:val="15"/>
                <w:szCs w:val="15"/>
                <w:color w:val="auto"/>
              </w:rPr>
            </w:pPr>
          </w:p>
        </w:tc>
        <w:tc>
          <w:tcPr>
            <w:tcW w:w="740" w:type="dxa"/>
            <w:vAlign w:val="bottom"/>
            <w:gridSpan w:val="2"/>
          </w:tcPr>
          <w:p>
            <w:pPr>
              <w:jc w:val="right"/>
              <w:ind w:right="280"/>
              <w:spacing w:after="0" w:line="159" w:lineRule="exact"/>
              <w:rPr>
                <w:sz w:val="20"/>
                <w:szCs w:val="20"/>
                <w:color w:val="auto"/>
              </w:rPr>
            </w:pPr>
            <w:r>
              <w:rPr>
                <w:rFonts w:ascii="Arial" w:cs="Arial" w:eastAsia="Arial" w:hAnsi="Arial"/>
                <w:sz w:val="14"/>
                <w:szCs w:val="14"/>
                <w:b w:val="1"/>
                <w:bCs w:val="1"/>
                <w:color w:val="auto"/>
              </w:rPr>
              <w:t>Stock</w:t>
            </w:r>
          </w:p>
        </w:tc>
        <w:tc>
          <w:tcPr>
            <w:tcW w:w="140" w:type="dxa"/>
            <w:vAlign w:val="bottom"/>
          </w:tcPr>
          <w:p>
            <w:pPr>
              <w:spacing w:after="0"/>
              <w:rPr>
                <w:sz w:val="15"/>
                <w:szCs w:val="15"/>
                <w:color w:val="auto"/>
              </w:rPr>
            </w:pPr>
          </w:p>
        </w:tc>
        <w:tc>
          <w:tcPr>
            <w:tcW w:w="540" w:type="dxa"/>
            <w:vAlign w:val="bottom"/>
          </w:tcPr>
          <w:p>
            <w:pPr>
              <w:jc w:val="center"/>
              <w:ind w:right="59"/>
              <w:spacing w:after="0" w:line="159" w:lineRule="exact"/>
              <w:rPr>
                <w:sz w:val="20"/>
                <w:szCs w:val="20"/>
                <w:color w:val="auto"/>
              </w:rPr>
            </w:pPr>
            <w:r>
              <w:rPr>
                <w:rFonts w:ascii="Arial" w:cs="Arial" w:eastAsia="Arial" w:hAnsi="Arial"/>
                <w:sz w:val="14"/>
                <w:szCs w:val="14"/>
                <w:b w:val="1"/>
                <w:bCs w:val="1"/>
                <w:color w:val="auto"/>
                <w:w w:val="83"/>
              </w:rPr>
              <w:t>Stock</w:t>
            </w:r>
          </w:p>
        </w:tc>
        <w:tc>
          <w:tcPr>
            <w:tcW w:w="160" w:type="dxa"/>
            <w:vAlign w:val="bottom"/>
          </w:tcPr>
          <w:p>
            <w:pPr>
              <w:spacing w:after="0"/>
              <w:rPr>
                <w:sz w:val="15"/>
                <w:szCs w:val="15"/>
                <w:color w:val="auto"/>
              </w:rPr>
            </w:pPr>
          </w:p>
        </w:tc>
        <w:tc>
          <w:tcPr>
            <w:tcW w:w="700" w:type="dxa"/>
            <w:vAlign w:val="bottom"/>
            <w:gridSpan w:val="2"/>
          </w:tcPr>
          <w:p>
            <w:pPr>
              <w:jc w:val="center"/>
              <w:ind w:right="160"/>
              <w:spacing w:after="0" w:line="159" w:lineRule="exact"/>
              <w:rPr>
                <w:sz w:val="20"/>
                <w:szCs w:val="20"/>
                <w:color w:val="auto"/>
              </w:rPr>
            </w:pPr>
            <w:r>
              <w:rPr>
                <w:rFonts w:ascii="Arial" w:cs="Arial" w:eastAsia="Arial" w:hAnsi="Arial"/>
                <w:sz w:val="14"/>
                <w:szCs w:val="14"/>
                <w:b w:val="1"/>
                <w:bCs w:val="1"/>
                <w:color w:val="auto"/>
                <w:w w:val="82"/>
              </w:rPr>
              <w:t>Issuable</w:t>
            </w:r>
          </w:p>
        </w:tc>
        <w:tc>
          <w:tcPr>
            <w:tcW w:w="920" w:type="dxa"/>
            <w:vAlign w:val="bottom"/>
            <w:gridSpan w:val="2"/>
          </w:tcPr>
          <w:p>
            <w:pPr>
              <w:jc w:val="right"/>
              <w:ind w:right="300"/>
              <w:spacing w:after="0" w:line="159" w:lineRule="exact"/>
              <w:rPr>
                <w:sz w:val="20"/>
                <w:szCs w:val="20"/>
                <w:color w:val="auto"/>
              </w:rPr>
            </w:pPr>
            <w:r>
              <w:rPr>
                <w:rFonts w:ascii="Arial" w:cs="Arial" w:eastAsia="Arial" w:hAnsi="Arial"/>
                <w:sz w:val="14"/>
                <w:szCs w:val="14"/>
                <w:b w:val="1"/>
                <w:bCs w:val="1"/>
                <w:color w:val="auto"/>
              </w:rPr>
              <w:t>Surplus</w:t>
            </w:r>
          </w:p>
        </w:tc>
        <w:tc>
          <w:tcPr>
            <w:tcW w:w="40" w:type="dxa"/>
            <w:vAlign w:val="bottom"/>
          </w:tcPr>
          <w:p>
            <w:pPr>
              <w:spacing w:after="0"/>
              <w:rPr>
                <w:sz w:val="15"/>
                <w:szCs w:val="15"/>
                <w:color w:val="auto"/>
              </w:rPr>
            </w:pPr>
          </w:p>
        </w:tc>
        <w:tc>
          <w:tcPr>
            <w:tcW w:w="940" w:type="dxa"/>
            <w:vAlign w:val="bottom"/>
            <w:gridSpan w:val="2"/>
          </w:tcPr>
          <w:p>
            <w:pPr>
              <w:jc w:val="right"/>
              <w:ind w:right="360"/>
              <w:spacing w:after="0" w:line="159" w:lineRule="exact"/>
              <w:rPr>
                <w:sz w:val="20"/>
                <w:szCs w:val="20"/>
                <w:color w:val="auto"/>
              </w:rPr>
            </w:pPr>
            <w:r>
              <w:rPr>
                <w:rFonts w:ascii="Arial" w:cs="Arial" w:eastAsia="Arial" w:hAnsi="Arial"/>
                <w:sz w:val="14"/>
                <w:szCs w:val="14"/>
                <w:b w:val="1"/>
                <w:bCs w:val="1"/>
                <w:color w:val="auto"/>
              </w:rPr>
              <w:t>Deficit</w:t>
            </w:r>
          </w:p>
        </w:tc>
        <w:tc>
          <w:tcPr>
            <w:tcW w:w="1020" w:type="dxa"/>
            <w:vAlign w:val="bottom"/>
            <w:gridSpan w:val="3"/>
          </w:tcPr>
          <w:p>
            <w:pPr>
              <w:jc w:val="center"/>
              <w:ind w:right="120"/>
              <w:spacing w:after="0" w:line="159" w:lineRule="exact"/>
              <w:rPr>
                <w:sz w:val="20"/>
                <w:szCs w:val="20"/>
                <w:color w:val="auto"/>
              </w:rPr>
            </w:pPr>
            <w:r>
              <w:rPr>
                <w:rFonts w:ascii="Arial" w:cs="Arial" w:eastAsia="Arial" w:hAnsi="Arial"/>
                <w:sz w:val="14"/>
                <w:szCs w:val="14"/>
                <w:b w:val="1"/>
                <w:bCs w:val="1"/>
                <w:color w:val="auto"/>
                <w:w w:val="86"/>
              </w:rPr>
              <w:t>Income (Loss)</w:t>
            </w:r>
          </w:p>
        </w:tc>
        <w:tc>
          <w:tcPr>
            <w:tcW w:w="40" w:type="dxa"/>
            <w:vAlign w:val="bottom"/>
          </w:tcPr>
          <w:p>
            <w:pPr>
              <w:spacing w:after="0"/>
              <w:rPr>
                <w:sz w:val="15"/>
                <w:szCs w:val="15"/>
                <w:color w:val="auto"/>
              </w:rPr>
            </w:pPr>
          </w:p>
        </w:tc>
        <w:tc>
          <w:tcPr>
            <w:tcW w:w="840" w:type="dxa"/>
            <w:vAlign w:val="bottom"/>
            <w:gridSpan w:val="2"/>
          </w:tcPr>
          <w:p>
            <w:pPr>
              <w:jc w:val="right"/>
              <w:ind w:right="320"/>
              <w:spacing w:after="0" w:line="15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156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Balance,</w:t>
            </w:r>
          </w:p>
        </w:tc>
        <w:tc>
          <w:tcPr>
            <w:tcW w:w="3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56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December 31,</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2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2010</w:t>
            </w:r>
          </w:p>
        </w:tc>
        <w:tc>
          <w:tcPr>
            <w:tcW w:w="34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9"/>
              </w:rPr>
              <w:t>$217</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$ 175,711</w:t>
            </w:r>
          </w:p>
        </w:tc>
        <w:tc>
          <w:tcPr>
            <w:tcW w:w="1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rPr>
              <w:t>$   —</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2"/>
              </w:rPr>
              <w:t>$18,937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$ 3,894</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  741,244</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3"/>
              </w:rPr>
              <w:t>$ (492,276)</w:t>
            </w:r>
          </w:p>
        </w:tc>
        <w:tc>
          <w:tcPr>
            <w:tcW w:w="180" w:type="dxa"/>
            <w:vAlign w:val="bottom"/>
            <w:shd w:val="clear" w:color="auto" w:fill="CCEEFF"/>
          </w:tcPr>
          <w:p>
            <w:pPr>
              <w:jc w:val="right"/>
              <w:ind w:right="30"/>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20,851</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4"/>
              </w:rPr>
              <w:t>$ 468,578</w:t>
            </w:r>
          </w:p>
        </w:tc>
        <w:tc>
          <w:tcPr>
            <w:tcW w:w="0" w:type="dxa"/>
            <w:vAlign w:val="bottom"/>
          </w:tcPr>
          <w:p>
            <w:pPr>
              <w:spacing w:after="0"/>
              <w:rPr>
                <w:sz w:val="1"/>
                <w:szCs w:val="1"/>
                <w:color w:val="auto"/>
              </w:rPr>
            </w:pPr>
          </w:p>
        </w:tc>
      </w:tr>
      <w:tr>
        <w:trPr>
          <w:trHeight w:val="216"/>
        </w:trPr>
        <w:tc>
          <w:tcPr>
            <w:tcW w:w="156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(236,647)</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(236,647)</w:t>
            </w:r>
          </w:p>
        </w:tc>
        <w:tc>
          <w:tcPr>
            <w:tcW w:w="0" w:type="dxa"/>
            <w:vAlign w:val="bottom"/>
          </w:tcPr>
          <w:p>
            <w:pPr>
              <w:spacing w:after="0"/>
              <w:rPr>
                <w:sz w:val="1"/>
                <w:szCs w:val="1"/>
                <w:color w:val="auto"/>
              </w:rPr>
            </w:pPr>
          </w:p>
        </w:tc>
      </w:tr>
      <w:tr>
        <w:trPr>
          <w:trHeight w:val="208"/>
        </w:trPr>
        <w:tc>
          <w:tcPr>
            <w:tcW w:w="1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comprehensive</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loss</w:t>
            </w:r>
          </w:p>
        </w:tc>
        <w:tc>
          <w:tcPr>
            <w:tcW w:w="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(7,982)</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(7,982)</w:t>
            </w:r>
          </w:p>
        </w:tc>
        <w:tc>
          <w:tcPr>
            <w:tcW w:w="0" w:type="dxa"/>
            <w:vAlign w:val="bottom"/>
          </w:tcPr>
          <w:p>
            <w:pPr>
              <w:spacing w:after="0"/>
              <w:rPr>
                <w:sz w:val="1"/>
                <w:szCs w:val="1"/>
                <w:color w:val="auto"/>
              </w:rPr>
            </w:pPr>
          </w:p>
        </w:tc>
      </w:tr>
      <w:tr>
        <w:trPr>
          <w:trHeight w:val="208"/>
        </w:trPr>
        <w:tc>
          <w:tcPr>
            <w:tcW w:w="1560" w:type="dxa"/>
            <w:vAlign w:val="bottom"/>
            <w:gridSpan w:val="2"/>
          </w:tcPr>
          <w:p>
            <w:pPr>
              <w:spacing w:after="0"/>
              <w:rPr>
                <w:sz w:val="20"/>
                <w:szCs w:val="20"/>
                <w:color w:val="auto"/>
              </w:rPr>
            </w:pPr>
            <w:r>
              <w:rPr>
                <w:rFonts w:ascii="Arial" w:cs="Arial" w:eastAsia="Arial" w:hAnsi="Arial"/>
                <w:sz w:val="18"/>
                <w:szCs w:val="18"/>
                <w:color w:val="auto"/>
              </w:rPr>
              <w:t>Preferred for</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gridSpan w:val="2"/>
          </w:tcPr>
          <w:p>
            <w:pPr>
              <w:ind w:left="220"/>
              <w:spacing w:after="0"/>
              <w:rPr>
                <w:sz w:val="20"/>
                <w:szCs w:val="20"/>
                <w:color w:val="auto"/>
              </w:rPr>
            </w:pPr>
            <w:r>
              <w:rPr>
                <w:rFonts w:ascii="Arial" w:cs="Arial" w:eastAsia="Arial" w:hAnsi="Arial"/>
                <w:sz w:val="18"/>
                <w:szCs w:val="18"/>
                <w:color w:val="auto"/>
              </w:rPr>
              <w:t>common equity</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gridSpan w:val="2"/>
          </w:tcPr>
          <w:p>
            <w:pPr>
              <w:ind w:left="220"/>
              <w:spacing w:after="0"/>
              <w:rPr>
                <w:sz w:val="20"/>
                <w:szCs w:val="20"/>
                <w:color w:val="auto"/>
              </w:rPr>
            </w:pPr>
            <w:r>
              <w:rPr>
                <w:rFonts w:ascii="Arial" w:cs="Arial" w:eastAsia="Arial" w:hAnsi="Arial"/>
                <w:sz w:val="18"/>
                <w:szCs w:val="18"/>
                <w:color w:val="auto"/>
                <w:w w:val="95"/>
              </w:rPr>
              <w:t>exchange related</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gridSpan w:val="2"/>
          </w:tcPr>
          <w:p>
            <w:pPr>
              <w:ind w:left="220"/>
              <w:spacing w:after="0"/>
              <w:rPr>
                <w:sz w:val="20"/>
                <w:szCs w:val="20"/>
                <w:color w:val="auto"/>
              </w:rPr>
            </w:pPr>
            <w:r>
              <w:rPr>
                <w:rFonts w:ascii="Arial" w:cs="Arial" w:eastAsia="Arial" w:hAnsi="Arial"/>
                <w:sz w:val="18"/>
                <w:szCs w:val="18"/>
                <w:color w:val="auto"/>
              </w:rPr>
              <w:t>to tax benefits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gridSpan w:val="2"/>
          </w:tcPr>
          <w:p>
            <w:pPr>
              <w:ind w:left="220"/>
              <w:spacing w:after="0"/>
              <w:rPr>
                <w:sz w:val="20"/>
                <w:szCs w:val="20"/>
                <w:color w:val="auto"/>
              </w:rPr>
            </w:pPr>
            <w:r>
              <w:rPr>
                <w:rFonts w:ascii="Arial" w:cs="Arial" w:eastAsia="Arial" w:hAnsi="Arial"/>
                <w:sz w:val="18"/>
                <w:szCs w:val="18"/>
                <w:color w:val="auto"/>
                <w:w w:val="95"/>
              </w:rPr>
              <w:t>preservation plan</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ind w:left="220"/>
              <w:spacing w:after="0"/>
              <w:rPr>
                <w:sz w:val="20"/>
                <w:szCs w:val="20"/>
                <w:color w:val="auto"/>
              </w:rPr>
            </w:pPr>
            <w:r>
              <w:rPr>
                <w:rFonts w:ascii="Arial" w:cs="Arial" w:eastAsia="Arial" w:hAnsi="Arial"/>
                <w:sz w:val="18"/>
                <w:szCs w:val="18"/>
                <w:color w:val="auto"/>
              </w:rPr>
              <w:t>(1,551,126</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560" w:type="dxa"/>
            <w:vAlign w:val="bottom"/>
            <w:gridSpan w:val="2"/>
          </w:tcPr>
          <w:p>
            <w:pPr>
              <w:ind w:left="220"/>
              <w:spacing w:after="0"/>
              <w:rPr>
                <w:sz w:val="20"/>
                <w:szCs w:val="20"/>
                <w:color w:val="auto"/>
              </w:rPr>
            </w:pPr>
            <w:r>
              <w:rPr>
                <w:rFonts w:ascii="Arial" w:cs="Arial" w:eastAsia="Arial" w:hAnsi="Arial"/>
                <w:sz w:val="18"/>
                <w:szCs w:val="18"/>
                <w:color w:val="auto"/>
                <w:w w:val="98"/>
              </w:rPr>
              <w:t>common shares)</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gridSpan w:val="2"/>
          </w:tcPr>
          <w:p>
            <w:pPr>
              <w:ind w:left="260"/>
              <w:spacing w:after="0"/>
              <w:rPr>
                <w:sz w:val="20"/>
                <w:szCs w:val="20"/>
                <w:color w:val="auto"/>
              </w:rPr>
            </w:pPr>
            <w:r>
              <w:rPr>
                <w:rFonts w:ascii="Arial" w:cs="Arial" w:eastAsia="Arial" w:hAnsi="Arial"/>
                <w:sz w:val="18"/>
                <w:szCs w:val="18"/>
                <w:color w:val="auto"/>
                <w:w w:val="83"/>
              </w:rPr>
              <w:t>16,613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(1,551)</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(15,062)</w:t>
            </w: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15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Penalty received on</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incomplete</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private equity</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transaction</w:t>
            </w:r>
          </w:p>
        </w:tc>
        <w:tc>
          <w:tcPr>
            <w:tcW w:w="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3,250</w:t>
            </w:r>
          </w:p>
        </w:tc>
        <w:tc>
          <w:tcPr>
            <w:tcW w:w="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3,250</w:t>
            </w:r>
          </w:p>
        </w:tc>
        <w:tc>
          <w:tcPr>
            <w:tcW w:w="0" w:type="dxa"/>
            <w:vAlign w:val="bottom"/>
          </w:tcPr>
          <w:p>
            <w:pPr>
              <w:spacing w:after="0"/>
              <w:rPr>
                <w:sz w:val="1"/>
                <w:szCs w:val="1"/>
                <w:color w:val="auto"/>
              </w:rPr>
            </w:pPr>
          </w:p>
        </w:tc>
      </w:tr>
      <w:tr>
        <w:trPr>
          <w:trHeight w:val="208"/>
        </w:trPr>
        <w:tc>
          <w:tcPr>
            <w:tcW w:w="1560" w:type="dxa"/>
            <w:vAlign w:val="bottom"/>
            <w:gridSpan w:val="2"/>
          </w:tcPr>
          <w:p>
            <w:pPr>
              <w:spacing w:after="0"/>
              <w:rPr>
                <w:sz w:val="20"/>
                <w:szCs w:val="20"/>
                <w:color w:val="auto"/>
              </w:rPr>
            </w:pPr>
            <w:r>
              <w:rPr>
                <w:rFonts w:ascii="Arial" w:cs="Arial" w:eastAsia="Arial" w:hAnsi="Arial"/>
                <w:sz w:val="18"/>
                <w:szCs w:val="18"/>
                <w:color w:val="auto"/>
                <w:w w:val="92"/>
              </w:rPr>
              <w:t>Conversion of Series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gridSpan w:val="2"/>
          </w:tcPr>
          <w:p>
            <w:pPr>
              <w:ind w:left="220"/>
              <w:spacing w:after="0"/>
              <w:rPr>
                <w:sz w:val="20"/>
                <w:szCs w:val="20"/>
                <w:color w:val="auto"/>
              </w:rPr>
            </w:pPr>
            <w:r>
              <w:rPr>
                <w:rFonts w:ascii="Arial" w:cs="Arial" w:eastAsia="Arial" w:hAnsi="Arial"/>
                <w:sz w:val="18"/>
                <w:szCs w:val="18"/>
                <w:color w:val="auto"/>
              </w:rPr>
              <w:t>F and Series G</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gridSpan w:val="2"/>
          </w:tcPr>
          <w:p>
            <w:pPr>
              <w:ind w:left="220"/>
              <w:spacing w:after="0"/>
              <w:rPr>
                <w:sz w:val="20"/>
                <w:szCs w:val="20"/>
                <w:color w:val="auto"/>
              </w:rPr>
            </w:pPr>
            <w:r>
              <w:rPr>
                <w:rFonts w:ascii="Arial" w:cs="Arial" w:eastAsia="Arial" w:hAnsi="Arial"/>
                <w:sz w:val="18"/>
                <w:szCs w:val="18"/>
                <w:color w:val="auto"/>
              </w:rPr>
              <w:t>Preferred Stock</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ind w:left="220"/>
              <w:spacing w:after="0"/>
              <w:rPr>
                <w:sz w:val="20"/>
                <w:szCs w:val="20"/>
                <w:color w:val="auto"/>
              </w:rPr>
            </w:pPr>
            <w:r>
              <w:rPr>
                <w:rFonts w:ascii="Arial" w:cs="Arial" w:eastAsia="Arial" w:hAnsi="Arial"/>
                <w:sz w:val="18"/>
                <w:szCs w:val="18"/>
                <w:color w:val="auto"/>
              </w:rPr>
              <w:t>(20,618,156</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gridSpan w:val="2"/>
          </w:tcPr>
          <w:p>
            <w:pPr>
              <w:ind w:left="220"/>
              <w:spacing w:after="0"/>
              <w:rPr>
                <w:sz w:val="20"/>
                <w:szCs w:val="20"/>
                <w:color w:val="auto"/>
              </w:rPr>
            </w:pPr>
            <w:r>
              <w:rPr>
                <w:rFonts w:ascii="Arial" w:cs="Arial" w:eastAsia="Arial" w:hAnsi="Arial"/>
                <w:sz w:val="18"/>
                <w:szCs w:val="18"/>
                <w:color w:val="auto"/>
              </w:rPr>
              <w:t>voting and</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gridSpan w:val="2"/>
          </w:tcPr>
          <w:p>
            <w:pPr>
              <w:ind w:left="220"/>
              <w:spacing w:after="0"/>
              <w:rPr>
                <w:sz w:val="20"/>
                <w:szCs w:val="20"/>
                <w:color w:val="auto"/>
              </w:rPr>
            </w:pPr>
            <w:r>
              <w:rPr>
                <w:rFonts w:ascii="Arial" w:cs="Arial" w:eastAsia="Arial" w:hAnsi="Arial"/>
                <w:sz w:val="18"/>
                <w:szCs w:val="18"/>
                <w:color w:val="auto"/>
              </w:rPr>
              <w:t>15,914,209 non-</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gridSpan w:val="2"/>
          </w:tcPr>
          <w:p>
            <w:pPr>
              <w:ind w:left="220"/>
              <w:spacing w:after="0"/>
              <w:rPr>
                <w:sz w:val="20"/>
                <w:szCs w:val="20"/>
                <w:color w:val="auto"/>
              </w:rPr>
            </w:pPr>
            <w:r>
              <w:rPr>
                <w:rFonts w:ascii="Arial" w:cs="Arial" w:eastAsia="Arial" w:hAnsi="Arial"/>
                <w:sz w:val="18"/>
                <w:szCs w:val="18"/>
                <w:color w:val="auto"/>
              </w:rPr>
              <w:t>voting common</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560" w:type="dxa"/>
            <w:vAlign w:val="bottom"/>
            <w:gridSpan w:val="2"/>
          </w:tcPr>
          <w:p>
            <w:pPr>
              <w:ind w:left="220"/>
              <w:spacing w:after="0"/>
              <w:rPr>
                <w:sz w:val="20"/>
                <w:szCs w:val="20"/>
                <w:color w:val="auto"/>
              </w:rPr>
            </w:pPr>
            <w:r>
              <w:rPr>
                <w:rFonts w:ascii="Arial" w:cs="Arial" w:eastAsia="Arial" w:hAnsi="Arial"/>
                <w:sz w:val="18"/>
                <w:szCs w:val="18"/>
                <w:color w:val="auto"/>
              </w:rPr>
              <w:t>shares)</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86"/>
              </w:rPr>
              <w:t>195,872</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(151,185)</w:t>
            </w:r>
          </w:p>
        </w:tc>
        <w:tc>
          <w:tcPr>
            <w:tcW w:w="780" w:type="dxa"/>
            <w:vAlign w:val="bottom"/>
            <w:gridSpan w:val="3"/>
          </w:tcPr>
          <w:p>
            <w:pPr>
              <w:jc w:val="right"/>
              <w:ind w:right="160"/>
              <w:spacing w:after="0"/>
              <w:rPr>
                <w:sz w:val="20"/>
                <w:szCs w:val="20"/>
                <w:color w:val="auto"/>
              </w:rPr>
            </w:pPr>
            <w:r>
              <w:rPr>
                <w:rFonts w:ascii="Arial" w:cs="Arial" w:eastAsia="Arial" w:hAnsi="Arial"/>
                <w:sz w:val="18"/>
                <w:szCs w:val="18"/>
                <w:color w:val="auto"/>
              </w:rPr>
              <w:t>20,618</w:t>
            </w: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15,914</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310,525</w:t>
            </w: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1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1"/>
              </w:rPr>
              <w:t>issued to dividend</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2"/>
              </w:rPr>
              <w:t>reinvestment plan</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and employee</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benefit plans</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6"/>
              </w:rPr>
              <w:t>(113,787 shares)</w:t>
            </w:r>
          </w:p>
        </w:tc>
        <w:tc>
          <w:tcPr>
            <w:tcW w:w="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114</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987</w:t>
            </w:r>
          </w:p>
        </w:tc>
        <w:tc>
          <w:tcPr>
            <w:tcW w:w="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1,101</w:t>
            </w:r>
          </w:p>
        </w:tc>
        <w:tc>
          <w:tcPr>
            <w:tcW w:w="0" w:type="dxa"/>
            <w:vAlign w:val="bottom"/>
          </w:tcPr>
          <w:p>
            <w:pPr>
              <w:spacing w:after="0"/>
              <w:rPr>
                <w:sz w:val="1"/>
                <w:szCs w:val="1"/>
                <w:color w:val="auto"/>
              </w:rPr>
            </w:pPr>
          </w:p>
        </w:tc>
      </w:tr>
      <w:tr>
        <w:trPr>
          <w:trHeight w:val="208"/>
        </w:trPr>
        <w:tc>
          <w:tcPr>
            <w:tcW w:w="1560" w:type="dxa"/>
            <w:vAlign w:val="bottom"/>
            <w:gridSpan w:val="2"/>
          </w:tcPr>
          <w:p>
            <w:pPr>
              <w:spacing w:after="0"/>
              <w:rPr>
                <w:sz w:val="20"/>
                <w:szCs w:val="20"/>
                <w:color w:val="auto"/>
              </w:rPr>
            </w:pPr>
            <w:r>
              <w:rPr>
                <w:rFonts w:ascii="Arial" w:cs="Arial" w:eastAsia="Arial" w:hAnsi="Arial"/>
                <w:sz w:val="18"/>
                <w:szCs w:val="18"/>
                <w:color w:val="auto"/>
              </w:rPr>
              <w:t>Common and</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gridSpan w:val="2"/>
          </w:tcPr>
          <w:p>
            <w:pPr>
              <w:ind w:left="220"/>
              <w:spacing w:after="0"/>
              <w:rPr>
                <w:sz w:val="20"/>
                <w:szCs w:val="20"/>
                <w:color w:val="auto"/>
              </w:rPr>
            </w:pPr>
            <w:r>
              <w:rPr>
                <w:rFonts w:ascii="Arial" w:cs="Arial" w:eastAsia="Arial" w:hAnsi="Arial"/>
                <w:sz w:val="18"/>
                <w:szCs w:val="18"/>
                <w:color w:val="auto"/>
              </w:rPr>
              <w:t>preferred stock</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gridSpan w:val="2"/>
          </w:tcPr>
          <w:p>
            <w:pPr>
              <w:ind w:left="220"/>
              <w:spacing w:after="0"/>
              <w:rPr>
                <w:sz w:val="20"/>
                <w:szCs w:val="20"/>
                <w:color w:val="auto"/>
              </w:rPr>
            </w:pPr>
            <w:r>
              <w:rPr>
                <w:rFonts w:ascii="Arial" w:cs="Arial" w:eastAsia="Arial" w:hAnsi="Arial"/>
                <w:sz w:val="18"/>
                <w:szCs w:val="18"/>
                <w:color w:val="auto"/>
                <w:w w:val="92"/>
              </w:rPr>
              <w:t>issued (3,467,699</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560" w:type="dxa"/>
            <w:vAlign w:val="bottom"/>
            <w:gridSpan w:val="2"/>
          </w:tcPr>
          <w:p>
            <w:pPr>
              <w:ind w:left="220"/>
              <w:spacing w:after="0"/>
              <w:rPr>
                <w:sz w:val="20"/>
                <w:szCs w:val="20"/>
                <w:color w:val="auto"/>
              </w:rPr>
            </w:pPr>
            <w:r>
              <w:rPr>
                <w:rFonts w:ascii="Arial" w:cs="Arial" w:eastAsia="Arial" w:hAnsi="Arial"/>
                <w:sz w:val="18"/>
                <w:szCs w:val="18"/>
                <w:color w:val="auto"/>
                <w:w w:val="98"/>
              </w:rPr>
              <w:t>common shares)</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86"/>
              </w:rPr>
              <w:t>195,872</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151,185</w:t>
            </w:r>
          </w:p>
        </w:tc>
        <w:tc>
          <w:tcPr>
            <w:tcW w:w="780" w:type="dxa"/>
            <w:vAlign w:val="bottom"/>
            <w:gridSpan w:val="3"/>
          </w:tcPr>
          <w:p>
            <w:pPr>
              <w:jc w:val="right"/>
              <w:ind w:right="160"/>
              <w:spacing w:after="0"/>
              <w:rPr>
                <w:sz w:val="20"/>
                <w:szCs w:val="20"/>
                <w:color w:val="auto"/>
              </w:rPr>
            </w:pPr>
            <w:r>
              <w:rPr>
                <w:rFonts w:ascii="Arial" w:cs="Arial" w:eastAsia="Arial" w:hAnsi="Arial"/>
                <w:sz w:val="18"/>
                <w:szCs w:val="18"/>
                <w:color w:val="auto"/>
              </w:rPr>
              <w:t>3,468</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11,035</w:t>
            </w: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361,560</w:t>
            </w:r>
          </w:p>
        </w:tc>
        <w:tc>
          <w:tcPr>
            <w:tcW w:w="0" w:type="dxa"/>
            <w:vAlign w:val="bottom"/>
          </w:tcPr>
          <w:p>
            <w:pPr>
              <w:spacing w:after="0"/>
              <w:rPr>
                <w:sz w:val="1"/>
                <w:szCs w:val="1"/>
                <w:color w:val="auto"/>
              </w:rPr>
            </w:pPr>
          </w:p>
        </w:tc>
      </w:tr>
      <w:tr>
        <w:trPr>
          <w:trHeight w:val="210"/>
        </w:trPr>
        <w:tc>
          <w:tcPr>
            <w:tcW w:w="1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4"/>
              </w:rPr>
              <w:t>stock options and</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restricted stock</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awards</w:t>
            </w:r>
          </w:p>
        </w:tc>
        <w:tc>
          <w:tcPr>
            <w:tcW w:w="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1,485</w:t>
            </w:r>
          </w:p>
        </w:tc>
        <w:tc>
          <w:tcPr>
            <w:tcW w:w="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1,485</w:t>
            </w:r>
          </w:p>
        </w:tc>
        <w:tc>
          <w:tcPr>
            <w:tcW w:w="0" w:type="dxa"/>
            <w:vAlign w:val="bottom"/>
          </w:tcPr>
          <w:p>
            <w:pPr>
              <w:spacing w:after="0"/>
              <w:rPr>
                <w:sz w:val="1"/>
                <w:szCs w:val="1"/>
                <w:color w:val="auto"/>
              </w:rPr>
            </w:pPr>
          </w:p>
        </w:tc>
      </w:tr>
      <w:tr>
        <w:trPr>
          <w:trHeight w:val="208"/>
        </w:trPr>
        <w:tc>
          <w:tcPr>
            <w:tcW w:w="1560" w:type="dxa"/>
            <w:vAlign w:val="bottom"/>
            <w:gridSpan w:val="2"/>
          </w:tcPr>
          <w:p>
            <w:pPr>
              <w:spacing w:after="0"/>
              <w:rPr>
                <w:sz w:val="20"/>
                <w:szCs w:val="20"/>
                <w:color w:val="auto"/>
              </w:rPr>
            </w:pPr>
            <w:r>
              <w:rPr>
                <w:rFonts w:ascii="Arial" w:cs="Arial" w:eastAsia="Arial" w:hAnsi="Arial"/>
                <w:sz w:val="18"/>
                <w:szCs w:val="18"/>
                <w:color w:val="auto"/>
                <w:w w:val="96"/>
              </w:rPr>
              <w:t>Vesting of restricted</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gridSpan w:val="2"/>
          </w:tcPr>
          <w:p>
            <w:pPr>
              <w:ind w:left="220"/>
              <w:spacing w:after="0"/>
              <w:rPr>
                <w:sz w:val="20"/>
                <w:szCs w:val="20"/>
                <w:color w:val="auto"/>
              </w:rPr>
            </w:pPr>
            <w:r>
              <w:rPr>
                <w:rFonts w:ascii="Arial" w:cs="Arial" w:eastAsia="Arial" w:hAnsi="Arial"/>
                <w:sz w:val="18"/>
                <w:szCs w:val="18"/>
                <w:color w:val="auto"/>
              </w:rPr>
              <w:t>stock (6,709</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gridSpan w:val="2"/>
          </w:tcPr>
          <w:p>
            <w:pPr>
              <w:ind w:left="220"/>
              <w:spacing w:after="0"/>
              <w:rPr>
                <w:sz w:val="20"/>
                <w:szCs w:val="20"/>
                <w:color w:val="auto"/>
              </w:rPr>
            </w:pPr>
            <w:r>
              <w:rPr>
                <w:rFonts w:ascii="Arial" w:cs="Arial" w:eastAsia="Arial" w:hAnsi="Arial"/>
                <w:sz w:val="18"/>
                <w:szCs w:val="18"/>
                <w:color w:val="auto"/>
              </w:rPr>
              <w:t>shares issued,</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gridSpan w:val="2"/>
          </w:tcPr>
          <w:p>
            <w:pPr>
              <w:ind w:left="220"/>
              <w:spacing w:after="0"/>
              <w:rPr>
                <w:sz w:val="20"/>
                <w:szCs w:val="20"/>
                <w:color w:val="auto"/>
              </w:rPr>
            </w:pPr>
            <w:r>
              <w:rPr>
                <w:rFonts w:ascii="Arial" w:cs="Arial" w:eastAsia="Arial" w:hAnsi="Arial"/>
                <w:sz w:val="18"/>
                <w:szCs w:val="18"/>
                <w:color w:val="auto"/>
              </w:rPr>
              <w:t>6,382 shares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560" w:type="dxa"/>
            <w:vAlign w:val="bottom"/>
            <w:gridSpan w:val="2"/>
          </w:tcPr>
          <w:p>
            <w:pPr>
              <w:ind w:left="220"/>
              <w:spacing w:after="0"/>
              <w:rPr>
                <w:sz w:val="20"/>
                <w:szCs w:val="20"/>
                <w:color w:val="auto"/>
              </w:rPr>
            </w:pPr>
            <w:r>
              <w:rPr>
                <w:rFonts w:ascii="Arial" w:cs="Arial" w:eastAsia="Arial" w:hAnsi="Arial"/>
                <w:sz w:val="18"/>
                <w:szCs w:val="18"/>
                <w:color w:val="auto"/>
              </w:rPr>
              <w:t>deferred)</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18"/>
                <w:szCs w:val="18"/>
                <w:color w:val="auto"/>
              </w:rPr>
              <w:t>54</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(61)</w:t>
            </w: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1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compensation</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plan, net,</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including</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dividend</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equivalents</w:t>
            </w:r>
          </w:p>
        </w:tc>
        <w:tc>
          <w:tcPr>
            <w:tcW w:w="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183</w:t>
            </w: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08"/>
        </w:trPr>
        <w:tc>
          <w:tcPr>
            <w:tcW w:w="1560" w:type="dxa"/>
            <w:vAlign w:val="bottom"/>
            <w:gridSpan w:val="2"/>
          </w:tcPr>
          <w:p>
            <w:pPr>
              <w:spacing w:after="0"/>
              <w:rPr>
                <w:sz w:val="20"/>
                <w:szCs w:val="20"/>
                <w:color w:val="auto"/>
              </w:rPr>
            </w:pPr>
            <w:r>
              <w:rPr>
                <w:rFonts w:ascii="Arial" w:cs="Arial" w:eastAsia="Arial" w:hAnsi="Arial"/>
                <w:sz w:val="18"/>
                <w:szCs w:val="18"/>
                <w:color w:val="auto"/>
                <w:w w:val="99"/>
              </w:rPr>
              <w:t>Shares issued from</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gridSpan w:val="2"/>
          </w:tcPr>
          <w:p>
            <w:pPr>
              <w:ind w:left="220"/>
              <w:spacing w:after="0"/>
              <w:rPr>
                <w:sz w:val="20"/>
                <w:szCs w:val="20"/>
                <w:color w:val="auto"/>
              </w:rPr>
            </w:pPr>
            <w:r>
              <w:rPr>
                <w:rFonts w:ascii="Arial" w:cs="Arial" w:eastAsia="Arial" w:hAnsi="Arial"/>
                <w:sz w:val="18"/>
                <w:szCs w:val="18"/>
                <w:color w:val="auto"/>
              </w:rPr>
              <w:t>deferred</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gridSpan w:val="2"/>
          </w:tcPr>
          <w:p>
            <w:pPr>
              <w:ind w:left="220"/>
              <w:spacing w:after="0"/>
              <w:rPr>
                <w:sz w:val="20"/>
                <w:szCs w:val="20"/>
                <w:color w:val="auto"/>
              </w:rPr>
            </w:pPr>
            <w:r>
              <w:rPr>
                <w:rFonts w:ascii="Arial" w:cs="Arial" w:eastAsia="Arial" w:hAnsi="Arial"/>
                <w:sz w:val="18"/>
                <w:szCs w:val="18"/>
                <w:color w:val="auto"/>
              </w:rPr>
              <w:t>compensation</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gridSpan w:val="2"/>
          </w:tcPr>
          <w:p>
            <w:pPr>
              <w:ind w:left="220"/>
              <w:spacing w:after="0"/>
              <w:rPr>
                <w:sz w:val="20"/>
                <w:szCs w:val="20"/>
                <w:color w:val="auto"/>
              </w:rPr>
            </w:pPr>
            <w:r>
              <w:rPr>
                <w:rFonts w:ascii="Arial" w:cs="Arial" w:eastAsia="Arial" w:hAnsi="Arial"/>
                <w:sz w:val="18"/>
                <w:szCs w:val="18"/>
                <w:color w:val="auto"/>
              </w:rPr>
              <w:t>plan (3,466</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560" w:type="dxa"/>
            <w:vAlign w:val="bottom"/>
            <w:gridSpan w:val="2"/>
          </w:tcPr>
          <w:p>
            <w:pPr>
              <w:ind w:left="220"/>
              <w:spacing w:after="0"/>
              <w:rPr>
                <w:sz w:val="20"/>
                <w:szCs w:val="20"/>
                <w:color w:val="auto"/>
              </w:rPr>
            </w:pPr>
            <w:r>
              <w:rPr>
                <w:rFonts w:ascii="Arial" w:cs="Arial" w:eastAsia="Arial" w:hAnsi="Arial"/>
                <w:sz w:val="18"/>
                <w:szCs w:val="18"/>
                <w:color w:val="auto"/>
              </w:rPr>
              <w:t>shares)</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(541)</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538</w:t>
            </w: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1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on option</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exercise and</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restricted stock</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vesting</w:t>
            </w:r>
          </w:p>
        </w:tc>
        <w:tc>
          <w:tcPr>
            <w:tcW w:w="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(376)</w:t>
            </w:r>
          </w:p>
        </w:tc>
        <w:tc>
          <w:tcPr>
            <w:tcW w:w="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08"/>
        </w:trPr>
        <w:tc>
          <w:tcPr>
            <w:tcW w:w="1560" w:type="dxa"/>
            <w:vAlign w:val="bottom"/>
            <w:gridSpan w:val="2"/>
          </w:tcPr>
          <w:p>
            <w:pPr>
              <w:spacing w:after="0"/>
              <w:rPr>
                <w:sz w:val="20"/>
                <w:szCs w:val="20"/>
                <w:color w:val="auto"/>
              </w:rPr>
            </w:pPr>
            <w:r>
              <w:rPr>
                <w:rFonts w:ascii="Arial" w:cs="Arial" w:eastAsia="Arial" w:hAnsi="Arial"/>
                <w:sz w:val="18"/>
                <w:szCs w:val="18"/>
                <w:color w:val="auto"/>
              </w:rPr>
              <w:t>Preferred stock</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560" w:type="dxa"/>
            <w:vAlign w:val="bottom"/>
            <w:gridSpan w:val="2"/>
          </w:tcPr>
          <w:p>
            <w:pPr>
              <w:ind w:left="220"/>
              <w:spacing w:after="0"/>
              <w:rPr>
                <w:sz w:val="20"/>
                <w:szCs w:val="20"/>
                <w:color w:val="auto"/>
              </w:rPr>
            </w:pPr>
            <w:r>
              <w:rPr>
                <w:rFonts w:ascii="Arial" w:cs="Arial" w:eastAsia="Arial" w:hAnsi="Arial"/>
                <w:sz w:val="18"/>
                <w:szCs w:val="18"/>
                <w:color w:val="auto"/>
              </w:rPr>
              <w:t>dividends:</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Series A</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1560" w:type="dxa"/>
            <w:vAlign w:val="bottom"/>
            <w:gridSpan w:val="2"/>
          </w:tcPr>
          <w:p>
            <w:pPr>
              <w:ind w:left="440"/>
              <w:spacing w:after="0"/>
              <w:rPr>
                <w:sz w:val="20"/>
                <w:szCs w:val="20"/>
                <w:color w:val="auto"/>
              </w:rPr>
            </w:pPr>
            <w:r>
              <w:rPr>
                <w:rFonts w:ascii="Arial" w:cs="Arial" w:eastAsia="Arial" w:hAnsi="Arial"/>
                <w:sz w:val="18"/>
                <w:szCs w:val="18"/>
                <w:color w:val="auto"/>
              </w:rPr>
              <w:t>Series B</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1,028</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(7,798)</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(6,770)</w:t>
            </w:r>
          </w:p>
        </w:tc>
        <w:tc>
          <w:tcPr>
            <w:tcW w:w="0" w:type="dxa"/>
            <w:vAlign w:val="bottom"/>
          </w:tcPr>
          <w:p>
            <w:pPr>
              <w:spacing w:after="0"/>
              <w:rPr>
                <w:sz w:val="1"/>
                <w:szCs w:val="1"/>
                <w:color w:val="auto"/>
              </w:rPr>
            </w:pPr>
          </w:p>
        </w:tc>
      </w:tr>
      <w:tr>
        <w:trPr>
          <w:trHeight w:val="216"/>
        </w:trPr>
        <w:tc>
          <w:tcPr>
            <w:tcW w:w="1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Series D</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(1,005)</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(1,005)</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459" w:right="239" w:bottom="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60" w:type="dxa"/>
            <w:vAlign w:val="bottom"/>
          </w:tcPr>
          <w:p>
            <w:pPr>
              <w:spacing w:after="0"/>
              <w:rPr>
                <w:sz w:val="20"/>
                <w:szCs w:val="20"/>
                <w:color w:val="auto"/>
              </w:rPr>
            </w:pPr>
            <w:r>
              <w:rPr>
                <w:rFonts w:ascii="Arial" w:cs="Arial" w:eastAsia="Arial" w:hAnsi="Arial"/>
                <w:sz w:val="18"/>
                <w:szCs w:val="18"/>
                <w:b w:val="1"/>
                <w:bCs w:val="1"/>
                <w:color w:val="auto"/>
              </w:rPr>
              <w:t>Balance,</w:t>
            </w:r>
          </w:p>
        </w:tc>
        <w:tc>
          <w:tcPr>
            <w:tcW w:w="360" w:type="dxa"/>
            <w:vAlign w:val="bottom"/>
          </w:tcPr>
          <w:p>
            <w:pPr>
              <w:jc w:val="right"/>
              <w:spacing w:after="0"/>
              <w:rPr>
                <w:sz w:val="20"/>
                <w:szCs w:val="20"/>
                <w:color w:val="auto"/>
              </w:rPr>
            </w:pPr>
            <w:r>
              <w:rPr>
                <w:rFonts w:ascii="Arial" w:cs="Arial" w:eastAsia="Arial" w:hAnsi="Arial"/>
                <w:sz w:val="18"/>
                <w:szCs w:val="18"/>
                <w:color w:val="auto"/>
                <w:w w:val="84"/>
              </w:rPr>
              <w:t>$217</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5"/>
              </w:rPr>
              <w:t>$176,739</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$16,613</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160"/>
              <w:spacing w:after="0"/>
              <w:rPr>
                <w:sz w:val="20"/>
                <w:szCs w:val="20"/>
                <w:color w:val="auto"/>
              </w:rPr>
            </w:pPr>
            <w:r>
              <w:rPr>
                <w:rFonts w:ascii="Arial" w:cs="Arial" w:eastAsia="Arial" w:hAnsi="Arial"/>
                <w:sz w:val="18"/>
                <w:szCs w:val="18"/>
                <w:color w:val="auto"/>
              </w:rPr>
              <w:t>$41,596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15,914</w:t>
            </w: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$ 3,590</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$1,056,565</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w w:val="93"/>
              </w:rPr>
              <w:t>$ (737,736)</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12,869</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w w:val="94"/>
              </w:rPr>
              <w:t>$ 583,367</w:t>
            </w:r>
          </w:p>
        </w:tc>
      </w:tr>
      <w:tr>
        <w:trPr>
          <w:trHeight w:val="216"/>
        </w:trPr>
        <w:tc>
          <w:tcPr>
            <w:tcW w:w="1560" w:type="dxa"/>
            <w:vAlign w:val="bottom"/>
          </w:tcPr>
          <w:p>
            <w:pPr>
              <w:ind w:left="220"/>
              <w:spacing w:after="0"/>
              <w:rPr>
                <w:sz w:val="20"/>
                <w:szCs w:val="20"/>
                <w:color w:val="auto"/>
              </w:rPr>
            </w:pPr>
            <w:r>
              <w:rPr>
                <w:rFonts w:ascii="Arial" w:cs="Arial" w:eastAsia="Arial" w:hAnsi="Arial"/>
                <w:sz w:val="18"/>
                <w:szCs w:val="18"/>
                <w:b w:val="1"/>
                <w:bCs w:val="1"/>
                <w:color w:val="auto"/>
              </w:rPr>
              <w:t>September 30,</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1560" w:type="dxa"/>
            <w:vAlign w:val="bottom"/>
          </w:tcPr>
          <w:p>
            <w:pPr>
              <w:ind w:left="220"/>
              <w:spacing w:after="0"/>
              <w:rPr>
                <w:sz w:val="20"/>
                <w:szCs w:val="20"/>
                <w:color w:val="auto"/>
              </w:rPr>
            </w:pPr>
            <w:r>
              <w:rPr>
                <w:rFonts w:ascii="Arial" w:cs="Arial" w:eastAsia="Arial" w:hAnsi="Arial"/>
                <w:sz w:val="18"/>
                <w:szCs w:val="18"/>
                <w:b w:val="1"/>
                <w:bCs w:val="1"/>
                <w:color w:val="auto"/>
              </w:rPr>
              <w:t>2011</w:t>
            </w:r>
          </w:p>
        </w:tc>
        <w:tc>
          <w:tcPr>
            <w:tcW w:w="36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15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1560" w:type="dxa"/>
            <w:vAlign w:val="bottom"/>
            <w:shd w:val="clear" w:color="auto" w:fill="CCEEFF"/>
          </w:tcPr>
          <w:p>
            <w:pPr>
              <w:spacing w:after="0" w:line="197" w:lineRule="exact"/>
              <w:rPr>
                <w:sz w:val="20"/>
                <w:szCs w:val="20"/>
                <w:color w:val="auto"/>
              </w:rPr>
            </w:pPr>
            <w:r>
              <w:rPr>
                <w:rFonts w:ascii="Arial" w:cs="Arial" w:eastAsia="Arial" w:hAnsi="Arial"/>
                <w:sz w:val="18"/>
                <w:szCs w:val="18"/>
                <w:b w:val="1"/>
                <w:bCs w:val="1"/>
                <w:color w:val="auto"/>
              </w:rPr>
              <w:t>Balance,</w:t>
            </w: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56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December 31,</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156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2011</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$217</w:t>
            </w:r>
          </w:p>
        </w:tc>
        <w:tc>
          <w:tcPr>
            <w:tcW w:w="16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$177,092</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$16,613</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$41,647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15,914</w:t>
            </w:r>
          </w:p>
        </w:tc>
        <w:tc>
          <w:tcPr>
            <w:tcW w:w="16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$ 3,233</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$1,054,940</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3"/>
              </w:rPr>
              <w:t>$ (730,861)</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(3,309)</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4"/>
              </w:rPr>
              <w:t>$ 575,486</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Net income</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28,595</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28,595</w:t>
            </w:r>
          </w:p>
        </w:tc>
      </w:tr>
      <w:tr>
        <w:trPr>
          <w:trHeight w:val="208"/>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comprehensive</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1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w:t>
            </w:r>
          </w:p>
        </w:tc>
        <w:tc>
          <w:tcPr>
            <w:tcW w:w="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(13,035)</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(13,035)</w:t>
            </w:r>
          </w:p>
        </w:tc>
      </w:tr>
      <w:tr>
        <w:trPr>
          <w:trHeight w:val="208"/>
        </w:trPr>
        <w:tc>
          <w:tcPr>
            <w:tcW w:w="1560" w:type="dxa"/>
            <w:vAlign w:val="bottom"/>
          </w:tcPr>
          <w:p>
            <w:pPr>
              <w:spacing w:after="0"/>
              <w:rPr>
                <w:sz w:val="20"/>
                <w:szCs w:val="20"/>
                <w:color w:val="auto"/>
              </w:rPr>
            </w:pPr>
            <w:r>
              <w:rPr>
                <w:rFonts w:ascii="Arial" w:cs="Arial" w:eastAsia="Arial" w:hAnsi="Arial"/>
                <w:sz w:val="18"/>
                <w:szCs w:val="18"/>
                <w:color w:val="auto"/>
              </w:rPr>
              <w:t>Common stock</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560" w:type="dxa"/>
            <w:vAlign w:val="bottom"/>
          </w:tcPr>
          <w:p>
            <w:pPr>
              <w:ind w:left="220"/>
              <w:spacing w:after="0"/>
              <w:rPr>
                <w:sz w:val="20"/>
                <w:szCs w:val="20"/>
                <w:color w:val="auto"/>
              </w:rPr>
            </w:pPr>
            <w:r>
              <w:rPr>
                <w:rFonts w:ascii="Arial" w:cs="Arial" w:eastAsia="Arial" w:hAnsi="Arial"/>
                <w:sz w:val="18"/>
                <w:szCs w:val="18"/>
                <w:color w:val="auto"/>
                <w:w w:val="91"/>
              </w:rPr>
              <w:t>issued to dividend</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560" w:type="dxa"/>
            <w:vAlign w:val="bottom"/>
          </w:tcPr>
          <w:p>
            <w:pPr>
              <w:ind w:left="220"/>
              <w:spacing w:after="0"/>
              <w:rPr>
                <w:sz w:val="20"/>
                <w:szCs w:val="20"/>
                <w:color w:val="auto"/>
              </w:rPr>
            </w:pPr>
            <w:r>
              <w:rPr>
                <w:rFonts w:ascii="Arial" w:cs="Arial" w:eastAsia="Arial" w:hAnsi="Arial"/>
                <w:sz w:val="18"/>
                <w:szCs w:val="18"/>
                <w:color w:val="auto"/>
                <w:w w:val="92"/>
              </w:rPr>
              <w:t>reinvestment plan</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560" w:type="dxa"/>
            <w:vAlign w:val="bottom"/>
          </w:tcPr>
          <w:p>
            <w:pPr>
              <w:ind w:left="220"/>
              <w:spacing w:after="0"/>
              <w:rPr>
                <w:sz w:val="20"/>
                <w:szCs w:val="20"/>
                <w:color w:val="auto"/>
              </w:rPr>
            </w:pPr>
            <w:r>
              <w:rPr>
                <w:rFonts w:ascii="Arial" w:cs="Arial" w:eastAsia="Arial" w:hAnsi="Arial"/>
                <w:sz w:val="18"/>
                <w:szCs w:val="18"/>
                <w:color w:val="auto"/>
                <w:w w:val="99"/>
              </w:rPr>
              <w:t>and to employee</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560" w:type="dxa"/>
            <w:vAlign w:val="bottom"/>
          </w:tcPr>
          <w:p>
            <w:pPr>
              <w:ind w:left="220"/>
              <w:spacing w:after="0"/>
              <w:rPr>
                <w:sz w:val="20"/>
                <w:szCs w:val="20"/>
                <w:color w:val="auto"/>
              </w:rPr>
            </w:pPr>
            <w:r>
              <w:rPr>
                <w:rFonts w:ascii="Arial" w:cs="Arial" w:eastAsia="Arial" w:hAnsi="Arial"/>
                <w:sz w:val="18"/>
                <w:szCs w:val="18"/>
                <w:color w:val="auto"/>
              </w:rPr>
              <w:t>benefit plans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1560" w:type="dxa"/>
            <w:vAlign w:val="bottom"/>
          </w:tcPr>
          <w:p>
            <w:pPr>
              <w:ind w:left="220"/>
              <w:spacing w:after="0"/>
              <w:rPr>
                <w:sz w:val="20"/>
                <w:szCs w:val="20"/>
                <w:color w:val="auto"/>
              </w:rPr>
            </w:pPr>
            <w:r>
              <w:rPr>
                <w:rFonts w:ascii="Arial" w:cs="Arial" w:eastAsia="Arial" w:hAnsi="Arial"/>
                <w:sz w:val="18"/>
                <w:szCs w:val="18"/>
                <w:color w:val="auto"/>
              </w:rPr>
              <w:t>(87,086 shares)</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gridSpan w:val="3"/>
          </w:tcPr>
          <w:p>
            <w:pPr>
              <w:jc w:val="right"/>
              <w:ind w:right="160"/>
              <w:spacing w:after="0"/>
              <w:rPr>
                <w:sz w:val="20"/>
                <w:szCs w:val="20"/>
                <w:color w:val="auto"/>
              </w:rPr>
            </w:pPr>
            <w:r>
              <w:rPr>
                <w:rFonts w:ascii="Arial" w:cs="Arial" w:eastAsia="Arial" w:hAnsi="Arial"/>
                <w:sz w:val="18"/>
                <w:szCs w:val="18"/>
                <w:color w:val="auto"/>
              </w:rPr>
              <w:t>86</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616</w:t>
            </w: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702</w:t>
            </w:r>
          </w:p>
        </w:tc>
      </w:tr>
      <w:tr>
        <w:trPr>
          <w:trHeight w:val="210"/>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Conversion of non-</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voting common</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 to voting</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common stock</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15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6"/>
              </w:rPr>
              <w:t>(597,415 shares)</w:t>
            </w:r>
          </w:p>
        </w:tc>
        <w:tc>
          <w:tcPr>
            <w:tcW w:w="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597</w:t>
            </w:r>
          </w:p>
        </w:tc>
        <w:tc>
          <w:tcPr>
            <w:tcW w:w="1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(597)</w:t>
            </w:r>
          </w:p>
        </w:tc>
        <w:tc>
          <w:tcPr>
            <w:tcW w:w="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08"/>
        </w:trPr>
        <w:tc>
          <w:tcPr>
            <w:tcW w:w="1560" w:type="dxa"/>
            <w:vAlign w:val="bottom"/>
          </w:tcPr>
          <w:p>
            <w:pPr>
              <w:spacing w:after="0"/>
              <w:rPr>
                <w:sz w:val="20"/>
                <w:szCs w:val="20"/>
                <w:color w:val="auto"/>
              </w:rPr>
            </w:pPr>
            <w:r>
              <w:rPr>
                <w:rFonts w:ascii="Arial" w:cs="Arial" w:eastAsia="Arial" w:hAnsi="Arial"/>
                <w:sz w:val="18"/>
                <w:szCs w:val="18"/>
                <w:color w:val="auto"/>
              </w:rPr>
              <w:t>Amortization of</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560" w:type="dxa"/>
            <w:vAlign w:val="bottom"/>
          </w:tcPr>
          <w:p>
            <w:pPr>
              <w:ind w:left="220"/>
              <w:spacing w:after="0"/>
              <w:rPr>
                <w:sz w:val="20"/>
                <w:szCs w:val="20"/>
                <w:color w:val="auto"/>
              </w:rPr>
            </w:pPr>
            <w:r>
              <w:rPr>
                <w:rFonts w:ascii="Arial" w:cs="Arial" w:eastAsia="Arial" w:hAnsi="Arial"/>
                <w:sz w:val="18"/>
                <w:szCs w:val="18"/>
                <w:color w:val="auto"/>
                <w:w w:val="94"/>
              </w:rPr>
              <w:t>stock options and</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560" w:type="dxa"/>
            <w:vAlign w:val="bottom"/>
          </w:tcPr>
          <w:p>
            <w:pPr>
              <w:ind w:left="220"/>
              <w:spacing w:after="0"/>
              <w:rPr>
                <w:sz w:val="20"/>
                <w:szCs w:val="20"/>
                <w:color w:val="auto"/>
              </w:rPr>
            </w:pPr>
            <w:r>
              <w:rPr>
                <w:rFonts w:ascii="Arial" w:cs="Arial" w:eastAsia="Arial" w:hAnsi="Arial"/>
                <w:sz w:val="18"/>
                <w:szCs w:val="18"/>
                <w:color w:val="auto"/>
              </w:rPr>
              <w:t>restricted stock</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1560" w:type="dxa"/>
            <w:vAlign w:val="bottom"/>
          </w:tcPr>
          <w:p>
            <w:pPr>
              <w:ind w:left="220"/>
              <w:spacing w:after="0"/>
              <w:rPr>
                <w:sz w:val="20"/>
                <w:szCs w:val="20"/>
                <w:color w:val="auto"/>
              </w:rPr>
            </w:pPr>
            <w:r>
              <w:rPr>
                <w:rFonts w:ascii="Arial" w:cs="Arial" w:eastAsia="Arial" w:hAnsi="Arial"/>
                <w:sz w:val="18"/>
                <w:szCs w:val="18"/>
                <w:color w:val="auto"/>
              </w:rPr>
              <w:t>awards</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1,412</w:t>
            </w: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1,412</w:t>
            </w:r>
          </w:p>
        </w:tc>
      </w:tr>
      <w:tr>
        <w:trPr>
          <w:trHeight w:val="210"/>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w w:val="96"/>
              </w:rPr>
              <w:t>Vesting of restricted</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 net of</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shares</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surrendered to</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cover payroll</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taxes (59,081</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shares issued,</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36,673 shares</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1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w:t>
            </w:r>
          </w:p>
        </w:tc>
        <w:tc>
          <w:tcPr>
            <w:tcW w:w="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60</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155</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(257)</w:t>
            </w:r>
          </w:p>
        </w:tc>
        <w:tc>
          <w:tcPr>
            <w:tcW w:w="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(42)</w:t>
            </w:r>
          </w:p>
        </w:tc>
      </w:tr>
      <w:tr>
        <w:trPr>
          <w:trHeight w:val="208"/>
        </w:trPr>
        <w:tc>
          <w:tcPr>
            <w:tcW w:w="1560" w:type="dxa"/>
            <w:vAlign w:val="bottom"/>
          </w:tcPr>
          <w:p>
            <w:pPr>
              <w:spacing w:after="0"/>
              <w:rPr>
                <w:sz w:val="20"/>
                <w:szCs w:val="20"/>
                <w:color w:val="auto"/>
              </w:rPr>
            </w:pPr>
            <w:r>
              <w:rPr>
                <w:rFonts w:ascii="Arial" w:cs="Arial" w:eastAsia="Arial" w:hAnsi="Arial"/>
                <w:sz w:val="18"/>
                <w:szCs w:val="18"/>
                <w:color w:val="auto"/>
              </w:rPr>
              <w:t>Deferred</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560" w:type="dxa"/>
            <w:vAlign w:val="bottom"/>
          </w:tcPr>
          <w:p>
            <w:pPr>
              <w:ind w:left="220"/>
              <w:spacing w:after="0"/>
              <w:rPr>
                <w:sz w:val="20"/>
                <w:szCs w:val="20"/>
                <w:color w:val="auto"/>
              </w:rPr>
            </w:pPr>
            <w:r>
              <w:rPr>
                <w:rFonts w:ascii="Arial" w:cs="Arial" w:eastAsia="Arial" w:hAnsi="Arial"/>
                <w:sz w:val="18"/>
                <w:szCs w:val="18"/>
                <w:color w:val="auto"/>
              </w:rPr>
              <w:t>compensation</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560" w:type="dxa"/>
            <w:vAlign w:val="bottom"/>
          </w:tcPr>
          <w:p>
            <w:pPr>
              <w:ind w:left="220"/>
              <w:spacing w:after="0"/>
              <w:rPr>
                <w:sz w:val="20"/>
                <w:szCs w:val="20"/>
                <w:color w:val="auto"/>
              </w:rPr>
            </w:pPr>
            <w:r>
              <w:rPr>
                <w:rFonts w:ascii="Arial" w:cs="Arial" w:eastAsia="Arial" w:hAnsi="Arial"/>
                <w:sz w:val="18"/>
                <w:szCs w:val="18"/>
                <w:color w:val="auto"/>
              </w:rPr>
              <w:t>plan, net,</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560" w:type="dxa"/>
            <w:vAlign w:val="bottom"/>
          </w:tcPr>
          <w:p>
            <w:pPr>
              <w:ind w:left="220"/>
              <w:spacing w:after="0"/>
              <w:rPr>
                <w:sz w:val="20"/>
                <w:szCs w:val="20"/>
                <w:color w:val="auto"/>
              </w:rPr>
            </w:pPr>
            <w:r>
              <w:rPr>
                <w:rFonts w:ascii="Arial" w:cs="Arial" w:eastAsia="Arial" w:hAnsi="Arial"/>
                <w:sz w:val="18"/>
                <w:szCs w:val="18"/>
                <w:color w:val="auto"/>
              </w:rPr>
              <w:t>including</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560" w:type="dxa"/>
            <w:vAlign w:val="bottom"/>
          </w:tcPr>
          <w:p>
            <w:pPr>
              <w:ind w:left="220"/>
              <w:spacing w:after="0"/>
              <w:rPr>
                <w:sz w:val="20"/>
                <w:szCs w:val="20"/>
                <w:color w:val="auto"/>
              </w:rPr>
            </w:pPr>
            <w:r>
              <w:rPr>
                <w:rFonts w:ascii="Arial" w:cs="Arial" w:eastAsia="Arial" w:hAnsi="Arial"/>
                <w:sz w:val="18"/>
                <w:szCs w:val="18"/>
                <w:color w:val="auto"/>
              </w:rPr>
              <w:t>dividend</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1560" w:type="dxa"/>
            <w:vAlign w:val="bottom"/>
          </w:tcPr>
          <w:p>
            <w:pPr>
              <w:ind w:left="220"/>
              <w:spacing w:after="0"/>
              <w:rPr>
                <w:sz w:val="20"/>
                <w:szCs w:val="20"/>
                <w:color w:val="auto"/>
              </w:rPr>
            </w:pPr>
            <w:r>
              <w:rPr>
                <w:rFonts w:ascii="Arial" w:cs="Arial" w:eastAsia="Arial" w:hAnsi="Arial"/>
                <w:sz w:val="18"/>
                <w:szCs w:val="18"/>
                <w:color w:val="auto"/>
              </w:rPr>
              <w:t>equivalents</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149</w:t>
            </w: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149</w:t>
            </w:r>
          </w:p>
        </w:tc>
      </w:tr>
      <w:tr>
        <w:trPr>
          <w:trHeight w:val="210"/>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w w:val="99"/>
              </w:rPr>
              <w:t>Shares issued from</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compensation</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plan (2,637</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1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shares)</w:t>
            </w:r>
          </w:p>
        </w:tc>
        <w:tc>
          <w:tcPr>
            <w:tcW w:w="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287</w:t>
            </w:r>
          </w:p>
        </w:tc>
        <w:tc>
          <w:tcPr>
            <w:tcW w:w="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08"/>
        </w:trPr>
        <w:tc>
          <w:tcPr>
            <w:tcW w:w="1560" w:type="dxa"/>
            <w:vAlign w:val="bottom"/>
          </w:tcPr>
          <w:p>
            <w:pPr>
              <w:spacing w:after="0"/>
              <w:rPr>
                <w:sz w:val="20"/>
                <w:szCs w:val="20"/>
                <w:color w:val="auto"/>
              </w:rPr>
            </w:pPr>
            <w:r>
              <w:rPr>
                <w:rFonts w:ascii="Arial" w:cs="Arial" w:eastAsia="Arial" w:hAnsi="Arial"/>
                <w:sz w:val="18"/>
                <w:szCs w:val="18"/>
                <w:color w:val="auto"/>
              </w:rPr>
              <w:t>Preferred stock</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1560" w:type="dxa"/>
            <w:vAlign w:val="bottom"/>
          </w:tcPr>
          <w:p>
            <w:pPr>
              <w:ind w:left="220"/>
              <w:spacing w:after="0"/>
              <w:rPr>
                <w:sz w:val="20"/>
                <w:szCs w:val="20"/>
                <w:color w:val="auto"/>
              </w:rPr>
            </w:pPr>
            <w:r>
              <w:rPr>
                <w:rFonts w:ascii="Arial" w:cs="Arial" w:eastAsia="Arial" w:hAnsi="Arial"/>
                <w:sz w:val="18"/>
                <w:szCs w:val="18"/>
                <w:color w:val="auto"/>
              </w:rPr>
              <w:t>dividends:</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1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Series A</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r>
      <w:tr>
        <w:trPr>
          <w:trHeight w:val="216"/>
        </w:trPr>
        <w:tc>
          <w:tcPr>
            <w:tcW w:w="1560" w:type="dxa"/>
            <w:vAlign w:val="bottom"/>
          </w:tcPr>
          <w:p>
            <w:pPr>
              <w:ind w:left="440"/>
              <w:spacing w:after="0"/>
              <w:rPr>
                <w:sz w:val="20"/>
                <w:szCs w:val="20"/>
                <w:color w:val="auto"/>
              </w:rPr>
            </w:pPr>
            <w:r>
              <w:rPr>
                <w:rFonts w:ascii="Arial" w:cs="Arial" w:eastAsia="Arial" w:hAnsi="Arial"/>
                <w:sz w:val="18"/>
                <w:szCs w:val="18"/>
                <w:color w:val="auto"/>
              </w:rPr>
              <w:t>Series B</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1,091</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(7,841)</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(6,750)</w:t>
            </w:r>
          </w:p>
        </w:tc>
      </w:tr>
      <w:tr>
        <w:trPr>
          <w:trHeight w:val="216"/>
        </w:trPr>
        <w:tc>
          <w:tcPr>
            <w:tcW w:w="1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Series D</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(1,253)</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(1,253)</w:t>
            </w:r>
          </w:p>
        </w:tc>
      </w:tr>
      <w:tr>
        <w:trPr>
          <w:trHeight w:val="209"/>
        </w:trPr>
        <w:tc>
          <w:tcPr>
            <w:tcW w:w="1560" w:type="dxa"/>
            <w:vAlign w:val="bottom"/>
          </w:tcPr>
          <w:p>
            <w:pPr>
              <w:spacing w:after="0"/>
              <w:rPr>
                <w:sz w:val="20"/>
                <w:szCs w:val="20"/>
                <w:color w:val="auto"/>
              </w:rPr>
            </w:pPr>
            <w:r>
              <w:rPr>
                <w:rFonts w:ascii="Arial" w:cs="Arial" w:eastAsia="Arial" w:hAnsi="Arial"/>
                <w:sz w:val="18"/>
                <w:szCs w:val="18"/>
                <w:b w:val="1"/>
                <w:bCs w:val="1"/>
                <w:color w:val="auto"/>
              </w:rPr>
              <w:t>Balance,</w:t>
            </w:r>
          </w:p>
        </w:tc>
        <w:tc>
          <w:tcPr>
            <w:tcW w:w="3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560" w:type="dxa"/>
            <w:vAlign w:val="bottom"/>
          </w:tcPr>
          <w:p>
            <w:pPr>
              <w:ind w:left="220"/>
              <w:spacing w:after="0"/>
              <w:rPr>
                <w:sz w:val="20"/>
                <w:szCs w:val="20"/>
                <w:color w:val="auto"/>
              </w:rPr>
            </w:pPr>
            <w:r>
              <w:rPr>
                <w:rFonts w:ascii="Arial" w:cs="Arial" w:eastAsia="Arial" w:hAnsi="Arial"/>
                <w:sz w:val="18"/>
                <w:szCs w:val="18"/>
                <w:b w:val="1"/>
                <w:bCs w:val="1"/>
                <w:color w:val="auto"/>
              </w:rPr>
              <w:t>September 30,</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1560" w:type="dxa"/>
            <w:vAlign w:val="bottom"/>
          </w:tcPr>
          <w:p>
            <w:pPr>
              <w:ind w:left="220"/>
              <w:spacing w:after="0"/>
              <w:rPr>
                <w:sz w:val="20"/>
                <w:szCs w:val="20"/>
                <w:color w:val="auto"/>
              </w:rPr>
            </w:pPr>
            <w:r>
              <w:rPr>
                <w:rFonts w:ascii="Arial" w:cs="Arial" w:eastAsia="Arial" w:hAnsi="Arial"/>
                <w:sz w:val="18"/>
                <w:szCs w:val="18"/>
                <w:b w:val="1"/>
                <w:bCs w:val="1"/>
                <w:color w:val="auto"/>
              </w:rPr>
              <w:t>2012</w:t>
            </w:r>
          </w:p>
        </w:tc>
        <w:tc>
          <w:tcPr>
            <w:tcW w:w="360" w:type="dxa"/>
            <w:vAlign w:val="bottom"/>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217</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178,183</w:t>
            </w:r>
          </w:p>
        </w:tc>
        <w:tc>
          <w:tcPr>
            <w:tcW w:w="7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16,613</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1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42,393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15,317</w:t>
            </w:r>
          </w:p>
        </w:tc>
        <w:tc>
          <w:tcPr>
            <w:tcW w:w="16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$ 3,247</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1,056,998</w:t>
            </w:r>
          </w:p>
        </w:tc>
        <w:tc>
          <w:tcPr>
            <w:tcW w:w="1200" w:type="dxa"/>
            <w:vAlign w:val="bottom"/>
            <w:gridSpan w:val="4"/>
          </w:tcPr>
          <w:p>
            <w:pPr>
              <w:jc w:val="right"/>
              <w:ind w:right="63"/>
              <w:spacing w:after="0"/>
              <w:rPr>
                <w:sz w:val="20"/>
                <w:szCs w:val="20"/>
                <w:color w:val="auto"/>
              </w:rPr>
            </w:pPr>
            <w:r>
              <w:rPr>
                <w:rFonts w:ascii="Arial" w:cs="Arial" w:eastAsia="Arial" w:hAnsi="Arial"/>
                <w:sz w:val="18"/>
                <w:szCs w:val="18"/>
                <w:color w:val="auto"/>
                <w:w w:val="97"/>
              </w:rPr>
              <w:t>$ (711,369) $</w:t>
            </w:r>
          </w:p>
        </w:tc>
        <w:tc>
          <w:tcPr>
            <w:tcW w:w="1680" w:type="dxa"/>
            <w:vAlign w:val="bottom"/>
            <w:gridSpan w:val="5"/>
          </w:tcPr>
          <w:p>
            <w:pPr>
              <w:jc w:val="right"/>
              <w:ind w:right="100"/>
              <w:spacing w:after="0"/>
              <w:rPr>
                <w:sz w:val="20"/>
                <w:szCs w:val="20"/>
                <w:color w:val="auto"/>
              </w:rPr>
            </w:pPr>
            <w:r>
              <w:rPr>
                <w:rFonts w:ascii="Arial" w:cs="Arial" w:eastAsia="Arial" w:hAnsi="Arial"/>
                <w:sz w:val="18"/>
                <w:szCs w:val="18"/>
                <w:color w:val="auto"/>
              </w:rPr>
              <w:t>(16,344) $ 585,255</w:t>
            </w:r>
          </w:p>
        </w:tc>
      </w:tr>
      <w:tr>
        <w:trPr>
          <w:trHeight w:val="20"/>
        </w:trPr>
        <w:tc>
          <w:tcPr>
            <w:tcW w:w="15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COMMUNITY BANKS,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Consolidated Statement of Cash Flows </w:t>
      </w:r>
      <w:r>
        <w:rPr>
          <w:rFonts w:ascii="Arial" w:cs="Arial" w:eastAsia="Arial" w:hAnsi="Arial"/>
          <w:sz w:val="18"/>
          <w:szCs w:val="18"/>
          <w:i w:val="1"/>
          <w:i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906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Pr>
          <w:p>
            <w:pPr>
              <w:spacing w:after="0"/>
              <w:rPr>
                <w:sz w:val="14"/>
                <w:szCs w:val="14"/>
                <w:color w:val="auto"/>
              </w:rPr>
            </w:pPr>
          </w:p>
        </w:tc>
        <w:tc>
          <w:tcPr>
            <w:tcW w:w="226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29"/>
        </w:trPr>
        <w:tc>
          <w:tcPr>
            <w:tcW w:w="9060" w:type="dxa"/>
            <w:vAlign w:val="bottom"/>
            <w:gridSpan w:val="3"/>
            <w:vMerge w:val="continue"/>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right"/>
              <w:ind w:right="214"/>
              <w:spacing w:after="0" w:line="129" w:lineRule="exact"/>
              <w:rPr>
                <w:sz w:val="20"/>
                <w:szCs w:val="20"/>
                <w:color w:val="auto"/>
              </w:rPr>
            </w:pPr>
            <w:r>
              <w:rPr>
                <w:rFonts w:ascii="Arial" w:cs="Arial" w:eastAsia="Arial" w:hAnsi="Arial"/>
                <w:sz w:val="14"/>
                <w:szCs w:val="14"/>
                <w:b w:val="1"/>
                <w:bCs w:val="1"/>
                <w:color w:val="auto"/>
              </w:rPr>
              <w:t>2012</w:t>
            </w:r>
          </w:p>
        </w:tc>
        <w:tc>
          <w:tcPr>
            <w:tcW w:w="5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ind w:right="213"/>
              <w:spacing w:after="0" w:line="129"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Borders>
              <w:bottom w:val="single" w:sz="8" w:color="CCEEFF"/>
            </w:tcBorders>
            <w:shd w:val="clear" w:color="auto" w:fill="000000"/>
          </w:tcPr>
          <w:p>
            <w:pPr>
              <w:spacing w:after="0" w:line="20" w:lineRule="exact"/>
              <w:rPr>
                <w:sz w:val="1"/>
                <w:szCs w:val="1"/>
                <w:color w:val="auto"/>
              </w:rPr>
            </w:pPr>
          </w:p>
        </w:tc>
        <w:tc>
          <w:tcPr>
            <w:tcW w:w="82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904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Operating activities:</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tcPr>
          <w:p>
            <w:pPr>
              <w:ind w:left="420"/>
              <w:spacing w:after="0"/>
              <w:rPr>
                <w:sz w:val="20"/>
                <w:szCs w:val="20"/>
                <w:color w:val="auto"/>
              </w:rPr>
            </w:pPr>
            <w:r>
              <w:rPr>
                <w:rFonts w:ascii="Arial" w:cs="Arial" w:eastAsia="Arial" w:hAnsi="Arial"/>
                <w:sz w:val="18"/>
                <w:szCs w:val="18"/>
                <w:color w:val="auto"/>
              </w:rPr>
              <w:t>Net income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28,595</w:t>
            </w: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(236,647)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40" w:type="dxa"/>
            <w:vAlign w:val="bottom"/>
          </w:tcPr>
          <w:p>
            <w:pPr>
              <w:ind w:left="60"/>
              <w:spacing w:after="0"/>
              <w:rPr>
                <w:sz w:val="20"/>
                <w:szCs w:val="20"/>
                <w:color w:val="auto"/>
              </w:rPr>
            </w:pPr>
            <w:r>
              <w:rPr>
                <w:rFonts w:ascii="Arial" w:cs="Arial" w:eastAsia="Arial" w:hAnsi="Arial"/>
                <w:sz w:val="18"/>
                <w:szCs w:val="18"/>
                <w:color w:val="auto"/>
              </w:rPr>
              <w:t>Depreciation, amortization and accretion</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24,478</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14,670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240" w:type="dxa"/>
            <w:vAlign w:val="bottom"/>
            <w:shd w:val="clear" w:color="auto" w:fill="CCEEFF"/>
          </w:tcPr>
          <w:p>
            <w:pPr>
              <w:ind w:left="60"/>
              <w:spacing w:after="0"/>
              <w:rPr>
                <w:sz w:val="20"/>
                <w:szCs w:val="20"/>
                <w:color w:val="auto"/>
              </w:rPr>
            </w:pPr>
            <w:r>
              <w:rPr>
                <w:rFonts w:ascii="Arial" w:cs="Arial" w:eastAsia="Arial" w:hAnsi="Arial"/>
                <w:sz w:val="18"/>
                <w:szCs w:val="18"/>
                <w:color w:val="auto"/>
              </w:rPr>
              <w:t>Provision for loan losses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48,500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40" w:type="dxa"/>
            <w:vAlign w:val="bottom"/>
          </w:tcPr>
          <w:p>
            <w:pPr>
              <w:ind w:left="60"/>
              <w:spacing w:after="0"/>
              <w:rPr>
                <w:sz w:val="20"/>
                <w:szCs w:val="20"/>
                <w:color w:val="auto"/>
              </w:rPr>
            </w:pPr>
            <w:r>
              <w:rPr>
                <w:rFonts w:ascii="Arial" w:cs="Arial" w:eastAsia="Arial" w:hAnsi="Arial"/>
                <w:sz w:val="18"/>
                <w:szCs w:val="18"/>
                <w:color w:val="auto"/>
              </w:rPr>
              <w:t>Stock based compensation</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1,412</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1,485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240" w:type="dxa"/>
            <w:vAlign w:val="bottom"/>
            <w:shd w:val="clear" w:color="auto" w:fill="CCEEFF"/>
          </w:tcPr>
          <w:p>
            <w:pPr>
              <w:ind w:left="60"/>
              <w:spacing w:after="0"/>
              <w:rPr>
                <w:sz w:val="20"/>
                <w:szCs w:val="20"/>
                <w:color w:val="auto"/>
              </w:rPr>
            </w:pPr>
            <w:r>
              <w:rPr>
                <w:rFonts w:ascii="Arial" w:cs="Arial" w:eastAsia="Arial" w:hAnsi="Arial"/>
                <w:sz w:val="18"/>
                <w:szCs w:val="18"/>
                <w:color w:val="auto"/>
              </w:rPr>
              <w:t>Securities gains, net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(7,047)</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40" w:type="dxa"/>
            <w:vAlign w:val="bottom"/>
          </w:tcPr>
          <w:p>
            <w:pPr>
              <w:ind w:left="60"/>
              <w:spacing w:after="0"/>
              <w:rPr>
                <w:sz w:val="20"/>
                <w:szCs w:val="20"/>
                <w:color w:val="auto"/>
              </w:rPr>
            </w:pPr>
            <w:r>
              <w:rPr>
                <w:rFonts w:ascii="Arial" w:cs="Arial" w:eastAsia="Arial" w:hAnsi="Arial"/>
                <w:sz w:val="18"/>
                <w:szCs w:val="18"/>
                <w:color w:val="auto"/>
              </w:rPr>
              <w:t>Losses and write downs on sales of other real estate owned</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5,687</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61,473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240" w:type="dxa"/>
            <w:vAlign w:val="bottom"/>
            <w:shd w:val="clear" w:color="auto" w:fill="CCEEFF"/>
          </w:tcPr>
          <w:p>
            <w:pPr>
              <w:ind w:left="60"/>
              <w:spacing w:after="0"/>
              <w:rPr>
                <w:sz w:val="20"/>
                <w:szCs w:val="20"/>
                <w:color w:val="auto"/>
              </w:rPr>
            </w:pPr>
            <w:r>
              <w:rPr>
                <w:rFonts w:ascii="Arial" w:cs="Arial" w:eastAsia="Arial" w:hAnsi="Arial"/>
                <w:sz w:val="18"/>
                <w:szCs w:val="18"/>
                <w:color w:val="auto"/>
              </w:rPr>
              <w:t>Loss on prepayment of borrowings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6,681</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40" w:type="dxa"/>
            <w:vAlign w:val="bottom"/>
          </w:tcPr>
          <w:p>
            <w:pPr>
              <w:ind w:left="60"/>
              <w:spacing w:after="0"/>
              <w:rPr>
                <w:sz w:val="20"/>
                <w:szCs w:val="20"/>
                <w:color w:val="auto"/>
              </w:rPr>
            </w:pPr>
            <w:r>
              <w:rPr>
                <w:rFonts w:ascii="Arial" w:cs="Arial" w:eastAsia="Arial" w:hAnsi="Arial"/>
                <w:sz w:val="18"/>
                <w:szCs w:val="18"/>
                <w:color w:val="auto"/>
              </w:rPr>
              <w:t>Changes in assets and liabilities:</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240" w:type="dxa"/>
            <w:vAlign w:val="bottom"/>
            <w:shd w:val="clear" w:color="auto" w:fill="CCEEFF"/>
          </w:tcPr>
          <w:p>
            <w:pPr>
              <w:ind w:left="920"/>
              <w:spacing w:after="0"/>
              <w:rPr>
                <w:sz w:val="20"/>
                <w:szCs w:val="20"/>
                <w:color w:val="auto"/>
              </w:rPr>
            </w:pPr>
            <w:r>
              <w:rPr>
                <w:rFonts w:ascii="Arial" w:cs="Arial" w:eastAsia="Arial" w:hAnsi="Arial"/>
                <w:sz w:val="18"/>
                <w:szCs w:val="18"/>
                <w:color w:val="auto"/>
              </w:rPr>
              <w:t>Other assets and accrued interest receivable</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40,708</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40" w:type="dxa"/>
            <w:vAlign w:val="bottom"/>
          </w:tcPr>
          <w:p>
            <w:pPr>
              <w:ind w:left="920"/>
              <w:spacing w:after="0"/>
              <w:rPr>
                <w:sz w:val="20"/>
                <w:szCs w:val="20"/>
                <w:color w:val="auto"/>
              </w:rPr>
            </w:pPr>
            <w:r>
              <w:rPr>
                <w:rFonts w:ascii="Arial" w:cs="Arial" w:eastAsia="Arial" w:hAnsi="Arial"/>
                <w:sz w:val="18"/>
                <w:szCs w:val="18"/>
                <w:color w:val="auto"/>
              </w:rPr>
              <w:t>Accrued expenses and other liabilities</w:t>
            </w:r>
          </w:p>
        </w:tc>
        <w:tc>
          <w:tcPr>
            <w:tcW w:w="10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(3,108)</w:t>
            </w: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(2,739)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240" w:type="dxa"/>
            <w:vAlign w:val="bottom"/>
            <w:shd w:val="clear" w:color="auto" w:fill="CCEEFF"/>
          </w:tcPr>
          <w:p>
            <w:pPr>
              <w:ind w:left="920"/>
              <w:spacing w:after="0"/>
              <w:rPr>
                <w:sz w:val="20"/>
                <w:szCs w:val="20"/>
                <w:color w:val="auto"/>
              </w:rPr>
            </w:pPr>
            <w:r>
              <w:rPr>
                <w:rFonts w:ascii="Arial" w:cs="Arial" w:eastAsia="Arial" w:hAnsi="Arial"/>
                <w:sz w:val="18"/>
                <w:szCs w:val="18"/>
                <w:color w:val="auto"/>
              </w:rPr>
              <w:t>Mortgage loans held for sale</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(6,690)</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13,858</w:t>
            </w:r>
          </w:p>
        </w:tc>
        <w:tc>
          <w:tcPr>
            <w:tcW w:w="0" w:type="dxa"/>
            <w:vAlign w:val="bottom"/>
          </w:tcPr>
          <w:p>
            <w:pPr>
              <w:spacing w:after="0"/>
              <w:rPr>
                <w:sz w:val="1"/>
                <w:szCs w:val="1"/>
                <w:color w:val="auto"/>
              </w:rPr>
            </w:pPr>
          </w:p>
        </w:tc>
      </w:tr>
      <w:tr>
        <w:trPr>
          <w:trHeight w:val="230"/>
        </w:trPr>
        <w:tc>
          <w:tcPr>
            <w:tcW w:w="9060" w:type="dxa"/>
            <w:vAlign w:val="bottom"/>
            <w:gridSpan w:val="3"/>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139,216</w:t>
            </w:r>
          </w:p>
        </w:tc>
        <w:tc>
          <w:tcPr>
            <w:tcW w:w="5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118,907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tcPr>
          <w:p>
            <w:pPr>
              <w:ind w:left="420"/>
              <w:spacing w:after="0"/>
              <w:rPr>
                <w:sz w:val="20"/>
                <w:szCs w:val="20"/>
                <w:color w:val="auto"/>
              </w:rPr>
            </w:pPr>
            <w:r>
              <w:rPr>
                <w:rFonts w:ascii="Arial" w:cs="Arial" w:eastAsia="Arial" w:hAnsi="Arial"/>
                <w:sz w:val="18"/>
                <w:szCs w:val="18"/>
                <w:color w:val="auto"/>
              </w:rPr>
              <w:t>Investment securities held to maturity:</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240" w:type="dxa"/>
            <w:vAlign w:val="bottom"/>
            <w:shd w:val="clear" w:color="auto" w:fill="CCEEFF"/>
          </w:tcPr>
          <w:p>
            <w:pPr>
              <w:ind w:left="60"/>
              <w:spacing w:after="0"/>
              <w:rPr>
                <w:sz w:val="20"/>
                <w:szCs w:val="20"/>
                <w:color w:val="auto"/>
              </w:rPr>
            </w:pPr>
            <w:r>
              <w:rPr>
                <w:rFonts w:ascii="Arial" w:cs="Arial" w:eastAsia="Arial" w:hAnsi="Arial"/>
                <w:sz w:val="18"/>
                <w:szCs w:val="18"/>
                <w:color w:val="auto"/>
              </w:rPr>
              <w:t>Proceeds from maturities and calls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65,040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40" w:type="dxa"/>
            <w:vAlign w:val="bottom"/>
          </w:tcPr>
          <w:p>
            <w:pPr>
              <w:ind w:left="60"/>
              <w:spacing w:after="0"/>
              <w:rPr>
                <w:sz w:val="20"/>
                <w:szCs w:val="20"/>
                <w:color w:val="auto"/>
              </w:rPr>
            </w:pPr>
            <w:r>
              <w:rPr>
                <w:rFonts w:ascii="Arial" w:cs="Arial" w:eastAsia="Arial" w:hAnsi="Arial"/>
                <w:sz w:val="18"/>
                <w:szCs w:val="18"/>
                <w:color w:val="auto"/>
              </w:rPr>
              <w:t>Purchases</w:t>
            </w:r>
          </w:p>
        </w:tc>
        <w:tc>
          <w:tcPr>
            <w:tcW w:w="100" w:type="dxa"/>
            <w:vAlign w:val="bottom"/>
          </w:tcPr>
          <w:p>
            <w:pPr>
              <w:spacing w:after="0"/>
              <w:rPr>
                <w:sz w:val="18"/>
                <w:szCs w:val="18"/>
                <w:color w:val="auto"/>
              </w:rPr>
            </w:pP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(142,777)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Investment securities available for sale:</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40" w:type="dxa"/>
            <w:vAlign w:val="bottom"/>
          </w:tcPr>
          <w:p>
            <w:pPr>
              <w:ind w:left="60"/>
              <w:spacing w:after="0"/>
              <w:rPr>
                <w:sz w:val="20"/>
                <w:szCs w:val="20"/>
                <w:color w:val="auto"/>
              </w:rPr>
            </w:pPr>
            <w:r>
              <w:rPr>
                <w:rFonts w:ascii="Arial" w:cs="Arial" w:eastAsia="Arial" w:hAnsi="Arial"/>
                <w:sz w:val="18"/>
                <w:szCs w:val="18"/>
                <w:color w:val="auto"/>
              </w:rPr>
              <w:t>Proceeds from sales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371,103</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106,603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240" w:type="dxa"/>
            <w:vAlign w:val="bottom"/>
            <w:shd w:val="clear" w:color="auto" w:fill="CCEEFF"/>
          </w:tcPr>
          <w:p>
            <w:pPr>
              <w:ind w:left="60"/>
              <w:spacing w:after="0"/>
              <w:rPr>
                <w:sz w:val="20"/>
                <w:szCs w:val="20"/>
                <w:color w:val="auto"/>
              </w:rPr>
            </w:pPr>
            <w:r>
              <w:rPr>
                <w:rFonts w:ascii="Arial" w:cs="Arial" w:eastAsia="Arial" w:hAnsi="Arial"/>
                <w:sz w:val="18"/>
                <w:szCs w:val="18"/>
                <w:color w:val="auto"/>
              </w:rPr>
              <w:t>Proceeds from maturities and calls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492,768</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40" w:type="dxa"/>
            <w:vAlign w:val="bottom"/>
          </w:tcPr>
          <w:p>
            <w:pPr>
              <w:ind w:left="60"/>
              <w:spacing w:after="0"/>
              <w:rPr>
                <w:sz w:val="20"/>
                <w:szCs w:val="20"/>
                <w:color w:val="auto"/>
              </w:rPr>
            </w:pPr>
            <w:r>
              <w:rPr>
                <w:rFonts w:ascii="Arial" w:cs="Arial" w:eastAsia="Arial" w:hAnsi="Arial"/>
                <w:sz w:val="18"/>
                <w:szCs w:val="18"/>
                <w:color w:val="auto"/>
              </w:rPr>
              <w:t>Purchases</w:t>
            </w:r>
          </w:p>
        </w:tc>
        <w:tc>
          <w:tcPr>
            <w:tcW w:w="10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(818,048)</w:t>
            </w: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(1,000,378)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(increase) decrease in loans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(104,806)</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tcPr>
          <w:p>
            <w:pPr>
              <w:ind w:left="420"/>
              <w:spacing w:after="0"/>
              <w:rPr>
                <w:sz w:val="20"/>
                <w:szCs w:val="20"/>
                <w:color w:val="auto"/>
              </w:rPr>
            </w:pPr>
            <w:r>
              <w:rPr>
                <w:rFonts w:ascii="Arial" w:cs="Arial" w:eastAsia="Arial" w:hAnsi="Arial"/>
                <w:sz w:val="18"/>
                <w:szCs w:val="18"/>
                <w:color w:val="auto"/>
              </w:rPr>
              <w:t>Proceeds from loan sales</w:t>
            </w:r>
          </w:p>
        </w:tc>
        <w:tc>
          <w:tcPr>
            <w:tcW w:w="100" w:type="dxa"/>
            <w:vAlign w:val="bottom"/>
          </w:tcPr>
          <w:p>
            <w:pPr>
              <w:spacing w:after="0"/>
              <w:rPr>
                <w:sz w:val="18"/>
                <w:szCs w:val="18"/>
                <w:color w:val="auto"/>
              </w:rPr>
            </w:pP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99,298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Proceeds collected from FDIC under loss sharing agreements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7,301</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tcPr>
          <w:p>
            <w:pPr>
              <w:ind w:left="420"/>
              <w:spacing w:after="0"/>
              <w:rPr>
                <w:sz w:val="20"/>
                <w:szCs w:val="20"/>
                <w:color w:val="auto"/>
              </w:rPr>
            </w:pPr>
            <w:r>
              <w:rPr>
                <w:rFonts w:ascii="Arial" w:cs="Arial" w:eastAsia="Arial" w:hAnsi="Arial"/>
                <w:sz w:val="18"/>
                <w:szCs w:val="18"/>
                <w:color w:val="auto"/>
              </w:rPr>
              <w:t>Proceeds from sales of premises and equipment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667</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Purchases of premises and equipment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(3,231)</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(6,442)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40" w:type="dxa"/>
            <w:vAlign w:val="bottom"/>
            <w:gridSpan w:val="2"/>
          </w:tcPr>
          <w:p>
            <w:pPr>
              <w:ind w:left="420"/>
              <w:spacing w:after="0"/>
              <w:rPr>
                <w:sz w:val="20"/>
                <w:szCs w:val="20"/>
                <w:color w:val="auto"/>
              </w:rPr>
            </w:pPr>
            <w:r>
              <w:rPr>
                <w:rFonts w:ascii="Arial" w:cs="Arial" w:eastAsia="Arial" w:hAnsi="Arial"/>
                <w:sz w:val="18"/>
                <w:szCs w:val="18"/>
                <w:color w:val="auto"/>
              </w:rPr>
              <w:t>Proceeds from sale of other real estate</w:t>
            </w: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22,309</w:t>
            </w: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33,103</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(319,928)</w:t>
            </w:r>
          </w:p>
        </w:tc>
        <w:tc>
          <w:tcPr>
            <w:tcW w:w="0" w:type="dxa"/>
            <w:vAlign w:val="bottom"/>
          </w:tcPr>
          <w:p>
            <w:pPr>
              <w:spacing w:after="0"/>
              <w:rPr>
                <w:sz w:val="1"/>
                <w:szCs w:val="1"/>
                <w:color w:val="auto"/>
              </w:rPr>
            </w:pPr>
          </w:p>
        </w:tc>
      </w:tr>
      <w:tr>
        <w:trPr>
          <w:trHeight w:val="222"/>
        </w:trPr>
        <w:tc>
          <w:tcPr>
            <w:tcW w:w="9060" w:type="dxa"/>
            <w:vAlign w:val="bottom"/>
            <w:gridSpan w:val="3"/>
          </w:tcPr>
          <w:p>
            <w:pPr>
              <w:spacing w:after="0"/>
              <w:rPr>
                <w:sz w:val="20"/>
                <w:szCs w:val="20"/>
                <w:color w:val="auto"/>
              </w:rPr>
            </w:pPr>
            <w:r>
              <w:rPr>
                <w:rFonts w:ascii="Arial" w:cs="Arial" w:eastAsia="Arial" w:hAnsi="Arial"/>
                <w:sz w:val="18"/>
                <w:szCs w:val="18"/>
                <w:b w:val="1"/>
                <w:bCs w:val="1"/>
                <w:color w:val="auto"/>
              </w:rPr>
              <w:t>Financing activities:</w:t>
            </w: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change in deposits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(275,284)</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(463,867)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tcPr>
          <w:p>
            <w:pPr>
              <w:ind w:left="420"/>
              <w:spacing w:after="0"/>
              <w:rPr>
                <w:sz w:val="20"/>
                <w:szCs w:val="20"/>
                <w:color w:val="auto"/>
              </w:rPr>
            </w:pPr>
            <w:r>
              <w:rPr>
                <w:rFonts w:ascii="Arial" w:cs="Arial" w:eastAsia="Arial" w:hAnsi="Arial"/>
                <w:sz w:val="18"/>
                <w:szCs w:val="18"/>
                <w:color w:val="auto"/>
              </w:rPr>
              <w:t>Net change in federal funds purchased, repurchase agreements, and other short-term borrowings</w:t>
            </w:r>
          </w:p>
        </w:tc>
        <w:tc>
          <w:tcPr>
            <w:tcW w:w="10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(53,814)</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1,816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Proceeds from Federal Home Loan Bank advances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1,629,000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tcPr>
          <w:p>
            <w:pPr>
              <w:ind w:left="420"/>
              <w:spacing w:after="0"/>
              <w:rPr>
                <w:sz w:val="20"/>
                <w:szCs w:val="20"/>
                <w:color w:val="auto"/>
              </w:rPr>
            </w:pPr>
            <w:r>
              <w:rPr>
                <w:rFonts w:ascii="Arial" w:cs="Arial" w:eastAsia="Arial" w:hAnsi="Arial"/>
                <w:sz w:val="18"/>
                <w:szCs w:val="18"/>
                <w:color w:val="auto"/>
              </w:rPr>
              <w:t>Settlement of Federal Home Loan Bank advances</w:t>
            </w:r>
          </w:p>
        </w:tc>
        <w:tc>
          <w:tcPr>
            <w:tcW w:w="10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w w:val="86"/>
              </w:rPr>
              <w:t>(1,621,701)</w:t>
            </w: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(15,291)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Repayments of long-term debt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tcPr>
          <w:p>
            <w:pPr>
              <w:ind w:left="420"/>
              <w:spacing w:after="0"/>
              <w:rPr>
                <w:sz w:val="20"/>
                <w:szCs w:val="20"/>
                <w:color w:val="auto"/>
              </w:rPr>
            </w:pPr>
            <w:r>
              <w:rPr>
                <w:rFonts w:ascii="Arial" w:cs="Arial" w:eastAsia="Arial" w:hAnsi="Arial"/>
                <w:sz w:val="18"/>
                <w:szCs w:val="18"/>
                <w:color w:val="auto"/>
              </w:rPr>
              <w:t>Proceeds from issuance of common stock for dividend reinvestment and employee benefit plans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702</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Proceeds from issuance of common and preferred stock, net of offering costs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361,560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tcPr>
          <w:p>
            <w:pPr>
              <w:ind w:left="420"/>
              <w:spacing w:after="0"/>
              <w:rPr>
                <w:sz w:val="20"/>
                <w:szCs w:val="20"/>
                <w:color w:val="auto"/>
              </w:rPr>
            </w:pPr>
            <w:r>
              <w:rPr>
                <w:rFonts w:ascii="Arial" w:cs="Arial" w:eastAsia="Arial" w:hAnsi="Arial"/>
                <w:sz w:val="18"/>
                <w:szCs w:val="18"/>
                <w:color w:val="auto"/>
              </w:rPr>
              <w:t>Proceeds from penalty on incomplete private equity transaction</w:t>
            </w:r>
          </w:p>
        </w:tc>
        <w:tc>
          <w:tcPr>
            <w:tcW w:w="100" w:type="dxa"/>
            <w:vAlign w:val="bottom"/>
          </w:tcPr>
          <w:p>
            <w:pPr>
              <w:spacing w:after="0"/>
              <w:rPr>
                <w:sz w:val="18"/>
                <w:szCs w:val="18"/>
                <w:color w:val="auto"/>
              </w:rPr>
            </w:pP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Cash dividends on preferred stock</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(8,013)</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(7,785)</w:t>
            </w:r>
          </w:p>
        </w:tc>
        <w:tc>
          <w:tcPr>
            <w:tcW w:w="0" w:type="dxa"/>
            <w:vAlign w:val="bottom"/>
          </w:tcPr>
          <w:p>
            <w:pPr>
              <w:spacing w:after="0"/>
              <w:rPr>
                <w:sz w:val="1"/>
                <w:szCs w:val="1"/>
                <w:color w:val="auto"/>
              </w:rPr>
            </w:pPr>
          </w:p>
        </w:tc>
      </w:tr>
      <w:tr>
        <w:trPr>
          <w:trHeight w:val="20"/>
        </w:trPr>
        <w:tc>
          <w:tcPr>
            <w:tcW w:w="90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Net cash used in financing activities</w:t>
            </w: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060" w:type="dxa"/>
            <w:vAlign w:val="bottom"/>
            <w:gridSpan w:val="3"/>
            <w:vMerge w:val="continue"/>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(329,110)</w:t>
            </w:r>
          </w:p>
        </w:tc>
        <w:tc>
          <w:tcPr>
            <w:tcW w:w="10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(149,216)</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00" w:type="dxa"/>
            <w:vAlign w:val="bottom"/>
          </w:tcPr>
          <w:p>
            <w:pPr>
              <w:spacing w:after="0"/>
              <w:rPr>
                <w:sz w:val="2"/>
                <w:szCs w:val="2"/>
                <w:color w:val="auto"/>
              </w:rPr>
            </w:pPr>
          </w:p>
        </w:tc>
        <w:tc>
          <w:tcPr>
            <w:tcW w:w="8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change in cash and cash equivalents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(156,791)</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(350,237)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40" w:type="dxa"/>
            <w:vAlign w:val="bottom"/>
            <w:gridSpan w:val="2"/>
          </w:tcPr>
          <w:p>
            <w:pPr>
              <w:ind w:left="420"/>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378,416</w:t>
            </w: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649,457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221,625</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299,220</w:t>
            </w:r>
          </w:p>
        </w:tc>
        <w:tc>
          <w:tcPr>
            <w:tcW w:w="0" w:type="dxa"/>
            <w:vAlign w:val="bottom"/>
          </w:tcPr>
          <w:p>
            <w:pPr>
              <w:spacing w:after="0"/>
              <w:rPr>
                <w:sz w:val="1"/>
                <w:szCs w:val="1"/>
                <w:color w:val="auto"/>
              </w:rPr>
            </w:pPr>
          </w:p>
        </w:tc>
      </w:tr>
      <w:tr>
        <w:trPr>
          <w:trHeight w:val="20"/>
        </w:trPr>
        <w:tc>
          <w:tcPr>
            <w:tcW w:w="90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06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240" w:type="dxa"/>
            <w:vAlign w:val="bottom"/>
            <w:shd w:val="clear" w:color="auto" w:fill="CCEEFF"/>
          </w:tcPr>
          <w:p>
            <w:pPr>
              <w:ind w:left="60"/>
              <w:spacing w:after="0"/>
              <w:rPr>
                <w:sz w:val="20"/>
                <w:szCs w:val="20"/>
                <w:color w:val="auto"/>
              </w:rPr>
            </w:pPr>
            <w:r>
              <w:rPr>
                <w:rFonts w:ascii="Arial" w:cs="Arial" w:eastAsia="Arial" w:hAnsi="Arial"/>
                <w:sz w:val="18"/>
                <w:szCs w:val="18"/>
                <w:color w:val="auto"/>
              </w:rPr>
              <w:t>Cash paid (received) during the period for:</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40" w:type="dxa"/>
            <w:vAlign w:val="bottom"/>
          </w:tcPr>
          <w:p>
            <w:pPr>
              <w:ind w:left="480"/>
              <w:spacing w:after="0"/>
              <w:rPr>
                <w:sz w:val="20"/>
                <w:szCs w:val="20"/>
                <w:color w:val="auto"/>
              </w:rPr>
            </w:pPr>
            <w:r>
              <w:rPr>
                <w:rFonts w:ascii="Arial" w:cs="Arial" w:eastAsia="Arial" w:hAnsi="Arial"/>
                <w:sz w:val="18"/>
                <w:szCs w:val="18"/>
                <w:color w:val="auto"/>
              </w:rPr>
              <w:t>Interest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32,668</w:t>
            </w: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55,580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Income taxes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(27,103)</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240" w:type="dxa"/>
            <w:vAlign w:val="bottom"/>
          </w:tcPr>
          <w:p>
            <w:pPr>
              <w:ind w:left="60"/>
              <w:spacing w:after="0"/>
              <w:rPr>
                <w:sz w:val="20"/>
                <w:szCs w:val="20"/>
                <w:color w:val="auto"/>
              </w:rPr>
            </w:pPr>
            <w:r>
              <w:rPr>
                <w:rFonts w:ascii="Arial" w:cs="Arial" w:eastAsia="Arial" w:hAnsi="Arial"/>
                <w:sz w:val="18"/>
                <w:szCs w:val="18"/>
                <w:color w:val="auto"/>
              </w:rPr>
              <w:t>Unsettled securities purchases</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24,319</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10,585</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Accounting Policies</w:t>
      </w:r>
    </w:p>
    <w:p>
      <w:pPr>
        <w:spacing w:after="0" w:line="96" w:lineRule="exact"/>
        <w:rPr>
          <w:sz w:val="20"/>
          <w:szCs w:val="20"/>
          <w:color w:val="auto"/>
        </w:rPr>
      </w:pPr>
    </w:p>
    <w:p>
      <w:pPr>
        <w:ind w:right="260"/>
        <w:spacing w:after="0" w:line="298" w:lineRule="auto"/>
        <w:rPr>
          <w:sz w:val="20"/>
          <w:szCs w:val="20"/>
          <w:color w:val="auto"/>
        </w:rPr>
      </w:pPr>
      <w:r>
        <w:rPr>
          <w:rFonts w:ascii="Arial" w:cs="Arial" w:eastAsia="Arial" w:hAnsi="Arial"/>
          <w:sz w:val="16"/>
          <w:szCs w:val="16"/>
          <w:color w:val="auto"/>
        </w:rPr>
        <w:t>The accounting and financial reporting policies of United Community Banks, Inc. (“United”) and its subsidiaries conform to accounting principles generally accepted in the United States of America (“GAAP”) and general banking industry practices. The accompanying interim consolidated financial statements have not been audited. All material intercompany balances and transactions have been eliminated. A more detailed description of United’s accounting policies is included in its Annual Report on Form 10-K/A for the year ended December 31, 2011.</w:t>
      </w:r>
    </w:p>
    <w:p>
      <w:pPr>
        <w:spacing w:after="0" w:line="11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management’s opinion, all accounting adjustments necessary to accurately reflect the financial position and results of operations on the accompanying financial statements have been made. These adjustments are normal and recurring accruals considered necessary for a fair and accurate presentation. The results for interim periods are not necessarily indicative of results for the full year or any other interim periods.</w:t>
      </w:r>
    </w:p>
    <w:p>
      <w:pPr>
        <w:spacing w:after="0" w:line="140"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 xml:space="preserve">Foreclosed property is initially recorded at fair value, less the estimated cost to sell. If the fair value, less the estimated cost to sell at the time of foreclosure, is less than the loan balance, the deficiency is charged against the allowance for loan losses. If the fair value, less the cost to sell, of the foreclosed property decreases during the holding period, a valuation allowance is established with a charge to operating expenses. When the foreclosed property is sold, a gain or loss is recognized on the sale for the difference between the sales proceeds and the carrying amount of the property. Financed sales of foreclosed property are accounted for in accordance with the Financial Accounting Standards Board’s (“FASB”) Accounting Standards Codification (“ASC”) 360-20, </w:t>
      </w:r>
      <w:r>
        <w:rPr>
          <w:rFonts w:ascii="Arial" w:cs="Arial" w:eastAsia="Arial" w:hAnsi="Arial"/>
          <w:sz w:val="16"/>
          <w:szCs w:val="16"/>
          <w:i w:val="1"/>
          <w:iCs w:val="1"/>
          <w:color w:val="auto"/>
        </w:rPr>
        <w:t>Real Estate Sales.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Accounting Standards Updates</w:t>
      </w:r>
    </w:p>
    <w:p>
      <w:pPr>
        <w:spacing w:after="0" w:line="96"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 xml:space="preserve">In August 2012, the FASB issued Accounting Standards Update No. 2012-03, </w:t>
      </w:r>
      <w:r>
        <w:rPr>
          <w:rFonts w:ascii="Arial" w:cs="Arial" w:eastAsia="Arial" w:hAnsi="Arial"/>
          <w:sz w:val="18"/>
          <w:szCs w:val="18"/>
          <w:i w:val="1"/>
          <w:iCs w:val="1"/>
          <w:color w:val="auto"/>
        </w:rPr>
        <w:t>Technical Amendments and Corrections to SEC sections.</w:t>
      </w:r>
      <w:r>
        <w:rPr>
          <w:rFonts w:ascii="Arial" w:cs="Arial" w:eastAsia="Arial" w:hAnsi="Arial"/>
          <w:sz w:val="18"/>
          <w:szCs w:val="18"/>
          <w:color w:val="auto"/>
        </w:rPr>
        <w:t xml:space="preserve"> It amends various paragraphs related to SEC Staff Accounting Bulletin No. 114, which revises or rescinds portions of the interpretive guidance included in the codification of the Staff Accounting Bulletin Series; SEC Release No. 33-9250, which makes technical amendments to various rules and forms under the Securities Act of 1933 to conform those rules and forms to the ASC; and makes technical corrections related to FASB Accounting Standards Update No. 2010-22, </w:t>
      </w:r>
      <w:r>
        <w:rPr>
          <w:rFonts w:ascii="Arial" w:cs="Arial" w:eastAsia="Arial" w:hAnsi="Arial"/>
          <w:sz w:val="18"/>
          <w:szCs w:val="18"/>
          <w:i w:val="1"/>
          <w:iCs w:val="1"/>
          <w:color w:val="auto"/>
        </w:rPr>
        <w:t>Accounting for Various</w:t>
      </w:r>
      <w:r>
        <w:rPr>
          <w:rFonts w:ascii="Arial" w:cs="Arial" w:eastAsia="Arial" w:hAnsi="Arial"/>
          <w:sz w:val="18"/>
          <w:szCs w:val="18"/>
          <w:color w:val="auto"/>
        </w:rPr>
        <w:t xml:space="preserve"> </w:t>
      </w:r>
      <w:r>
        <w:rPr>
          <w:rFonts w:ascii="Arial" w:cs="Arial" w:eastAsia="Arial" w:hAnsi="Arial"/>
          <w:sz w:val="18"/>
          <w:szCs w:val="18"/>
          <w:i w:val="1"/>
          <w:iCs w:val="1"/>
          <w:color w:val="auto"/>
        </w:rPr>
        <w:t>Topics – Technical Corrections to SEC Paragraphs</w:t>
      </w:r>
      <w:r>
        <w:rPr>
          <w:rFonts w:ascii="Arial" w:cs="Arial" w:eastAsia="Arial" w:hAnsi="Arial"/>
          <w:sz w:val="18"/>
          <w:szCs w:val="18"/>
          <w:color w:val="auto"/>
        </w:rPr>
        <w:t>. The update was effective upon issuance and did not have a material impact on United’s financial position,</w:t>
      </w:r>
      <w:r>
        <w:rPr>
          <w:rFonts w:ascii="Arial" w:cs="Arial" w:eastAsia="Arial" w:hAnsi="Arial"/>
          <w:sz w:val="18"/>
          <w:szCs w:val="18"/>
          <w:i w:val="1"/>
          <w:iCs w:val="1"/>
          <w:color w:val="auto"/>
        </w:rPr>
        <w:t xml:space="preserve"> </w:t>
      </w:r>
      <w:r>
        <w:rPr>
          <w:rFonts w:ascii="Arial" w:cs="Arial" w:eastAsia="Arial" w:hAnsi="Arial"/>
          <w:sz w:val="18"/>
          <w:szCs w:val="18"/>
          <w:color w:val="auto"/>
        </w:rPr>
        <w:t>results of operations or disclosures.</w:t>
      </w:r>
    </w:p>
    <w:p>
      <w:pPr>
        <w:spacing w:after="0" w:line="144"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 xml:space="preserve">In October 2012, the FASB issued Accounting Standards Update No. 2012-04, </w:t>
      </w:r>
      <w:r>
        <w:rPr>
          <w:rFonts w:ascii="Arial" w:cs="Arial" w:eastAsia="Arial" w:hAnsi="Arial"/>
          <w:sz w:val="16"/>
          <w:szCs w:val="16"/>
          <w:i w:val="1"/>
          <w:iCs w:val="1"/>
          <w:color w:val="auto"/>
        </w:rPr>
        <w:t>Technical Corrections and Improvement.</w:t>
      </w:r>
      <w:r>
        <w:rPr>
          <w:rFonts w:ascii="Arial" w:cs="Arial" w:eastAsia="Arial" w:hAnsi="Arial"/>
          <w:sz w:val="16"/>
          <w:szCs w:val="16"/>
          <w:color w:val="auto"/>
        </w:rPr>
        <w:t xml:space="preserve"> It makes conforming amendments related to fair value measurements within the ASC as well as other technical corrections covering a broad range of topics. The amendments in the update that did not have transition guidance were effective upon issuance and the amendments subject to transition guidance will be effective for fiscal periods beginning after December 15, 2012, for public entities. The guidance is not expected to have a material impact on United’s financial position, results of operations or disclosures.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Mergers and Acquisitions</w:t>
      </w:r>
    </w:p>
    <w:p>
      <w:pPr>
        <w:spacing w:after="0" w:line="96"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On June 19, 2009, United Community Bank (“UCB” or the “Bank”) purchased substantially all the assets and assumed substantially all the liabilities of Southern Community Bank (“SCB”) from the Federal Deposit Insurance Corporation (“FDIC”), as Receiver of SCB. UCB and the FDIC entered loss sharing agreements regarding future losses incurred on loans and foreclosed loan collateral existing at June 19, 2009. Under the terms of the loss sharing agreements, the FDIC will absorb 80 percent of losses and share 80 percent of loss recoveries on the first $109 million of losses and, absorb 95 percent of losses and share in 95 percent of loss recoveries on losses exceeding $109 million. The term for loss sharing on 1-4 family loans is ten years, while the term for loss sharing on all other loans is five years.</w:t>
      </w:r>
    </w:p>
    <w:p>
      <w:pPr>
        <w:spacing w:after="0" w:line="144"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 xml:space="preserve">Under the loss sharing agreement, the portion of the losses expected to be indemnified by the FDIC is considered an indemnification asset in accordance with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The indemnification asset, referred to as “estimated loss reimbursement from the FDIC,” is included in the balance of “Assets covered by loss sharing agreements with the FDIC” on the Consolidated Balance Sheet. The indemnification asset was recognized at fair value, which was estimated at the acquisition date based on the terms of the loss sharing agreement. The indemnification asset is expected to be collected over a four-year average life. No valuation allowance was required.</w:t>
      </w:r>
    </w:p>
    <w:p>
      <w:pPr>
        <w:spacing w:after="0" w:line="143"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Loans, foreclosed property and the estimated FDIC reimbursement resulting from the loss sharing agreements with the FDIC are reported as “Assets covered by loss sharing agreements with the FDIC” in the consolidated balance sheet.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table below shows the components of covered assets at September 30, 2012, December 31, 2011 and September 30, 2011 </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Purchased</w:t>
            </w:r>
          </w:p>
        </w:tc>
        <w:tc>
          <w:tcPr>
            <w:tcW w:w="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6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September 30, 2012</w:t>
            </w:r>
          </w:p>
        </w:tc>
        <w:tc>
          <w:tcPr>
            <w:tcW w:w="2400" w:type="dxa"/>
            <w:vAlign w:val="bottom"/>
          </w:tcPr>
          <w:p>
            <w:pPr>
              <w:spacing w:after="0"/>
              <w:rPr>
                <w:sz w:val="12"/>
                <w:szCs w:val="12"/>
                <w:color w:val="auto"/>
              </w:rPr>
            </w:pPr>
          </w:p>
        </w:tc>
        <w:tc>
          <w:tcPr>
            <w:tcW w:w="920" w:type="dxa"/>
            <w:vAlign w:val="bottom"/>
            <w:gridSpan w:val="3"/>
          </w:tcPr>
          <w:p>
            <w:pPr>
              <w:jc w:val="right"/>
              <w:ind w:right="360"/>
              <w:spacing w:after="0" w:line="149" w:lineRule="exact"/>
              <w:rPr>
                <w:sz w:val="20"/>
                <w:szCs w:val="20"/>
                <w:color w:val="auto"/>
              </w:rPr>
            </w:pPr>
            <w:r>
              <w:rPr>
                <w:rFonts w:ascii="Arial" w:cs="Arial" w:eastAsia="Arial" w:hAnsi="Arial"/>
                <w:sz w:val="14"/>
                <w:szCs w:val="14"/>
                <w:b w:val="1"/>
                <w:bCs w:val="1"/>
                <w:color w:val="auto"/>
                <w:w w:val="92"/>
              </w:rPr>
              <w:t>Impaired</w:t>
            </w:r>
          </w:p>
        </w:tc>
        <w:tc>
          <w:tcPr>
            <w:tcW w:w="9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3"/>
              </w:rPr>
              <w:t>Purchased</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20" w:type="dxa"/>
            <w:vAlign w:val="bottom"/>
            <w:gridSpan w:val="3"/>
            <w:vMerge w:val="continue"/>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ind w:left="20"/>
              <w:spacing w:after="0" w:line="148" w:lineRule="exact"/>
              <w:rPr>
                <w:sz w:val="20"/>
                <w:szCs w:val="20"/>
                <w:color w:val="auto"/>
              </w:rPr>
            </w:pPr>
            <w:r>
              <w:rPr>
                <w:rFonts w:ascii="Arial" w:cs="Arial" w:eastAsia="Arial" w:hAnsi="Arial"/>
                <w:sz w:val="14"/>
                <w:szCs w:val="14"/>
                <w:b w:val="1"/>
                <w:bCs w:val="1"/>
                <w:color w:val="auto"/>
              </w:rPr>
              <w:t>Loans</w:t>
            </w:r>
          </w:p>
        </w:tc>
        <w:tc>
          <w:tcPr>
            <w:tcW w:w="920" w:type="dxa"/>
            <w:vAlign w:val="bottom"/>
            <w:gridSpan w:val="2"/>
          </w:tcPr>
          <w:p>
            <w:pPr>
              <w:jc w:val="center"/>
              <w:ind w:right="320"/>
              <w:spacing w:after="0" w:line="148" w:lineRule="exact"/>
              <w:rPr>
                <w:sz w:val="20"/>
                <w:szCs w:val="20"/>
                <w:color w:val="auto"/>
              </w:rPr>
            </w:pPr>
            <w:r>
              <w:rPr>
                <w:rFonts w:ascii="Arial" w:cs="Arial" w:eastAsia="Arial" w:hAnsi="Arial"/>
                <w:sz w:val="14"/>
                <w:szCs w:val="14"/>
                <w:b w:val="1"/>
                <w:bCs w:val="1"/>
                <w:color w:val="auto"/>
                <w:w w:val="87"/>
              </w:rPr>
              <w:t>Loans</w:t>
            </w:r>
          </w:p>
        </w:tc>
        <w:tc>
          <w:tcPr>
            <w:tcW w:w="80" w:type="dxa"/>
            <w:vAlign w:val="bottom"/>
          </w:tcPr>
          <w:p>
            <w:pPr>
              <w:spacing w:after="0"/>
              <w:rPr>
                <w:sz w:val="12"/>
                <w:szCs w:val="12"/>
                <w:color w:val="auto"/>
              </w:rPr>
            </w:pPr>
          </w:p>
        </w:tc>
        <w:tc>
          <w:tcPr>
            <w:tcW w:w="640" w:type="dxa"/>
            <w:vAlign w:val="bottom"/>
            <w:gridSpan w:val="2"/>
          </w:tcPr>
          <w:p>
            <w:pPr>
              <w:ind w:left="40"/>
              <w:spacing w:after="0" w:line="148" w:lineRule="exact"/>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2"/>
                <w:szCs w:val="12"/>
                <w:color w:val="auto"/>
              </w:rPr>
            </w:pPr>
          </w:p>
        </w:tc>
        <w:tc>
          <w:tcPr>
            <w:tcW w:w="680" w:type="dxa"/>
            <w:vAlign w:val="bottom"/>
            <w:gridSpan w:val="2"/>
          </w:tcPr>
          <w:p>
            <w:pPr>
              <w:ind w:left="140"/>
              <w:spacing w:after="0" w:line="14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00" w:type="dxa"/>
            <w:vAlign w:val="bottom"/>
            <w:tcBorders>
              <w:bottom w:val="single" w:sz="8" w:color="CCEEFF"/>
            </w:tcBorders>
            <w:shd w:val="clear" w:color="auto" w:fill="000000"/>
          </w:tcPr>
          <w:p>
            <w:pPr>
              <w:spacing w:after="0" w:line="20" w:lineRule="exact"/>
              <w:rPr>
                <w:sz w:val="1"/>
                <w:szCs w:val="1"/>
                <w:color w:val="auto"/>
              </w:rPr>
            </w:pPr>
          </w:p>
        </w:tc>
        <w:tc>
          <w:tcPr>
            <w:tcW w:w="3300" w:type="dxa"/>
            <w:vAlign w:val="bottom"/>
            <w:tcBorders>
              <w:left w:val="single" w:sz="8" w:color="auto"/>
              <w:bottom w:val="single" w:sz="8" w:color="CCEEFF"/>
            </w:tcBorders>
          </w:tcPr>
          <w:p>
            <w:pPr>
              <w:spacing w:after="0" w:line="20" w:lineRule="exact"/>
              <w:rPr>
                <w:sz w:val="1"/>
                <w:szCs w:val="1"/>
                <w:color w:val="auto"/>
              </w:rPr>
            </w:pPr>
          </w:p>
        </w:tc>
        <w:tc>
          <w:tcPr>
            <w:tcW w:w="2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Commercial (secured by real estate)</w:t>
            </w:r>
          </w:p>
        </w:tc>
        <w:tc>
          <w:tcPr>
            <w:tcW w:w="2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ind w:left="240"/>
              <w:spacing w:after="0" w:line="203"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2"/>
              </w:rPr>
              <w:t>$ 25,808</w:t>
            </w: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ind w:right="13"/>
              <w:spacing w:after="0" w:line="203"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$25,808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Commercial &amp; industrial</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1,065</w:t>
            </w:r>
          </w:p>
        </w:tc>
        <w:tc>
          <w:tcPr>
            <w:tcW w:w="8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1,065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Construction and land development</w:t>
            </w: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405</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4,088</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Residential mortgage</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ind w:left="240"/>
              <w:spacing w:after="0"/>
              <w:rPr>
                <w:sz w:val="20"/>
                <w:szCs w:val="20"/>
                <w:color w:val="auto"/>
              </w:rPr>
            </w:pPr>
            <w:r>
              <w:rPr>
                <w:rFonts w:ascii="Arial" w:cs="Arial" w:eastAsia="Arial" w:hAnsi="Arial"/>
                <w:sz w:val="18"/>
                <w:szCs w:val="18"/>
                <w:color w:val="auto"/>
              </w:rPr>
              <w:t>116</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5,466</w:t>
            </w:r>
          </w:p>
        </w:tc>
        <w:tc>
          <w:tcPr>
            <w:tcW w:w="8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5,582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 installment</w:t>
            </w: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101</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gridSpan w:val="2"/>
            <w:vMerge w:val="restart"/>
          </w:tcPr>
          <w:p>
            <w:pPr>
              <w:ind w:left="420"/>
              <w:spacing w:after="0"/>
              <w:rPr>
                <w:sz w:val="20"/>
                <w:szCs w:val="20"/>
                <w:color w:val="auto"/>
              </w:rPr>
            </w:pPr>
            <w:r>
              <w:rPr>
                <w:rFonts w:ascii="Arial" w:cs="Arial" w:eastAsia="Arial" w:hAnsi="Arial"/>
                <w:sz w:val="18"/>
                <w:szCs w:val="18"/>
                <w:color w:val="auto"/>
              </w:rPr>
              <w:t>Total covered loans</w:t>
            </w:r>
          </w:p>
        </w:tc>
        <w:tc>
          <w:tcPr>
            <w:tcW w:w="2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5600" w:type="dxa"/>
            <w:vAlign w:val="bottom"/>
            <w:gridSpan w:val="2"/>
            <w:vMerge w:val="continue"/>
          </w:tcPr>
          <w:p>
            <w:pPr>
              <w:spacing w:after="0"/>
              <w:rPr>
                <w:sz w:val="19"/>
                <w:szCs w:val="19"/>
                <w:color w:val="auto"/>
              </w:rPr>
            </w:pP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ind w:left="240"/>
              <w:spacing w:after="0"/>
              <w:rPr>
                <w:sz w:val="20"/>
                <w:szCs w:val="20"/>
                <w:color w:val="auto"/>
              </w:rPr>
            </w:pPr>
            <w:r>
              <w:rPr>
                <w:rFonts w:ascii="Arial" w:cs="Arial" w:eastAsia="Arial" w:hAnsi="Arial"/>
                <w:sz w:val="18"/>
                <w:szCs w:val="18"/>
                <w:color w:val="auto"/>
              </w:rPr>
              <w:t>522</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36,528</w:t>
            </w:r>
          </w:p>
        </w:tc>
        <w:tc>
          <w:tcPr>
            <w:tcW w:w="80" w:type="dxa"/>
            <w:vAlign w:val="bottom"/>
          </w:tcPr>
          <w:p>
            <w:pPr>
              <w:spacing w:after="0"/>
              <w:rPr>
                <w:sz w:val="19"/>
                <w:szCs w:val="19"/>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37,050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Covered foreclosed property</w:t>
            </w: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7,050</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Estimated loss reimbursement from the FDIC</w:t>
            </w:r>
          </w:p>
        </w:tc>
        <w:tc>
          <w:tcPr>
            <w:tcW w:w="2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8,970</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covered assets</w:t>
            </w:r>
          </w:p>
        </w:tc>
        <w:tc>
          <w:tcPr>
            <w:tcW w:w="2500" w:type="dxa"/>
            <w:vAlign w:val="bottom"/>
            <w:gridSpan w:val="2"/>
            <w:shd w:val="clear" w:color="auto" w:fill="CCEEFF"/>
          </w:tcPr>
          <w:p>
            <w:pPr>
              <w:ind w:left="240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522</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2"/>
              </w:rPr>
              <w:t>$ 36,528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16,020</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53,070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December 31, 2011</w:t>
            </w:r>
          </w:p>
        </w:tc>
        <w:tc>
          <w:tcPr>
            <w:tcW w:w="2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620" w:type="dxa"/>
            <w:vAlign w:val="bottom"/>
            <w:gridSpan w:val="3"/>
            <w:vMerge w:val="continue"/>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00" w:type="dxa"/>
            <w:vAlign w:val="bottom"/>
            <w:shd w:val="clear" w:color="auto" w:fill="000000"/>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(secured by real estate)</w:t>
            </w:r>
          </w:p>
        </w:tc>
        <w:tc>
          <w:tcPr>
            <w:tcW w:w="2500" w:type="dxa"/>
            <w:vAlign w:val="bottom"/>
            <w:gridSpan w:val="2"/>
            <w:shd w:val="clear" w:color="auto" w:fill="CCEEFF"/>
          </w:tcPr>
          <w:p>
            <w:pPr>
              <w:ind w:left="240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2"/>
              </w:rPr>
              <w:t>$ 32,934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$32,934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Commercial &amp; industrial</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2,133</w:t>
            </w:r>
          </w:p>
        </w:tc>
        <w:tc>
          <w:tcPr>
            <w:tcW w:w="8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2,133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Construction and land development</w:t>
            </w: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547</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10,592</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Residential mortgage</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ind w:left="240"/>
              <w:spacing w:after="0"/>
              <w:rPr>
                <w:sz w:val="20"/>
                <w:szCs w:val="20"/>
                <w:color w:val="auto"/>
              </w:rPr>
            </w:pPr>
            <w:r>
              <w:rPr>
                <w:rFonts w:ascii="Arial" w:cs="Arial" w:eastAsia="Arial" w:hAnsi="Arial"/>
                <w:sz w:val="18"/>
                <w:szCs w:val="18"/>
                <w:color w:val="auto"/>
              </w:rPr>
              <w:t>145</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7,970</w:t>
            </w:r>
          </w:p>
        </w:tc>
        <w:tc>
          <w:tcPr>
            <w:tcW w:w="8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8,115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 installment</w:t>
            </w: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156</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gridSpan w:val="2"/>
            <w:vMerge w:val="restart"/>
          </w:tcPr>
          <w:p>
            <w:pPr>
              <w:ind w:left="420"/>
              <w:spacing w:after="0"/>
              <w:rPr>
                <w:sz w:val="20"/>
                <w:szCs w:val="20"/>
                <w:color w:val="auto"/>
              </w:rPr>
            </w:pPr>
            <w:r>
              <w:rPr>
                <w:rFonts w:ascii="Arial" w:cs="Arial" w:eastAsia="Arial" w:hAnsi="Arial"/>
                <w:sz w:val="18"/>
                <w:szCs w:val="18"/>
                <w:color w:val="auto"/>
              </w:rPr>
              <w:t>Total covered loans</w:t>
            </w:r>
          </w:p>
        </w:tc>
        <w:tc>
          <w:tcPr>
            <w:tcW w:w="2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5600" w:type="dxa"/>
            <w:vAlign w:val="bottom"/>
            <w:gridSpan w:val="2"/>
            <w:vMerge w:val="continue"/>
          </w:tcPr>
          <w:p>
            <w:pPr>
              <w:spacing w:after="0"/>
              <w:rPr>
                <w:sz w:val="19"/>
                <w:szCs w:val="19"/>
                <w:color w:val="auto"/>
              </w:rPr>
            </w:pP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ind w:left="240"/>
              <w:spacing w:after="0"/>
              <w:rPr>
                <w:sz w:val="20"/>
                <w:szCs w:val="20"/>
                <w:color w:val="auto"/>
              </w:rPr>
            </w:pPr>
            <w:r>
              <w:rPr>
                <w:rFonts w:ascii="Arial" w:cs="Arial" w:eastAsia="Arial" w:hAnsi="Arial"/>
                <w:sz w:val="18"/>
                <w:szCs w:val="18"/>
                <w:color w:val="auto"/>
              </w:rPr>
              <w:t>697</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53,785</w:t>
            </w:r>
          </w:p>
        </w:tc>
        <w:tc>
          <w:tcPr>
            <w:tcW w:w="80" w:type="dxa"/>
            <w:vAlign w:val="bottom"/>
          </w:tcPr>
          <w:p>
            <w:pPr>
              <w:spacing w:after="0"/>
              <w:rPr>
                <w:sz w:val="19"/>
                <w:szCs w:val="19"/>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54,482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Covered foreclosed property</w:t>
            </w: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10,371</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Estimated loss reimbursement from the FDIC</w:t>
            </w:r>
          </w:p>
        </w:tc>
        <w:tc>
          <w:tcPr>
            <w:tcW w:w="2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13,292</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covered assets</w:t>
            </w:r>
          </w:p>
        </w:tc>
        <w:tc>
          <w:tcPr>
            <w:tcW w:w="2500" w:type="dxa"/>
            <w:vAlign w:val="bottom"/>
            <w:gridSpan w:val="2"/>
            <w:shd w:val="clear" w:color="auto" w:fill="CCEEFF"/>
          </w:tcPr>
          <w:p>
            <w:pPr>
              <w:ind w:left="240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697</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2"/>
              </w:rPr>
              <w:t>$ 53,785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23,663</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78,145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September 30, 2011</w:t>
            </w:r>
          </w:p>
        </w:tc>
        <w:tc>
          <w:tcPr>
            <w:tcW w:w="2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620" w:type="dxa"/>
            <w:vAlign w:val="bottom"/>
            <w:gridSpan w:val="3"/>
            <w:vMerge w:val="continue"/>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00" w:type="dxa"/>
            <w:vAlign w:val="bottom"/>
            <w:shd w:val="clear" w:color="auto" w:fill="000000"/>
          </w:tcPr>
          <w:p>
            <w:pPr>
              <w:spacing w:after="0" w:line="20" w:lineRule="exact"/>
              <w:rPr>
                <w:sz w:val="1"/>
                <w:szCs w:val="1"/>
                <w:color w:val="auto"/>
              </w:rPr>
            </w:pPr>
          </w:p>
        </w:tc>
        <w:tc>
          <w:tcPr>
            <w:tcW w:w="3300" w:type="dxa"/>
            <w:vAlign w:val="bottom"/>
            <w:tcBorders>
              <w:left w:val="single" w:sz="8" w:color="auto"/>
            </w:tcBorders>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(secured by real estate)</w:t>
            </w:r>
          </w:p>
        </w:tc>
        <w:tc>
          <w:tcPr>
            <w:tcW w:w="2500" w:type="dxa"/>
            <w:vAlign w:val="bottom"/>
            <w:gridSpan w:val="2"/>
            <w:shd w:val="clear" w:color="auto" w:fill="CCEEFF"/>
          </w:tcPr>
          <w:p>
            <w:pPr>
              <w:ind w:left="240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2"/>
              </w:rPr>
              <w:t>$ 34,546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$34,546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Commercial &amp; industrial</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2,485</w:t>
            </w:r>
          </w:p>
        </w:tc>
        <w:tc>
          <w:tcPr>
            <w:tcW w:w="8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2,485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Construction and land development</w:t>
            </w: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1,771</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10,282</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Residential mortgage</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ind w:left="240"/>
              <w:spacing w:after="0"/>
              <w:rPr>
                <w:sz w:val="20"/>
                <w:szCs w:val="20"/>
                <w:color w:val="auto"/>
              </w:rPr>
            </w:pPr>
            <w:r>
              <w:rPr>
                <w:rFonts w:ascii="Arial" w:cs="Arial" w:eastAsia="Arial" w:hAnsi="Arial"/>
                <w:sz w:val="18"/>
                <w:szCs w:val="18"/>
                <w:color w:val="auto"/>
              </w:rPr>
              <w:t>186</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8,376</w:t>
            </w:r>
          </w:p>
        </w:tc>
        <w:tc>
          <w:tcPr>
            <w:tcW w:w="8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8,562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 installment</w:t>
            </w: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181</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gridSpan w:val="2"/>
            <w:vMerge w:val="restart"/>
          </w:tcPr>
          <w:p>
            <w:pPr>
              <w:ind w:left="420"/>
              <w:spacing w:after="0"/>
              <w:rPr>
                <w:sz w:val="20"/>
                <w:szCs w:val="20"/>
                <w:color w:val="auto"/>
              </w:rPr>
            </w:pPr>
            <w:r>
              <w:rPr>
                <w:rFonts w:ascii="Arial" w:cs="Arial" w:eastAsia="Arial" w:hAnsi="Arial"/>
                <w:sz w:val="18"/>
                <w:szCs w:val="18"/>
                <w:color w:val="auto"/>
              </w:rPr>
              <w:t>Total covered loans</w:t>
            </w:r>
          </w:p>
        </w:tc>
        <w:tc>
          <w:tcPr>
            <w:tcW w:w="2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5600" w:type="dxa"/>
            <w:vAlign w:val="bottom"/>
            <w:gridSpan w:val="2"/>
            <w:vMerge w:val="continue"/>
          </w:tcPr>
          <w:p>
            <w:pPr>
              <w:spacing w:after="0"/>
              <w:rPr>
                <w:sz w:val="19"/>
                <w:szCs w:val="19"/>
                <w:color w:val="auto"/>
              </w:rPr>
            </w:pP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1,963</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55,870</w:t>
            </w:r>
          </w:p>
        </w:tc>
        <w:tc>
          <w:tcPr>
            <w:tcW w:w="80" w:type="dxa"/>
            <w:vAlign w:val="bottom"/>
          </w:tcPr>
          <w:p>
            <w:pPr>
              <w:spacing w:after="0"/>
              <w:rPr>
                <w:sz w:val="19"/>
                <w:szCs w:val="19"/>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57,833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Covered foreclosed property</w:t>
            </w: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11,488</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Estimated loss reimbursement from the FDIC</w:t>
            </w:r>
          </w:p>
        </w:tc>
        <w:tc>
          <w:tcPr>
            <w:tcW w:w="2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14,302</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covered assets</w:t>
            </w:r>
          </w:p>
        </w:tc>
        <w:tc>
          <w:tcPr>
            <w:tcW w:w="2500" w:type="dxa"/>
            <w:vAlign w:val="bottom"/>
            <w:gridSpan w:val="2"/>
            <w:shd w:val="clear" w:color="auto" w:fill="CCEEFF"/>
          </w:tcPr>
          <w:p>
            <w:pPr>
              <w:ind w:left="240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1,963</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2"/>
              </w:rPr>
              <w:t>$ 55,870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25,790</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83,623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Reverse Repurchase Agreements / Securities Lending Transactions</w:t>
      </w:r>
    </w:p>
    <w:p>
      <w:pPr>
        <w:spacing w:after="0" w:line="9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 xml:space="preserve">United enters into reverse repurchase agreements in order to invest short-term funds. In addition, United enters into repurchase agreements and reverse repurchase agreements and offsetting securities lending transactions with the same counterparty in transactions commonly referred to as collateral swaps that are subject to master netting agreements under which the balances are netted in the balance sheet in accordance with ASC 210-20, </w:t>
      </w:r>
      <w:r>
        <w:rPr>
          <w:rFonts w:ascii="Arial" w:cs="Arial" w:eastAsia="Arial" w:hAnsi="Arial"/>
          <w:sz w:val="16"/>
          <w:szCs w:val="16"/>
          <w:i w:val="1"/>
          <w:iCs w:val="1"/>
          <w:color w:val="auto"/>
        </w:rPr>
        <w:t>Offsetting</w:t>
      </w:r>
      <w:r>
        <w:rPr>
          <w:rFonts w:ascii="Arial" w:cs="Arial" w:eastAsia="Arial" w:hAnsi="Arial"/>
          <w:sz w:val="16"/>
          <w:szCs w:val="16"/>
          <w:color w:val="auto"/>
        </w:rPr>
        <w:t>.</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1"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 xml:space="preserve">The following table presents a summary of amounts outstanding under reverse repurchase agreements and securities lending transactions including those entered into in connection with the same counterparty under master netting agreements as of September 30, 2012 and December 31, 2011 </w:t>
      </w:r>
      <w:r>
        <w:rPr>
          <w:rFonts w:ascii="Arial" w:cs="Arial" w:eastAsia="Arial" w:hAnsi="Arial"/>
          <w:sz w:val="18"/>
          <w:szCs w:val="18"/>
          <w:i w:val="1"/>
          <w:iCs w:val="1"/>
          <w:color w:val="auto"/>
        </w:rPr>
        <w:t>(in thousands)</w:t>
      </w:r>
      <w:r>
        <w:rPr>
          <w:rFonts w:ascii="Arial" w:cs="Arial" w:eastAsia="Arial" w:hAnsi="Arial"/>
          <w:sz w:val="18"/>
          <w:szCs w:val="18"/>
          <w:color w:val="auto"/>
        </w:rPr>
        <w:t>. There were no balances outstanding at September 30, 2011.</w:t>
      </w:r>
    </w:p>
    <w:p>
      <w:pPr>
        <w:spacing w:after="0" w:line="17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right"/>
              <w:ind w:right="380"/>
              <w:spacing w:after="0"/>
              <w:rPr>
                <w:sz w:val="20"/>
                <w:szCs w:val="20"/>
                <w:color w:val="auto"/>
              </w:rPr>
            </w:pPr>
            <w:r>
              <w:rPr>
                <w:rFonts w:ascii="Arial" w:cs="Arial" w:eastAsia="Arial" w:hAnsi="Arial"/>
                <w:sz w:val="14"/>
                <w:szCs w:val="14"/>
                <w:b w:val="1"/>
                <w:bCs w:val="1"/>
                <w:color w:val="auto"/>
                <w:w w:val="94"/>
              </w:rPr>
              <w:t>September 30, 2012</w:t>
            </w: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4"/>
              </w:rPr>
              <w:t>Net Balance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7"/>
              </w:rPr>
              <w:t>Assets</w:t>
            </w:r>
          </w:p>
        </w:tc>
        <w:tc>
          <w:tcPr>
            <w:tcW w:w="340" w:type="dxa"/>
            <w:vAlign w:val="bottom"/>
          </w:tcPr>
          <w:p>
            <w:pPr>
              <w:spacing w:after="0"/>
              <w:rPr>
                <w:sz w:val="14"/>
                <w:szCs w:val="14"/>
                <w:color w:val="auto"/>
              </w:rPr>
            </w:pPr>
          </w:p>
        </w:tc>
        <w:tc>
          <w:tcPr>
            <w:tcW w:w="130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w w:val="95"/>
              </w:rPr>
              <w:t>Liabilities</w:t>
            </w:r>
          </w:p>
        </w:tc>
        <w:tc>
          <w:tcPr>
            <w:tcW w:w="120" w:type="dxa"/>
            <w:vAlign w:val="bottom"/>
          </w:tcPr>
          <w:p>
            <w:pPr>
              <w:spacing w:after="0"/>
              <w:rPr>
                <w:sz w:val="14"/>
                <w:szCs w:val="14"/>
                <w:color w:val="auto"/>
              </w:rPr>
            </w:pPr>
          </w:p>
        </w:tc>
        <w:tc>
          <w:tcPr>
            <w:tcW w:w="680" w:type="dxa"/>
            <w:vAlign w:val="bottom"/>
            <w:gridSpan w:val="2"/>
          </w:tcPr>
          <w:p>
            <w:pPr>
              <w:ind w:left="40"/>
              <w:spacing w:after="0"/>
              <w:rPr>
                <w:sz w:val="20"/>
                <w:szCs w:val="20"/>
                <w:color w:val="auto"/>
              </w:rPr>
            </w:pPr>
            <w:r>
              <w:rPr>
                <w:rFonts w:ascii="Arial" w:cs="Arial" w:eastAsia="Arial" w:hAnsi="Arial"/>
                <w:sz w:val="14"/>
                <w:szCs w:val="14"/>
                <w:b w:val="1"/>
                <w:bCs w:val="1"/>
                <w:color w:val="auto"/>
              </w:rPr>
              <w:t>(Asset)</w:t>
            </w:r>
          </w:p>
        </w:tc>
        <w:tc>
          <w:tcPr>
            <w:tcW w:w="0" w:type="dxa"/>
            <w:vAlign w:val="bottom"/>
          </w:tcPr>
          <w:p>
            <w:pPr>
              <w:spacing w:after="0"/>
              <w:rPr>
                <w:sz w:val="1"/>
                <w:szCs w:val="1"/>
                <w:color w:val="auto"/>
              </w:rPr>
            </w:pPr>
          </w:p>
        </w:tc>
      </w:tr>
      <w:tr>
        <w:trPr>
          <w:trHeight w:val="176"/>
        </w:trPr>
        <w:tc>
          <w:tcPr>
            <w:tcW w:w="1480" w:type="dxa"/>
            <w:vAlign w:val="bottom"/>
            <w:tcBorders>
              <w:top w:val="single" w:sz="8" w:color="CCEEFF"/>
              <w:bottom w:val="single" w:sz="8" w:color="auto"/>
            </w:tcBorders>
            <w:gridSpan w:val="2"/>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6"/>
              </w:rPr>
              <w:t>September 30, 2012</w:t>
            </w:r>
          </w:p>
        </w:tc>
        <w:tc>
          <w:tcPr>
            <w:tcW w:w="472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CCEEFF"/>
            </w:tcBorders>
            <w:shd w:val="clear" w:color="auto" w:fill="CCEEFF"/>
          </w:tcPr>
          <w:p>
            <w:pPr>
              <w:spacing w:after="0"/>
              <w:rPr>
                <w:sz w:val="15"/>
                <w:szCs w:val="15"/>
                <w:color w:val="auto"/>
              </w:rPr>
            </w:pPr>
          </w:p>
        </w:tc>
        <w:tc>
          <w:tcPr>
            <w:tcW w:w="580" w:type="dxa"/>
            <w:vAlign w:val="bottom"/>
            <w:tcBorders>
              <w:top w:val="single" w:sz="8" w:color="auto"/>
              <w:bottom w:val="single" w:sz="8" w:color="CCEEFF"/>
            </w:tcBorders>
            <w:shd w:val="clear" w:color="auto" w:fill="CCEEFF"/>
          </w:tcPr>
          <w:p>
            <w:pPr>
              <w:spacing w:after="0"/>
              <w:rPr>
                <w:sz w:val="15"/>
                <w:szCs w:val="15"/>
                <w:color w:val="auto"/>
              </w:rPr>
            </w:pPr>
          </w:p>
        </w:tc>
        <w:tc>
          <w:tcPr>
            <w:tcW w:w="280" w:type="dxa"/>
            <w:vAlign w:val="bottom"/>
            <w:tcBorders>
              <w:top w:val="single" w:sz="8" w:color="CCEEFF"/>
              <w:bottom w:val="single" w:sz="8" w:color="CCEEFF"/>
            </w:tcBorders>
            <w:shd w:val="clear" w:color="auto" w:fill="CCEEFF"/>
          </w:tcPr>
          <w:p>
            <w:pPr>
              <w:spacing w:after="0"/>
              <w:rPr>
                <w:sz w:val="15"/>
                <w:szCs w:val="15"/>
                <w:color w:val="auto"/>
              </w:rPr>
            </w:pPr>
          </w:p>
        </w:tc>
        <w:tc>
          <w:tcPr>
            <w:tcW w:w="3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580" w:type="dxa"/>
            <w:vAlign w:val="bottom"/>
            <w:tcBorders>
              <w:top w:val="single" w:sz="8" w:color="auto"/>
              <w:bottom w:val="single" w:sz="8" w:color="CCEEFF"/>
            </w:tcBorders>
            <w:shd w:val="clear" w:color="auto" w:fill="CCEEFF"/>
          </w:tcPr>
          <w:p>
            <w:pPr>
              <w:spacing w:after="0"/>
              <w:rPr>
                <w:sz w:val="15"/>
                <w:szCs w:val="15"/>
                <w:color w:val="auto"/>
              </w:rPr>
            </w:pPr>
          </w:p>
        </w:tc>
        <w:tc>
          <w:tcPr>
            <w:tcW w:w="6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58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6200" w:type="dxa"/>
            <w:vAlign w:val="bottom"/>
            <w:gridSpan w:val="3"/>
          </w:tcPr>
          <w:p>
            <w:pPr>
              <w:spacing w:after="0"/>
              <w:rPr>
                <w:sz w:val="20"/>
                <w:szCs w:val="20"/>
                <w:color w:val="auto"/>
              </w:rPr>
            </w:pPr>
            <w:r>
              <w:rPr>
                <w:rFonts w:ascii="Arial" w:cs="Arial" w:eastAsia="Arial" w:hAnsi="Arial"/>
                <w:sz w:val="18"/>
                <w:szCs w:val="18"/>
                <w:color w:val="auto"/>
                <w:w w:val="92"/>
              </w:rPr>
              <w:t>Repurchase agreements / reverse repurchase agreements subject to master netting</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00" w:type="dxa"/>
            <w:vAlign w:val="bottom"/>
            <w:gridSpan w:val="3"/>
          </w:tcPr>
          <w:p>
            <w:pPr>
              <w:jc w:val="center"/>
              <w:ind w:right="4960"/>
              <w:spacing w:after="0"/>
              <w:rPr>
                <w:sz w:val="20"/>
                <w:szCs w:val="20"/>
                <w:color w:val="auto"/>
              </w:rPr>
            </w:pPr>
            <w:r>
              <w:rPr>
                <w:rFonts w:ascii="Arial" w:cs="Arial" w:eastAsia="Arial" w:hAnsi="Arial"/>
                <w:sz w:val="18"/>
                <w:szCs w:val="18"/>
                <w:color w:val="auto"/>
                <w:w w:val="84"/>
              </w:rPr>
              <w:t>agreements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225,000</w:t>
            </w:r>
          </w:p>
        </w:tc>
        <w:tc>
          <w:tcPr>
            <w:tcW w:w="28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w w:val="86"/>
              </w:rPr>
              <w:t>225,000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620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6"/>
              </w:rPr>
              <w:t>Offsetting securities lending transactions subject to master netting arrangements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100,000</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6"/>
              </w:rPr>
              <w:t>100,000</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200" w:type="dxa"/>
            <w:vAlign w:val="bottom"/>
            <w:gridSpan w:val="3"/>
          </w:tcPr>
          <w:p>
            <w:pPr>
              <w:spacing w:after="0"/>
              <w:rPr>
                <w:sz w:val="20"/>
                <w:szCs w:val="20"/>
                <w:color w:val="auto"/>
              </w:rPr>
            </w:pPr>
            <w:r>
              <w:rPr>
                <w:rFonts w:ascii="Arial" w:cs="Arial" w:eastAsia="Arial" w:hAnsi="Arial"/>
                <w:sz w:val="18"/>
                <w:szCs w:val="18"/>
                <w:color w:val="auto"/>
              </w:rPr>
              <w:t>Other reverse repurchase agreements</w:t>
            </w: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45,000</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00" w:type="dxa"/>
            <w:vAlign w:val="bottom"/>
            <w:gridSpan w:val="3"/>
            <w:shd w:val="clear" w:color="auto" w:fill="CCEEFF"/>
          </w:tcPr>
          <w:p>
            <w:pPr>
              <w:jc w:val="center"/>
              <w:ind w:right="4960"/>
              <w:spacing w:after="0"/>
              <w:rPr>
                <w:sz w:val="20"/>
                <w:szCs w:val="20"/>
                <w:color w:val="auto"/>
              </w:rPr>
            </w:pPr>
            <w:r>
              <w:rPr>
                <w:rFonts w:ascii="Arial" w:cs="Arial" w:eastAsia="Arial" w:hAnsi="Arial"/>
                <w:sz w:val="18"/>
                <w:szCs w:val="18"/>
                <w:color w:val="auto"/>
                <w:w w:val="89"/>
              </w:rPr>
              <w:t>Total</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370,000</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6"/>
              </w:rPr>
              <w:t>325,000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0" w:type="dxa"/>
            <w:vAlign w:val="bottom"/>
            <w:gridSpan w:val="3"/>
            <w:vMerge w:val="restart"/>
          </w:tcPr>
          <w:p>
            <w:pPr>
              <w:spacing w:after="0"/>
              <w:rPr>
                <w:sz w:val="20"/>
                <w:szCs w:val="20"/>
                <w:color w:val="auto"/>
              </w:rPr>
            </w:pPr>
            <w:r>
              <w:rPr>
                <w:rFonts w:ascii="Arial" w:cs="Arial" w:eastAsia="Arial" w:hAnsi="Arial"/>
                <w:sz w:val="18"/>
                <w:szCs w:val="18"/>
                <w:color w:val="auto"/>
              </w:rPr>
              <w:t>Weighted average interest rate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20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1.19%</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0"/>
        </w:trPr>
        <w:tc>
          <w:tcPr>
            <w:tcW w:w="1420" w:type="dxa"/>
            <w:vAlign w:val="bottom"/>
          </w:tcPr>
          <w:p>
            <w:pPr>
              <w:spacing w:after="0"/>
              <w:rPr>
                <w:sz w:val="9"/>
                <w:szCs w:val="9"/>
                <w:color w:val="auto"/>
              </w:rPr>
            </w:pPr>
          </w:p>
        </w:tc>
        <w:tc>
          <w:tcPr>
            <w:tcW w:w="60" w:type="dxa"/>
            <w:vAlign w:val="bottom"/>
          </w:tcPr>
          <w:p>
            <w:pPr>
              <w:spacing w:after="0"/>
              <w:rPr>
                <w:sz w:val="9"/>
                <w:szCs w:val="9"/>
                <w:color w:val="auto"/>
              </w:rPr>
            </w:pPr>
          </w:p>
        </w:tc>
        <w:tc>
          <w:tcPr>
            <w:tcW w:w="47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142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6"/>
              </w:rPr>
              <w:t>December 31, 2011</w:t>
            </w:r>
          </w:p>
        </w:tc>
        <w:tc>
          <w:tcPr>
            <w:tcW w:w="4780" w:type="dxa"/>
            <w:vAlign w:val="bottom"/>
            <w:tcBorders>
              <w:bottom w:val="single" w:sz="8" w:color="CCEEFF"/>
            </w:tcBorders>
            <w:gridSpan w:val="2"/>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200" w:type="dxa"/>
            <w:vAlign w:val="bottom"/>
            <w:gridSpan w:val="3"/>
          </w:tcPr>
          <w:p>
            <w:pPr>
              <w:spacing w:after="0"/>
              <w:rPr>
                <w:sz w:val="20"/>
                <w:szCs w:val="20"/>
                <w:color w:val="auto"/>
              </w:rPr>
            </w:pPr>
            <w:r>
              <w:rPr>
                <w:rFonts w:ascii="Arial" w:cs="Arial" w:eastAsia="Arial" w:hAnsi="Arial"/>
                <w:sz w:val="18"/>
                <w:szCs w:val="18"/>
                <w:color w:val="auto"/>
                <w:w w:val="92"/>
              </w:rPr>
              <w:t>Repurchase agreements / reverse repurchase agreements subject to master netting</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00" w:type="dxa"/>
            <w:vAlign w:val="bottom"/>
            <w:gridSpan w:val="3"/>
          </w:tcPr>
          <w:p>
            <w:pPr>
              <w:jc w:val="center"/>
              <w:ind w:right="4960"/>
              <w:spacing w:after="0"/>
              <w:rPr>
                <w:sz w:val="20"/>
                <w:szCs w:val="20"/>
                <w:color w:val="auto"/>
              </w:rPr>
            </w:pPr>
            <w:r>
              <w:rPr>
                <w:rFonts w:ascii="Arial" w:cs="Arial" w:eastAsia="Arial" w:hAnsi="Arial"/>
                <w:sz w:val="18"/>
                <w:szCs w:val="18"/>
                <w:color w:val="auto"/>
                <w:w w:val="84"/>
              </w:rPr>
              <w:t>agreements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60,000</w:t>
            </w:r>
          </w:p>
        </w:tc>
        <w:tc>
          <w:tcPr>
            <w:tcW w:w="28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60,000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6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reverse repurchase agreements</w:t>
            </w: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185,000</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185,000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200" w:type="dxa"/>
            <w:vAlign w:val="bottom"/>
            <w:gridSpan w:val="3"/>
          </w:tcPr>
          <w:p>
            <w:pPr>
              <w:jc w:val="center"/>
              <w:ind w:right="4960"/>
              <w:spacing w:after="0"/>
              <w:rPr>
                <w:sz w:val="20"/>
                <w:szCs w:val="20"/>
                <w:color w:val="auto"/>
              </w:rPr>
            </w:pPr>
            <w:r>
              <w:rPr>
                <w:rFonts w:ascii="Arial" w:cs="Arial" w:eastAsia="Arial" w:hAnsi="Arial"/>
                <w:sz w:val="18"/>
                <w:szCs w:val="18"/>
                <w:color w:val="auto"/>
                <w:w w:val="89"/>
              </w:rPr>
              <w:t>Total</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245,000</w:t>
            </w:r>
          </w:p>
        </w:tc>
        <w:tc>
          <w:tcPr>
            <w:tcW w:w="28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60,000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185,000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Weighted average interest rate</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Securities</w:t>
      </w:r>
    </w:p>
    <w:p>
      <w:pPr>
        <w:spacing w:after="0" w:line="96"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 xml:space="preserve">Realized gains and losses are derived using the specific identification method for determining the cost of securities sold. The following table summarizes securities sales activity for the three and nine month periods ended September 30, 2012 and 2011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12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Three Months</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8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gridSpan w:val="2"/>
          </w:tcPr>
          <w:p>
            <w:pPr>
              <w:jc w:val="center"/>
              <w:ind w:right="272"/>
              <w:spacing w:after="0" w:line="149" w:lineRule="exact"/>
              <w:rPr>
                <w:sz w:val="20"/>
                <w:szCs w:val="20"/>
                <w:color w:val="auto"/>
              </w:rPr>
            </w:pPr>
            <w:r>
              <w:rPr>
                <w:rFonts w:ascii="Arial" w:cs="Arial" w:eastAsia="Arial" w:hAnsi="Arial"/>
                <w:sz w:val="14"/>
                <w:szCs w:val="14"/>
                <w:b w:val="1"/>
                <w:bCs w:val="1"/>
                <w:color w:val="auto"/>
                <w:w w:val="84"/>
              </w:rPr>
              <w:t>Ended</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40" w:type="dxa"/>
            <w:vAlign w:val="bottom"/>
            <w:gridSpan w:val="5"/>
          </w:tcPr>
          <w:p>
            <w:pPr>
              <w:jc w:val="right"/>
              <w:ind w:right="440"/>
              <w:spacing w:after="0" w:line="149" w:lineRule="exact"/>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6860" w:type="dxa"/>
            <w:vAlign w:val="bottom"/>
          </w:tcPr>
          <w:p>
            <w:pPr>
              <w:spacing w:after="0"/>
              <w:rPr>
                <w:sz w:val="14"/>
                <w:szCs w:val="14"/>
                <w:color w:val="auto"/>
              </w:rPr>
            </w:pPr>
          </w:p>
        </w:tc>
        <w:tc>
          <w:tcPr>
            <w:tcW w:w="12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September 30,</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6860" w:type="dxa"/>
            <w:vAlign w:val="bottom"/>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2012</w:t>
            </w:r>
          </w:p>
        </w:tc>
        <w:tc>
          <w:tcPr>
            <w:tcW w:w="8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5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41"/>
              <w:spacing w:after="0" w:line="142" w:lineRule="exact"/>
              <w:rPr>
                <w:sz w:val="20"/>
                <w:szCs w:val="20"/>
                <w:color w:val="auto"/>
              </w:rPr>
            </w:pPr>
            <w:r>
              <w:rPr>
                <w:rFonts w:ascii="Arial" w:cs="Arial" w:eastAsia="Arial" w:hAnsi="Arial"/>
                <w:sz w:val="14"/>
                <w:szCs w:val="14"/>
                <w:b w:val="1"/>
                <w:bCs w:val="1"/>
                <w:color w:val="auto"/>
              </w:rPr>
              <w:t>2012</w:t>
            </w:r>
          </w:p>
        </w:tc>
        <w:tc>
          <w:tcPr>
            <w:tcW w:w="4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8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Proceeds from sales</w:t>
            </w:r>
          </w:p>
        </w:tc>
        <w:tc>
          <w:tcPr>
            <w:tcW w:w="3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w w:val="92"/>
              </w:rPr>
              <w:t>$—</w:t>
            </w:r>
          </w:p>
        </w:tc>
        <w:tc>
          <w:tcPr>
            <w:tcW w:w="4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w:t>
            </w: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371,103</w:t>
            </w: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106,603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60" w:type="dxa"/>
            <w:vAlign w:val="bottom"/>
            <w:vMerge w:val="restart"/>
          </w:tcPr>
          <w:p>
            <w:pPr>
              <w:spacing w:after="0"/>
              <w:rPr>
                <w:sz w:val="20"/>
                <w:szCs w:val="20"/>
                <w:color w:val="auto"/>
              </w:rPr>
            </w:pPr>
            <w:r>
              <w:rPr>
                <w:rFonts w:ascii="Arial" w:cs="Arial" w:eastAsia="Arial" w:hAnsi="Arial"/>
                <w:sz w:val="18"/>
                <w:szCs w:val="18"/>
                <w:color w:val="auto"/>
              </w:rPr>
              <w:t>Gross gains on sales</w:t>
            </w:r>
          </w:p>
        </w:tc>
        <w:tc>
          <w:tcPr>
            <w:tcW w:w="3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860" w:type="dxa"/>
            <w:vAlign w:val="bottom"/>
            <w:vMerge w:val="continue"/>
          </w:tcPr>
          <w:p>
            <w:pPr>
              <w:spacing w:after="0"/>
              <w:rPr>
                <w:sz w:val="18"/>
                <w:szCs w:val="18"/>
                <w:color w:val="auto"/>
              </w:rPr>
            </w:pPr>
          </w:p>
        </w:tc>
        <w:tc>
          <w:tcPr>
            <w:tcW w:w="360" w:type="dxa"/>
            <w:vAlign w:val="bottom"/>
          </w:tcPr>
          <w:p>
            <w:pPr>
              <w:jc w:val="right"/>
              <w:ind w:right="1"/>
              <w:spacing w:after="0"/>
              <w:rPr>
                <w:sz w:val="20"/>
                <w:szCs w:val="20"/>
                <w:color w:val="auto"/>
              </w:rPr>
            </w:pPr>
            <w:r>
              <w:rPr>
                <w:rFonts w:ascii="Arial" w:cs="Arial" w:eastAsia="Arial" w:hAnsi="Arial"/>
                <w:sz w:val="18"/>
                <w:szCs w:val="18"/>
                <w:color w:val="auto"/>
                <w:w w:val="92"/>
              </w:rPr>
              <w:t>$—</w:t>
            </w:r>
          </w:p>
        </w:tc>
        <w:tc>
          <w:tcPr>
            <w:tcW w:w="4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2"/>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7,047</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1,169</w:t>
            </w:r>
          </w:p>
        </w:tc>
        <w:tc>
          <w:tcPr>
            <w:tcW w:w="0" w:type="dxa"/>
            <w:vAlign w:val="bottom"/>
          </w:tcPr>
          <w:p>
            <w:pPr>
              <w:spacing w:after="0"/>
              <w:rPr>
                <w:sz w:val="1"/>
                <w:szCs w:val="1"/>
                <w:color w:val="auto"/>
              </w:rPr>
            </w:pPr>
          </w:p>
        </w:tc>
      </w:tr>
      <w:tr>
        <w:trPr>
          <w:trHeight w:val="218"/>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Gross losses on sales</w:t>
            </w:r>
          </w:p>
        </w:tc>
        <w:tc>
          <w:tcPr>
            <w:tcW w:w="36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0"/>
        </w:trPr>
        <w:tc>
          <w:tcPr>
            <w:tcW w:w="6860" w:type="dxa"/>
            <w:vAlign w:val="bottom"/>
            <w:vMerge w:val="restart"/>
          </w:tcPr>
          <w:p>
            <w:pPr>
              <w:ind w:left="440"/>
              <w:spacing w:after="0"/>
              <w:rPr>
                <w:sz w:val="20"/>
                <w:szCs w:val="20"/>
                <w:color w:val="auto"/>
              </w:rPr>
            </w:pPr>
            <w:r>
              <w:rPr>
                <w:rFonts w:ascii="Arial" w:cs="Arial" w:eastAsia="Arial" w:hAnsi="Arial"/>
                <w:sz w:val="18"/>
                <w:szCs w:val="18"/>
                <w:color w:val="auto"/>
              </w:rPr>
              <w:t>Net gains on sales of securities</w:t>
            </w:r>
          </w:p>
        </w:tc>
        <w:tc>
          <w:tcPr>
            <w:tcW w:w="3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860" w:type="dxa"/>
            <w:vAlign w:val="bottom"/>
            <w:vMerge w:val="continue"/>
          </w:tcPr>
          <w:p>
            <w:pPr>
              <w:spacing w:after="0"/>
              <w:rPr>
                <w:sz w:val="19"/>
                <w:szCs w:val="19"/>
                <w:color w:val="auto"/>
              </w:rPr>
            </w:pPr>
          </w:p>
        </w:tc>
        <w:tc>
          <w:tcPr>
            <w:tcW w:w="360" w:type="dxa"/>
            <w:vAlign w:val="bottom"/>
          </w:tcPr>
          <w:p>
            <w:pPr>
              <w:jc w:val="right"/>
              <w:ind w:right="1"/>
              <w:spacing w:after="0"/>
              <w:rPr>
                <w:sz w:val="20"/>
                <w:szCs w:val="20"/>
                <w:color w:val="auto"/>
              </w:rPr>
            </w:pPr>
            <w:r>
              <w:rPr>
                <w:rFonts w:ascii="Arial" w:cs="Arial" w:eastAsia="Arial" w:hAnsi="Arial"/>
                <w:sz w:val="18"/>
                <w:szCs w:val="18"/>
                <w:color w:val="auto"/>
                <w:w w:val="92"/>
              </w:rPr>
              <w:t>$—</w:t>
            </w:r>
          </w:p>
        </w:tc>
        <w:tc>
          <w:tcPr>
            <w:tcW w:w="4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2"/>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7,047</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838</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Securities with a carrying value of $1.28 billion, $1.72 billion, and $1.89 billion were pledged to secure public deposits and other secured borrowings at September 30, 2012, December 31, 2011 and September 30, 2011, respectively. Substantial borrowing capacity remains available under borrowing arrangements with the FHLB with currently pledged securities.</w:t>
      </w:r>
    </w:p>
    <w:p>
      <w:pPr>
        <w:spacing w:after="0" w:line="14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Securities are classified as held to maturity when management has the positive intent and ability to hold them until maturity. Securities held to maturity are carried at amortized cost.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1"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 xml:space="preserve">The amortized cost, gross unrealized gains and losses and fair value of securities held to maturity at September 30, 2012, December 31, 2011 and September 30, 2011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ind w:left="40"/>
              <w:spacing w:after="0"/>
              <w:rPr>
                <w:sz w:val="20"/>
                <w:szCs w:val="20"/>
                <w:color w:val="auto"/>
              </w:rPr>
            </w:pPr>
            <w:r>
              <w:rPr>
                <w:rFonts w:ascii="Arial" w:cs="Arial" w:eastAsia="Arial" w:hAnsi="Arial"/>
                <w:sz w:val="14"/>
                <w:szCs w:val="14"/>
                <w:b w:val="1"/>
                <w:bCs w:val="1"/>
                <w:color w:val="auto"/>
              </w:rPr>
              <w:t>Gross</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580" w:type="dxa"/>
            <w:vAlign w:val="bottom"/>
          </w:tcPr>
          <w:p>
            <w:pPr>
              <w:spacing w:after="0"/>
              <w:rPr>
                <w:sz w:val="15"/>
                <w:szCs w:val="15"/>
                <w:color w:val="auto"/>
              </w:rPr>
            </w:pPr>
          </w:p>
        </w:tc>
        <w:tc>
          <w:tcPr>
            <w:tcW w:w="110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0"/>
              </w:rPr>
              <w:t>Amortized</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Unrealized</w:t>
            </w:r>
          </w:p>
        </w:tc>
        <w:tc>
          <w:tcPr>
            <w:tcW w:w="220" w:type="dxa"/>
            <w:vAlign w:val="bottom"/>
          </w:tcPr>
          <w:p>
            <w:pPr>
              <w:spacing w:after="0"/>
              <w:rPr>
                <w:sz w:val="15"/>
                <w:szCs w:val="15"/>
                <w:color w:val="auto"/>
              </w:rPr>
            </w:pPr>
          </w:p>
        </w:tc>
        <w:tc>
          <w:tcPr>
            <w:tcW w:w="620" w:type="dxa"/>
            <w:vAlign w:val="bottom"/>
            <w:gridSpan w:val="2"/>
          </w:tcPr>
          <w:p>
            <w:pPr>
              <w:spacing w:after="0"/>
              <w:rPr>
                <w:sz w:val="20"/>
                <w:szCs w:val="20"/>
                <w:color w:val="auto"/>
              </w:rPr>
            </w:pPr>
            <w:r>
              <w:rPr>
                <w:rFonts w:ascii="Arial" w:cs="Arial" w:eastAsia="Arial" w:hAnsi="Arial"/>
                <w:sz w:val="14"/>
                <w:szCs w:val="14"/>
                <w:b w:val="1"/>
                <w:bCs w:val="1"/>
                <w:color w:val="auto"/>
                <w:w w:val="84"/>
              </w:rPr>
              <w:t>Unrealized</w:t>
            </w: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3"/>
              </w:rPr>
              <w:t>Cost</w:t>
            </w:r>
          </w:p>
        </w:tc>
        <w:tc>
          <w:tcPr>
            <w:tcW w:w="100" w:type="dxa"/>
            <w:vAlign w:val="bottom"/>
          </w:tcPr>
          <w:p>
            <w:pPr>
              <w:spacing w:after="0"/>
              <w:rPr>
                <w:sz w:val="20"/>
                <w:szCs w:val="20"/>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2"/>
              </w:rPr>
              <w:t>Gains</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ind w:left="20"/>
              <w:spacing w:after="0"/>
              <w:rPr>
                <w:sz w:val="20"/>
                <w:szCs w:val="20"/>
                <w:color w:val="auto"/>
              </w:rPr>
            </w:pPr>
            <w:r>
              <w:rPr>
                <w:rFonts w:ascii="Arial" w:cs="Arial" w:eastAsia="Arial" w:hAnsi="Arial"/>
                <w:sz w:val="14"/>
                <w:szCs w:val="14"/>
                <w:b w:val="1"/>
                <w:bCs w:val="1"/>
                <w:color w:val="auto"/>
                <w:w w:val="99"/>
              </w:rPr>
              <w:t>Losses</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460" w:type="dxa"/>
            <w:vAlign w:val="bottom"/>
            <w:tcBorders>
              <w:top w:val="single" w:sz="8" w:color="CCEEFF"/>
            </w:tcBorders>
            <w:gridSpan w:val="3"/>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As of September 30, 2012</w:t>
            </w:r>
          </w:p>
        </w:tc>
        <w:tc>
          <w:tcPr>
            <w:tcW w:w="10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55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3"/>
          </w:tcPr>
          <w:p>
            <w:pPr>
              <w:ind w:left="420"/>
              <w:spacing w:after="0"/>
              <w:rPr>
                <w:sz w:val="20"/>
                <w:szCs w:val="20"/>
                <w:color w:val="auto"/>
              </w:rPr>
            </w:pPr>
            <w:r>
              <w:rPr>
                <w:rFonts w:ascii="Arial" w:cs="Arial" w:eastAsia="Arial" w:hAnsi="Arial"/>
                <w:sz w:val="18"/>
                <w:szCs w:val="18"/>
                <w:color w:val="auto"/>
              </w:rPr>
              <w:t>State and political subdivisions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51,790</w:t>
            </w:r>
          </w:p>
        </w:tc>
        <w:tc>
          <w:tcPr>
            <w:tcW w:w="4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5,795</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57,585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 xml:space="preserve">Mortgage-backed securities </w:t>
            </w:r>
            <w:r>
              <w:rPr>
                <w:rFonts w:ascii="Arial" w:cs="Arial" w:eastAsia="Arial" w:hAnsi="Arial"/>
                <w:sz w:val="11"/>
                <w:szCs w:val="11"/>
                <w:color w:val="auto"/>
              </w:rPr>
              <w:t>(1)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210,858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12,893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223,751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gridSpan w:val="3"/>
            <w:vMerge w:val="restart"/>
          </w:tcPr>
          <w:p>
            <w:pPr>
              <w:ind w:left="86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460" w:type="dxa"/>
            <w:vAlign w:val="bottom"/>
            <w:gridSpan w:val="3"/>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262,648</w:t>
            </w:r>
          </w:p>
        </w:tc>
        <w:tc>
          <w:tcPr>
            <w:tcW w:w="4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18,688</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281,336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1820" w:type="dxa"/>
            <w:vAlign w:val="bottom"/>
          </w:tcPr>
          <w:p>
            <w:pPr>
              <w:spacing w:after="0"/>
              <w:rPr>
                <w:sz w:val="8"/>
                <w:szCs w:val="8"/>
                <w:color w:val="auto"/>
              </w:rPr>
            </w:pPr>
          </w:p>
        </w:tc>
        <w:tc>
          <w:tcPr>
            <w:tcW w:w="60" w:type="dxa"/>
            <w:vAlign w:val="bottom"/>
          </w:tcPr>
          <w:p>
            <w:pPr>
              <w:spacing w:after="0"/>
              <w:rPr>
                <w:sz w:val="8"/>
                <w:szCs w:val="8"/>
                <w:color w:val="auto"/>
              </w:rPr>
            </w:pPr>
          </w:p>
        </w:tc>
        <w:tc>
          <w:tcPr>
            <w:tcW w:w="5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46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As of December 31, 2011</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5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3"/>
          </w:tcPr>
          <w:p>
            <w:pPr>
              <w:ind w:left="420"/>
              <w:spacing w:after="0"/>
              <w:rPr>
                <w:sz w:val="20"/>
                <w:szCs w:val="20"/>
                <w:color w:val="auto"/>
              </w:rPr>
            </w:pPr>
            <w:r>
              <w:rPr>
                <w:rFonts w:ascii="Arial" w:cs="Arial" w:eastAsia="Arial" w:hAnsi="Arial"/>
                <w:sz w:val="18"/>
                <w:szCs w:val="18"/>
                <w:color w:val="auto"/>
              </w:rPr>
              <w:t>U.S. Government agencies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5,000</w:t>
            </w:r>
          </w:p>
        </w:tc>
        <w:tc>
          <w:tcPr>
            <w:tcW w:w="4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5,006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State and political subdivisions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51,903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4,058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79"/>
              </w:rPr>
              <w:t>13</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3"/>
          </w:tcPr>
          <w:p>
            <w:pPr>
              <w:ind w:left="420"/>
              <w:spacing w:after="0"/>
              <w:rPr>
                <w:sz w:val="20"/>
                <w:szCs w:val="20"/>
                <w:color w:val="auto"/>
              </w:rPr>
            </w:pPr>
            <w:r>
              <w:rPr>
                <w:rFonts w:ascii="Arial" w:cs="Arial" w:eastAsia="Arial" w:hAnsi="Arial"/>
                <w:sz w:val="18"/>
                <w:szCs w:val="18"/>
                <w:color w:val="auto"/>
              </w:rPr>
              <w:t xml:space="preserve">Mortgage-backed securities </w:t>
            </w:r>
            <w:r>
              <w:rPr>
                <w:rFonts w:ascii="Arial" w:cs="Arial" w:eastAsia="Arial" w:hAnsi="Arial"/>
                <w:sz w:val="11"/>
                <w:szCs w:val="11"/>
                <w:color w:val="auto"/>
              </w:rPr>
              <w:t>(1)</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273,300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9,619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w w:val="79"/>
              </w:rPr>
              <w:t>342</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282,577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60" w:type="dxa"/>
            <w:vAlign w:val="bottom"/>
          </w:tcPr>
          <w:p>
            <w:pPr>
              <w:spacing w:after="0"/>
              <w:rPr>
                <w:sz w:val="2"/>
                <w:szCs w:val="2"/>
                <w:color w:val="auto"/>
              </w:rPr>
            </w:pPr>
          </w:p>
        </w:tc>
        <w:tc>
          <w:tcPr>
            <w:tcW w:w="5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330,203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13,683</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w w:val="79"/>
              </w:rPr>
              <w:t>355</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343,531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8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As of September 30, 2011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7480" w:type="dxa"/>
            <w:vAlign w:val="bottom"/>
            <w:gridSpan w:val="4"/>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U.S. Government agencies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3"/>
          </w:tcPr>
          <w:p>
            <w:pPr>
              <w:ind w:left="420"/>
              <w:spacing w:after="0"/>
              <w:rPr>
                <w:sz w:val="20"/>
                <w:szCs w:val="20"/>
                <w:color w:val="auto"/>
              </w:rPr>
            </w:pPr>
            <w:r>
              <w:rPr>
                <w:rFonts w:ascii="Arial" w:cs="Arial" w:eastAsia="Arial" w:hAnsi="Arial"/>
                <w:sz w:val="18"/>
                <w:szCs w:val="18"/>
                <w:color w:val="auto"/>
              </w:rPr>
              <w:t>State and political subdivisions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50,185</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3,721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ind w:left="340"/>
              <w:spacing w:after="0"/>
              <w:rPr>
                <w:sz w:val="20"/>
                <w:szCs w:val="20"/>
                <w:color w:val="auto"/>
              </w:rPr>
            </w:pPr>
            <w:r>
              <w:rPr>
                <w:rFonts w:ascii="Arial" w:cs="Arial" w:eastAsia="Arial" w:hAnsi="Arial"/>
                <w:sz w:val="18"/>
                <w:szCs w:val="18"/>
                <w:color w:val="auto"/>
                <w:w w:val="79"/>
              </w:rPr>
              <w:t>22</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53,884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 xml:space="preserve">Mortgage-backed securities </w:t>
            </w:r>
            <w:r>
              <w:rPr>
                <w:rFonts w:ascii="Arial" w:cs="Arial" w:eastAsia="Arial" w:hAnsi="Arial"/>
                <w:sz w:val="11"/>
                <w:szCs w:val="11"/>
                <w:color w:val="auto"/>
              </w:rPr>
              <w:t>(1)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298,554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11,871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w w:val="79"/>
              </w:rPr>
              <w:t>306</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310,119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gridSpan w:val="3"/>
            <w:vMerge w:val="restart"/>
          </w:tcPr>
          <w:p>
            <w:pPr>
              <w:ind w:left="86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460" w:type="dxa"/>
            <w:vAlign w:val="bottom"/>
            <w:gridSpan w:val="3"/>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353,739</w:t>
            </w:r>
          </w:p>
        </w:tc>
        <w:tc>
          <w:tcPr>
            <w:tcW w:w="4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15,609</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520" w:type="dxa"/>
            <w:vAlign w:val="bottom"/>
          </w:tcPr>
          <w:p>
            <w:pPr>
              <w:ind w:left="260"/>
              <w:spacing w:after="0"/>
              <w:rPr>
                <w:sz w:val="20"/>
                <w:szCs w:val="20"/>
                <w:color w:val="auto"/>
              </w:rPr>
            </w:pPr>
            <w:r>
              <w:rPr>
                <w:rFonts w:ascii="Arial" w:cs="Arial" w:eastAsia="Arial" w:hAnsi="Arial"/>
                <w:sz w:val="18"/>
                <w:szCs w:val="18"/>
                <w:color w:val="auto"/>
                <w:w w:val="79"/>
              </w:rPr>
              <w:t>328</w:t>
            </w:r>
          </w:p>
        </w:tc>
        <w:tc>
          <w:tcPr>
            <w:tcW w:w="5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369,020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ind w:left="460" w:hanging="452"/>
        <w:spacing w:after="0"/>
        <w:tabs>
          <w:tab w:leader="none" w:pos="460" w:val="left"/>
        </w:tabs>
        <w:numPr>
          <w:ilvl w:val="0"/>
          <w:numId w:val="3"/>
        </w:numPr>
        <w:rPr>
          <w:rFonts w:ascii="Arial" w:cs="Arial" w:eastAsia="Arial" w:hAnsi="Arial"/>
          <w:sz w:val="22"/>
          <w:szCs w:val="22"/>
          <w:color w:val="auto"/>
          <w:vertAlign w:val="superscript"/>
        </w:rPr>
      </w:pPr>
      <w:r>
        <w:rPr>
          <w:rFonts w:ascii="Arial" w:cs="Arial" w:eastAsia="Arial" w:hAnsi="Arial"/>
          <w:sz w:val="18"/>
          <w:szCs w:val="18"/>
          <w:color w:val="auto"/>
        </w:rPr>
        <w:t>All are residential type mortgage-backed securities</w:t>
      </w:r>
    </w:p>
    <w:p>
      <w:pPr>
        <w:spacing w:after="0" w:line="75"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 xml:space="preserve">The cost basis, unrealized gains and losses, and fair value of securities available for sale at September 30, 2012, December 31, 2011 and September 30, 2011 are presented below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ind w:right="74"/>
              <w:spacing w:after="0"/>
              <w:rPr>
                <w:sz w:val="20"/>
                <w:szCs w:val="20"/>
                <w:color w:val="auto"/>
              </w:rPr>
            </w:pPr>
            <w:r>
              <w:rPr>
                <w:rFonts w:ascii="Arial" w:cs="Arial" w:eastAsia="Arial" w:hAnsi="Arial"/>
                <w:sz w:val="14"/>
                <w:szCs w:val="14"/>
                <w:b w:val="1"/>
                <w:bCs w:val="1"/>
                <w:color w:val="auto"/>
                <w:w w:val="83"/>
              </w:rPr>
              <w:t>Gross</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ind w:left="40"/>
              <w:spacing w:after="0"/>
              <w:rPr>
                <w:sz w:val="20"/>
                <w:szCs w:val="20"/>
                <w:color w:val="auto"/>
              </w:rPr>
            </w:pPr>
            <w:r>
              <w:rPr>
                <w:rFonts w:ascii="Arial" w:cs="Arial" w:eastAsia="Arial" w:hAnsi="Arial"/>
                <w:sz w:val="14"/>
                <w:szCs w:val="14"/>
                <w:b w:val="1"/>
                <w:bCs w:val="1"/>
                <w:color w:val="auto"/>
              </w:rPr>
              <w:t>Gross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Amortized</w:t>
            </w:r>
          </w:p>
        </w:tc>
        <w:tc>
          <w:tcPr>
            <w:tcW w:w="16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4"/>
                <w:szCs w:val="14"/>
                <w:b w:val="1"/>
                <w:bCs w:val="1"/>
                <w:color w:val="auto"/>
                <w:w w:val="87"/>
              </w:rPr>
              <w:t>Unrealized</w:t>
            </w:r>
          </w:p>
        </w:tc>
        <w:tc>
          <w:tcPr>
            <w:tcW w:w="300" w:type="dxa"/>
            <w:vAlign w:val="bottom"/>
          </w:tcPr>
          <w:p>
            <w:pPr>
              <w:spacing w:after="0"/>
              <w:rPr>
                <w:sz w:val="15"/>
                <w:szCs w:val="15"/>
                <w:color w:val="auto"/>
              </w:rPr>
            </w:pP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Unrealized</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3"/>
              </w:rPr>
              <w:t>Cost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ind w:right="74"/>
              <w:spacing w:after="0"/>
              <w:rPr>
                <w:sz w:val="20"/>
                <w:szCs w:val="20"/>
                <w:color w:val="auto"/>
              </w:rPr>
            </w:pPr>
            <w:r>
              <w:rPr>
                <w:rFonts w:ascii="Arial" w:cs="Arial" w:eastAsia="Arial" w:hAnsi="Arial"/>
                <w:sz w:val="14"/>
                <w:szCs w:val="14"/>
                <w:b w:val="1"/>
                <w:bCs w:val="1"/>
                <w:color w:val="auto"/>
                <w:w w:val="87"/>
              </w:rPr>
              <w:t>Gains</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rPr>
              <w:t>Losses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060" w:type="dxa"/>
            <w:vAlign w:val="bottom"/>
            <w:tcBorders>
              <w:top w:val="single" w:sz="8" w:color="CCEEFF"/>
            </w:tcBorders>
            <w:gridSpan w:val="3"/>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As of September 30, 2012</w:t>
            </w:r>
          </w:p>
        </w:tc>
        <w:tc>
          <w:tcPr>
            <w:tcW w:w="24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3180" w:type="dxa"/>
            <w:vAlign w:val="bottom"/>
            <w:tcBorders>
              <w:top w:val="single" w:sz="8" w:color="CCEEFF"/>
            </w:tcBorders>
            <w:shd w:val="clear" w:color="auto" w:fill="CCEEFF"/>
          </w:tcPr>
          <w:p>
            <w:pPr>
              <w:spacing w:after="0" w:line="20" w:lineRule="exact"/>
              <w:rPr>
                <w:sz w:val="1"/>
                <w:szCs w:val="1"/>
                <w:color w:val="auto"/>
              </w:rPr>
            </w:pPr>
          </w:p>
        </w:tc>
        <w:tc>
          <w:tcPr>
            <w:tcW w:w="24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3"/>
          </w:tcPr>
          <w:p>
            <w:pPr>
              <w:ind w:left="420"/>
              <w:spacing w:after="0"/>
              <w:rPr>
                <w:sz w:val="20"/>
                <w:szCs w:val="20"/>
                <w:color w:val="auto"/>
              </w:rPr>
            </w:pPr>
            <w:r>
              <w:rPr>
                <w:rFonts w:ascii="Arial" w:cs="Arial" w:eastAsia="Arial" w:hAnsi="Arial"/>
                <w:sz w:val="18"/>
                <w:szCs w:val="18"/>
                <w:color w:val="auto"/>
              </w:rPr>
              <w:t>State and political subdivisions</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27,403</w:t>
            </w:r>
          </w:p>
        </w:tc>
        <w:tc>
          <w:tcPr>
            <w:tcW w:w="160" w:type="dxa"/>
            <w:vAlign w:val="bottom"/>
          </w:tcPr>
          <w:p>
            <w:pPr>
              <w:spacing w:after="0"/>
              <w:rPr>
                <w:sz w:val="18"/>
                <w:szCs w:val="18"/>
                <w:color w:val="auto"/>
              </w:rPr>
            </w:pP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1,478</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28,878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 xml:space="preserve">Mortgage-backed securities </w:t>
            </w:r>
            <w:r>
              <w:rPr>
                <w:rFonts w:ascii="Arial" w:cs="Arial" w:eastAsia="Arial" w:hAnsi="Arial"/>
                <w:sz w:val="11"/>
                <w:szCs w:val="11"/>
                <w:color w:val="auto"/>
              </w:rPr>
              <w:t>(1)</w:t>
            </w:r>
          </w:p>
        </w:tc>
        <w:tc>
          <w:tcPr>
            <w:tcW w:w="2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1,356,002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27,689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1,382,940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3"/>
          </w:tcPr>
          <w:p>
            <w:pPr>
              <w:ind w:left="420"/>
              <w:spacing w:after="0"/>
              <w:rPr>
                <w:sz w:val="20"/>
                <w:szCs w:val="20"/>
                <w:color w:val="auto"/>
              </w:rPr>
            </w:pPr>
            <w:r>
              <w:rPr>
                <w:rFonts w:ascii="Arial" w:cs="Arial" w:eastAsia="Arial" w:hAnsi="Arial"/>
                <w:sz w:val="18"/>
                <w:szCs w:val="18"/>
                <w:color w:val="auto"/>
              </w:rPr>
              <w:t>Corporate bonds</w:t>
            </w:r>
          </w:p>
        </w:tc>
        <w:tc>
          <w:tcPr>
            <w:tcW w:w="2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148,315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450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5,613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143,152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Asset-backed securities</w:t>
            </w:r>
          </w:p>
        </w:tc>
        <w:tc>
          <w:tcPr>
            <w:tcW w:w="2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204,522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204,429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gridSpan w:val="3"/>
          </w:tcPr>
          <w:p>
            <w:pPr>
              <w:ind w:left="420"/>
              <w:spacing w:after="0"/>
              <w:rPr>
                <w:sz w:val="20"/>
                <w:szCs w:val="20"/>
                <w:color w:val="auto"/>
              </w:rPr>
            </w:pPr>
            <w:r>
              <w:rPr>
                <w:rFonts w:ascii="Arial" w:cs="Arial" w:eastAsia="Arial" w:hAnsi="Arial"/>
                <w:sz w:val="18"/>
                <w:szCs w:val="18"/>
                <w:color w:val="auto"/>
              </w:rPr>
              <w:t>Other</w:t>
            </w:r>
          </w:p>
        </w:tc>
        <w:tc>
          <w:tcPr>
            <w:tcW w:w="24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2,595</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Total</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1,738,837</w:t>
            </w:r>
          </w:p>
        </w:tc>
        <w:tc>
          <w:tcPr>
            <w:tcW w:w="1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30,330</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7,173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1,761,994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8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As of December 31, 2011</w:t>
            </w:r>
          </w:p>
        </w:tc>
        <w:tc>
          <w:tcPr>
            <w:tcW w:w="2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5080" w:type="dxa"/>
            <w:vAlign w:val="bottom"/>
            <w:gridSpan w:val="4"/>
            <w:vMerge w:val="continue"/>
          </w:tcPr>
          <w:p>
            <w:pPr>
              <w:spacing w:after="0"/>
              <w:rPr>
                <w:sz w:val="24"/>
                <w:szCs w:val="24"/>
                <w:color w:val="auto"/>
              </w:rPr>
            </w:pPr>
          </w:p>
        </w:tc>
        <w:tc>
          <w:tcPr>
            <w:tcW w:w="2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U.S. Government agencies</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43,592</w:t>
            </w:r>
          </w:p>
        </w:tc>
        <w:tc>
          <w:tcPr>
            <w:tcW w:w="1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3"/>
          </w:tcPr>
          <w:p>
            <w:pPr>
              <w:ind w:left="420"/>
              <w:spacing w:after="0"/>
              <w:rPr>
                <w:sz w:val="20"/>
                <w:szCs w:val="20"/>
                <w:color w:val="auto"/>
              </w:rPr>
            </w:pPr>
            <w:r>
              <w:rPr>
                <w:rFonts w:ascii="Arial" w:cs="Arial" w:eastAsia="Arial" w:hAnsi="Arial"/>
                <w:sz w:val="18"/>
                <w:szCs w:val="18"/>
                <w:color w:val="auto"/>
              </w:rPr>
              <w:t>State and political subdivisions</w:t>
            </w:r>
          </w:p>
        </w:tc>
        <w:tc>
          <w:tcPr>
            <w:tcW w:w="2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24,997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1,345</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26,339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 xml:space="preserve">Mortgage-backed securities </w:t>
            </w:r>
            <w:r>
              <w:rPr>
                <w:rFonts w:ascii="Arial" w:cs="Arial" w:eastAsia="Arial" w:hAnsi="Arial"/>
                <w:sz w:val="11"/>
                <w:szCs w:val="11"/>
                <w:color w:val="auto"/>
              </w:rPr>
              <w:t>(1)</w:t>
            </w:r>
          </w:p>
        </w:tc>
        <w:tc>
          <w:tcPr>
            <w:tcW w:w="2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1,576,064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33,988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1,609,909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3"/>
          </w:tcPr>
          <w:p>
            <w:pPr>
              <w:ind w:left="420"/>
              <w:spacing w:after="0"/>
              <w:rPr>
                <w:sz w:val="20"/>
                <w:szCs w:val="20"/>
                <w:color w:val="auto"/>
              </w:rPr>
            </w:pPr>
            <w:r>
              <w:rPr>
                <w:rFonts w:ascii="Arial" w:cs="Arial" w:eastAsia="Arial" w:hAnsi="Arial"/>
                <w:sz w:val="18"/>
                <w:szCs w:val="18"/>
                <w:color w:val="auto"/>
              </w:rPr>
              <w:t>Corporate bonds</w:t>
            </w:r>
          </w:p>
        </w:tc>
        <w:tc>
          <w:tcPr>
            <w:tcW w:w="2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119,110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11,432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107,678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24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60" w:type="dxa"/>
            <w:vAlign w:val="bottom"/>
            <w:gridSpan w:val="3"/>
          </w:tcPr>
          <w:p>
            <w:pPr>
              <w:ind w:left="860"/>
              <w:spacing w:after="0"/>
              <w:rPr>
                <w:sz w:val="20"/>
                <w:szCs w:val="20"/>
                <w:color w:val="auto"/>
              </w:rPr>
            </w:pPr>
            <w:r>
              <w:rPr>
                <w:rFonts w:ascii="Arial" w:cs="Arial" w:eastAsia="Arial" w:hAnsi="Arial"/>
                <w:sz w:val="18"/>
                <w:szCs w:val="18"/>
                <w:color w:val="auto"/>
              </w:rPr>
              <w:t>Total</w:t>
            </w:r>
          </w:p>
        </w:tc>
        <w:tc>
          <w:tcPr>
            <w:tcW w:w="25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1,766,134</w:t>
            </w:r>
          </w:p>
        </w:tc>
        <w:tc>
          <w:tcPr>
            <w:tcW w:w="160" w:type="dxa"/>
            <w:vAlign w:val="bottom"/>
          </w:tcPr>
          <w:p>
            <w:pPr>
              <w:spacing w:after="0"/>
              <w:rPr>
                <w:sz w:val="19"/>
                <w:szCs w:val="19"/>
                <w:color w:val="auto"/>
              </w:rPr>
            </w:pP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35,491</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11,578</w:t>
            </w:r>
          </w:p>
        </w:tc>
        <w:tc>
          <w:tcPr>
            <w:tcW w:w="2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1,790,047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1820" w:type="dxa"/>
            <w:vAlign w:val="bottom"/>
          </w:tcPr>
          <w:p>
            <w:pPr>
              <w:spacing w:after="0"/>
              <w:rPr>
                <w:sz w:val="8"/>
                <w:szCs w:val="8"/>
                <w:color w:val="auto"/>
              </w:rPr>
            </w:pPr>
          </w:p>
        </w:tc>
        <w:tc>
          <w:tcPr>
            <w:tcW w:w="60" w:type="dxa"/>
            <w:vAlign w:val="bottom"/>
          </w:tcPr>
          <w:p>
            <w:pPr>
              <w:spacing w:after="0"/>
              <w:rPr>
                <w:sz w:val="8"/>
                <w:szCs w:val="8"/>
                <w:color w:val="auto"/>
              </w:rPr>
            </w:pPr>
          </w:p>
        </w:tc>
        <w:tc>
          <w:tcPr>
            <w:tcW w:w="3180" w:type="dxa"/>
            <w:vAlign w:val="bottom"/>
          </w:tcPr>
          <w:p>
            <w:pPr>
              <w:spacing w:after="0"/>
              <w:rPr>
                <w:sz w:val="8"/>
                <w:szCs w:val="8"/>
                <w:color w:val="auto"/>
              </w:rPr>
            </w:pPr>
          </w:p>
        </w:tc>
        <w:tc>
          <w:tcPr>
            <w:tcW w:w="246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88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5"/>
              </w:rPr>
              <w:t>As of September 30, 2011</w:t>
            </w:r>
          </w:p>
        </w:tc>
        <w:tc>
          <w:tcPr>
            <w:tcW w:w="3180" w:type="dxa"/>
            <w:vAlign w:val="bottom"/>
            <w:tcBorders>
              <w:bottom w:val="single" w:sz="8" w:color="CCEEFF"/>
            </w:tcBorders>
            <w:shd w:val="clear" w:color="auto" w:fill="CCEEFF"/>
          </w:tcPr>
          <w:p>
            <w:pPr>
              <w:spacing w:after="0"/>
              <w:rPr>
                <w:sz w:val="17"/>
                <w:szCs w:val="17"/>
                <w:color w:val="auto"/>
              </w:rPr>
            </w:pPr>
          </w:p>
        </w:tc>
        <w:tc>
          <w:tcPr>
            <w:tcW w:w="24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3"/>
          </w:tcPr>
          <w:p>
            <w:pPr>
              <w:ind w:left="420"/>
              <w:spacing w:after="0"/>
              <w:rPr>
                <w:sz w:val="20"/>
                <w:szCs w:val="20"/>
                <w:color w:val="auto"/>
              </w:rPr>
            </w:pPr>
            <w:r>
              <w:rPr>
                <w:rFonts w:ascii="Arial" w:cs="Arial" w:eastAsia="Arial" w:hAnsi="Arial"/>
                <w:sz w:val="18"/>
                <w:szCs w:val="18"/>
                <w:color w:val="auto"/>
              </w:rPr>
              <w:t>U.S. Government agencies</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33,597</w:t>
            </w:r>
          </w:p>
        </w:tc>
        <w:tc>
          <w:tcPr>
            <w:tcW w:w="160" w:type="dxa"/>
            <w:vAlign w:val="bottom"/>
          </w:tcPr>
          <w:p>
            <w:pPr>
              <w:spacing w:after="0"/>
              <w:rPr>
                <w:sz w:val="18"/>
                <w:szCs w:val="18"/>
                <w:color w:val="auto"/>
              </w:rPr>
            </w:pP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109</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33,706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State and political subdivisions</w:t>
            </w:r>
          </w:p>
        </w:tc>
        <w:tc>
          <w:tcPr>
            <w:tcW w:w="2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25,435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3"/>
          </w:tcPr>
          <w:p>
            <w:pPr>
              <w:ind w:left="420"/>
              <w:spacing w:after="0"/>
              <w:rPr>
                <w:sz w:val="20"/>
                <w:szCs w:val="20"/>
                <w:color w:val="auto"/>
              </w:rPr>
            </w:pPr>
            <w:r>
              <w:rPr>
                <w:rFonts w:ascii="Arial" w:cs="Arial" w:eastAsia="Arial" w:hAnsi="Arial"/>
                <w:sz w:val="18"/>
                <w:szCs w:val="18"/>
                <w:color w:val="auto"/>
              </w:rPr>
              <w:t xml:space="preserve">Mortgage-backed securities </w:t>
            </w:r>
            <w:r>
              <w:rPr>
                <w:rFonts w:ascii="Arial" w:cs="Arial" w:eastAsia="Arial" w:hAnsi="Arial"/>
                <w:sz w:val="11"/>
                <w:szCs w:val="11"/>
                <w:color w:val="auto"/>
              </w:rPr>
              <w:t>(1)</w:t>
            </w:r>
          </w:p>
        </w:tc>
        <w:tc>
          <w:tcPr>
            <w:tcW w:w="2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1,556,639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39,177</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416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1,595,400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Corporate bonds</w:t>
            </w:r>
          </w:p>
        </w:tc>
        <w:tc>
          <w:tcPr>
            <w:tcW w:w="2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119,066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8,424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110,642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gridSpan w:val="3"/>
          </w:tcPr>
          <w:p>
            <w:pPr>
              <w:ind w:left="420"/>
              <w:spacing w:after="0"/>
              <w:rPr>
                <w:sz w:val="20"/>
                <w:szCs w:val="20"/>
                <w:color w:val="auto"/>
              </w:rPr>
            </w:pPr>
            <w:r>
              <w:rPr>
                <w:rFonts w:ascii="Arial" w:cs="Arial" w:eastAsia="Arial" w:hAnsi="Arial"/>
                <w:sz w:val="18"/>
                <w:szCs w:val="18"/>
                <w:color w:val="auto"/>
              </w:rPr>
              <w:t>Other</w:t>
            </w:r>
          </w:p>
        </w:tc>
        <w:tc>
          <w:tcPr>
            <w:tcW w:w="24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2,504</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Total</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1,737,241</w:t>
            </w:r>
          </w:p>
        </w:tc>
        <w:tc>
          <w:tcPr>
            <w:tcW w:w="1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40,686</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8,844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1,769,083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ind w:left="460" w:hanging="452"/>
        <w:spacing w:after="0"/>
        <w:tabs>
          <w:tab w:leader="none" w:pos="460" w:val="left"/>
        </w:tabs>
        <w:numPr>
          <w:ilvl w:val="0"/>
          <w:numId w:val="4"/>
        </w:numPr>
        <w:rPr>
          <w:rFonts w:ascii="Arial" w:cs="Arial" w:eastAsia="Arial" w:hAnsi="Arial"/>
          <w:sz w:val="22"/>
          <w:szCs w:val="22"/>
          <w:color w:val="auto"/>
          <w:vertAlign w:val="superscript"/>
        </w:rPr>
      </w:pPr>
      <w:r>
        <w:rPr>
          <w:rFonts w:ascii="Arial" w:cs="Arial" w:eastAsia="Arial" w:hAnsi="Arial"/>
          <w:sz w:val="18"/>
          <w:szCs w:val="18"/>
          <w:color w:val="auto"/>
        </w:rPr>
        <w:t>All are residential type mortgage-backed securities</w:t>
      </w:r>
    </w:p>
    <w:p>
      <w:pPr>
        <w:sectPr>
          <w:pgSz w:w="11900" w:h="16838" w:orient="portrait"/>
          <w:cols w:equalWidth="0" w:num="1">
            <w:col w:w="11420"/>
          </w:cols>
          <w:pgMar w:left="240" w:top="459" w:right="239" w:bottom="1440" w:gutter="0" w:footer="0" w:header="0"/>
        </w:sectPr>
      </w:pP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459" w:right="23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 xml:space="preserve">The following table summarizes held to maturity securities in an unrealized loss position as of December 31, 2011 and September 30, 2011 </w:t>
      </w:r>
      <w:r>
        <w:rPr>
          <w:rFonts w:ascii="Arial" w:cs="Arial" w:eastAsia="Arial" w:hAnsi="Arial"/>
          <w:sz w:val="18"/>
          <w:szCs w:val="18"/>
          <w:i w:val="1"/>
          <w:iCs w:val="1"/>
          <w:color w:val="auto"/>
        </w:rPr>
        <w:t>(in thousands)</w:t>
      </w:r>
      <w:r>
        <w:rPr>
          <w:rFonts w:ascii="Arial" w:cs="Arial" w:eastAsia="Arial" w:hAnsi="Arial"/>
          <w:sz w:val="18"/>
          <w:szCs w:val="18"/>
          <w:color w:val="auto"/>
        </w:rPr>
        <w:t>. As of September 30, 2012, there were no held to maturity securities in an unrealized loss position.</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right"/>
              <w:ind w:right="115"/>
              <w:spacing w:after="0"/>
              <w:rPr>
                <w:sz w:val="20"/>
                <w:szCs w:val="20"/>
                <w:color w:val="auto"/>
              </w:rPr>
            </w:pPr>
            <w:r>
              <w:rPr>
                <w:rFonts w:ascii="Arial" w:cs="Arial" w:eastAsia="Arial" w:hAnsi="Arial"/>
                <w:sz w:val="14"/>
                <w:szCs w:val="14"/>
                <w:b w:val="1"/>
                <w:bCs w:val="1"/>
                <w:color w:val="auto"/>
                <w:w w:val="92"/>
              </w:rPr>
              <w:t>Less than 12 Months</w:t>
            </w:r>
          </w:p>
        </w:tc>
        <w:tc>
          <w:tcPr>
            <w:tcW w:w="3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12 Months or More</w:t>
            </w:r>
          </w:p>
        </w:tc>
        <w:tc>
          <w:tcPr>
            <w:tcW w:w="3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Total</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4"/>
              </w:rPr>
              <w:t>Unrealized</w:t>
            </w: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4"/>
              </w:rPr>
              <w:t>Unrealized</w:t>
            </w: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4"/>
              </w:rPr>
              <w:t>Unrealized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4"/>
                <w:szCs w:val="14"/>
                <w:color w:val="auto"/>
              </w:rPr>
            </w:pPr>
          </w:p>
        </w:tc>
        <w:tc>
          <w:tcPr>
            <w:tcW w:w="480" w:type="dxa"/>
            <w:vAlign w:val="bottom"/>
          </w:tcPr>
          <w:p>
            <w:pPr>
              <w:jc w:val="right"/>
              <w:ind w:right="95"/>
              <w:spacing w:after="0"/>
              <w:rPr>
                <w:sz w:val="20"/>
                <w:szCs w:val="20"/>
                <w:color w:val="auto"/>
              </w:rPr>
            </w:pPr>
            <w:r>
              <w:rPr>
                <w:rFonts w:ascii="Arial" w:cs="Arial" w:eastAsia="Arial" w:hAnsi="Arial"/>
                <w:sz w:val="14"/>
                <w:szCs w:val="14"/>
                <w:b w:val="1"/>
                <w:bCs w:val="1"/>
                <w:color w:val="auto"/>
                <w:w w:val="85"/>
              </w:rPr>
              <w:t>Loss</w:t>
            </w:r>
          </w:p>
        </w:tc>
        <w:tc>
          <w:tcPr>
            <w:tcW w:w="38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4"/>
                <w:szCs w:val="14"/>
                <w:color w:val="auto"/>
              </w:rPr>
            </w:pPr>
          </w:p>
        </w:tc>
        <w:tc>
          <w:tcPr>
            <w:tcW w:w="500" w:type="dxa"/>
            <w:vAlign w:val="bottom"/>
          </w:tcPr>
          <w:p>
            <w:pPr>
              <w:ind w:left="60"/>
              <w:spacing w:after="0"/>
              <w:rPr>
                <w:sz w:val="20"/>
                <w:szCs w:val="20"/>
                <w:color w:val="auto"/>
              </w:rPr>
            </w:pPr>
            <w:r>
              <w:rPr>
                <w:rFonts w:ascii="Arial" w:cs="Arial" w:eastAsia="Arial" w:hAnsi="Arial"/>
                <w:sz w:val="14"/>
                <w:szCs w:val="14"/>
                <w:b w:val="1"/>
                <w:bCs w:val="1"/>
                <w:color w:val="auto"/>
              </w:rPr>
              <w:t>Loss</w:t>
            </w:r>
          </w:p>
        </w:tc>
        <w:tc>
          <w:tcPr>
            <w:tcW w:w="380" w:type="dxa"/>
            <w:vAlign w:val="bottom"/>
          </w:tcPr>
          <w:p>
            <w:pPr>
              <w:spacing w:after="0"/>
              <w:rPr>
                <w:sz w:val="14"/>
                <w:szCs w:val="14"/>
                <w:color w:val="auto"/>
              </w:rPr>
            </w:pPr>
          </w:p>
        </w:tc>
        <w:tc>
          <w:tcPr>
            <w:tcW w:w="640" w:type="dxa"/>
            <w:vAlign w:val="bottom"/>
            <w:gridSpan w:val="3"/>
          </w:tcPr>
          <w:p>
            <w:pPr>
              <w:spacing w:after="0"/>
              <w:rPr>
                <w:sz w:val="20"/>
                <w:szCs w:val="20"/>
                <w:color w:val="auto"/>
              </w:rPr>
            </w:pPr>
            <w:r>
              <w:rPr>
                <w:rFonts w:ascii="Arial" w:cs="Arial" w:eastAsia="Arial" w:hAnsi="Arial"/>
                <w:sz w:val="14"/>
                <w:szCs w:val="14"/>
                <w:b w:val="1"/>
                <w:bCs w:val="1"/>
                <w:color w:val="auto"/>
                <w:w w:val="92"/>
              </w:rPr>
              <w:t>Fair Value</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tcPr>
          <w:p>
            <w:pPr>
              <w:ind w:left="60"/>
              <w:spacing w:after="0"/>
              <w:rPr>
                <w:sz w:val="20"/>
                <w:szCs w:val="20"/>
                <w:color w:val="auto"/>
              </w:rPr>
            </w:pPr>
            <w:r>
              <w:rPr>
                <w:rFonts w:ascii="Arial" w:cs="Arial" w:eastAsia="Arial" w:hAnsi="Arial"/>
                <w:sz w:val="14"/>
                <w:szCs w:val="14"/>
                <w:b w:val="1"/>
                <w:bCs w:val="1"/>
                <w:color w:val="auto"/>
              </w:rPr>
              <w:t>Loss</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680" w:type="dxa"/>
            <w:vAlign w:val="bottom"/>
            <w:tcBorders>
              <w:top w:val="single" w:sz="8" w:color="CCEEFF"/>
            </w:tcBorders>
            <w:gridSpan w:val="3"/>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As of December 31, 2011</w:t>
            </w:r>
          </w:p>
        </w:tc>
        <w:tc>
          <w:tcPr>
            <w:tcW w:w="12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8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8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gridSpan w:val="3"/>
          </w:tcPr>
          <w:p>
            <w:pPr>
              <w:spacing w:after="0"/>
              <w:rPr>
                <w:sz w:val="20"/>
                <w:szCs w:val="20"/>
                <w:color w:val="auto"/>
              </w:rPr>
            </w:pPr>
            <w:r>
              <w:rPr>
                <w:rFonts w:ascii="Arial" w:cs="Arial" w:eastAsia="Arial" w:hAnsi="Arial"/>
                <w:sz w:val="18"/>
                <w:szCs w:val="18"/>
                <w:color w:val="auto"/>
              </w:rPr>
              <w:t>State and political subdivisions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180"/>
              <w:spacing w:after="0"/>
              <w:rPr>
                <w:sz w:val="20"/>
                <w:szCs w:val="20"/>
                <w:color w:val="auto"/>
              </w:rPr>
            </w:pPr>
            <w:r>
              <w:rPr>
                <w:rFonts w:ascii="Arial" w:cs="Arial" w:eastAsia="Arial" w:hAnsi="Arial"/>
                <w:sz w:val="18"/>
                <w:szCs w:val="18"/>
                <w:color w:val="auto"/>
              </w:rPr>
              <w:t>363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00" w:type="dxa"/>
            <w:vAlign w:val="bottom"/>
          </w:tcPr>
          <w:p>
            <w:pPr>
              <w:ind w:left="340"/>
              <w:spacing w:after="0"/>
              <w:rPr>
                <w:sz w:val="20"/>
                <w:szCs w:val="20"/>
                <w:color w:val="auto"/>
              </w:rPr>
            </w:pPr>
            <w:r>
              <w:rPr>
                <w:rFonts w:ascii="Arial" w:cs="Arial" w:eastAsia="Arial" w:hAnsi="Arial"/>
                <w:sz w:val="16"/>
                <w:szCs w:val="16"/>
                <w:color w:val="auto"/>
                <w:w w:val="78"/>
              </w:rPr>
              <w:t>13</w:t>
            </w:r>
          </w:p>
        </w:tc>
        <w:tc>
          <w:tcPr>
            <w:tcW w:w="500" w:type="dxa"/>
            <w:vAlign w:val="bottom"/>
            <w:gridSpan w:val="2"/>
          </w:tcPr>
          <w:p>
            <w:pPr>
              <w:ind w:left="380"/>
              <w:spacing w:after="0"/>
              <w:rPr>
                <w:sz w:val="20"/>
                <w:szCs w:val="20"/>
                <w:color w:val="auto"/>
              </w:rPr>
            </w:pPr>
            <w:r>
              <w:rPr>
                <w:rFonts w:ascii="Arial" w:cs="Arial" w:eastAsia="Arial" w:hAnsi="Arial"/>
                <w:sz w:val="18"/>
                <w:szCs w:val="18"/>
                <w:color w:val="auto"/>
                <w:w w:val="99"/>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363</w:t>
            </w:r>
          </w:p>
        </w:tc>
        <w:tc>
          <w:tcPr>
            <w:tcW w:w="480" w:type="dxa"/>
            <w:vAlign w:val="bottom"/>
            <w:gridSpan w:val="2"/>
          </w:tcPr>
          <w:p>
            <w:pPr>
              <w:ind w:left="36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10,967</w:t>
            </w:r>
          </w:p>
        </w:tc>
        <w:tc>
          <w:tcPr>
            <w:tcW w:w="3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3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10,967</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80" w:type="dxa"/>
            <w:vAlign w:val="bottom"/>
            <w:gridSpan w:val="3"/>
          </w:tcPr>
          <w:p>
            <w:pPr>
              <w:ind w:left="420"/>
              <w:spacing w:after="0"/>
              <w:rPr>
                <w:sz w:val="20"/>
                <w:szCs w:val="20"/>
                <w:color w:val="auto"/>
              </w:rPr>
            </w:pPr>
            <w:r>
              <w:rPr>
                <w:rFonts w:ascii="Arial" w:cs="Arial" w:eastAsia="Arial" w:hAnsi="Arial"/>
                <w:sz w:val="18"/>
                <w:szCs w:val="18"/>
                <w:color w:val="auto"/>
              </w:rPr>
              <w:t>Total unrealized loss position</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10,967</w:t>
            </w:r>
          </w:p>
        </w:tc>
        <w:tc>
          <w:tcPr>
            <w:tcW w:w="38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342</w:t>
            </w:r>
          </w:p>
        </w:tc>
        <w:tc>
          <w:tcPr>
            <w:tcW w:w="5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180"/>
              <w:spacing w:after="0"/>
              <w:rPr>
                <w:sz w:val="20"/>
                <w:szCs w:val="20"/>
                <w:color w:val="auto"/>
              </w:rPr>
            </w:pPr>
            <w:r>
              <w:rPr>
                <w:rFonts w:ascii="Arial" w:cs="Arial" w:eastAsia="Arial" w:hAnsi="Arial"/>
                <w:sz w:val="18"/>
                <w:szCs w:val="18"/>
                <w:color w:val="auto"/>
              </w:rPr>
              <w:t>363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00" w:type="dxa"/>
            <w:vAlign w:val="bottom"/>
          </w:tcPr>
          <w:p>
            <w:pPr>
              <w:ind w:left="340"/>
              <w:spacing w:after="0"/>
              <w:rPr>
                <w:sz w:val="20"/>
                <w:szCs w:val="20"/>
                <w:color w:val="auto"/>
              </w:rPr>
            </w:pPr>
            <w:r>
              <w:rPr>
                <w:rFonts w:ascii="Arial" w:cs="Arial" w:eastAsia="Arial" w:hAnsi="Arial"/>
                <w:sz w:val="16"/>
                <w:szCs w:val="16"/>
                <w:color w:val="auto"/>
                <w:w w:val="78"/>
              </w:rPr>
              <w:t>13</w:t>
            </w:r>
          </w:p>
        </w:tc>
        <w:tc>
          <w:tcPr>
            <w:tcW w:w="500" w:type="dxa"/>
            <w:vAlign w:val="bottom"/>
            <w:gridSpan w:val="2"/>
          </w:tcPr>
          <w:p>
            <w:pPr>
              <w:ind w:left="380"/>
              <w:spacing w:after="0"/>
              <w:rPr>
                <w:sz w:val="20"/>
                <w:szCs w:val="20"/>
                <w:color w:val="auto"/>
              </w:rPr>
            </w:pPr>
            <w:r>
              <w:rPr>
                <w:rFonts w:ascii="Arial" w:cs="Arial" w:eastAsia="Arial" w:hAnsi="Arial"/>
                <w:sz w:val="18"/>
                <w:szCs w:val="18"/>
                <w:color w:val="auto"/>
                <w:w w:val="99"/>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11,330</w:t>
            </w:r>
          </w:p>
        </w:tc>
        <w:tc>
          <w:tcPr>
            <w:tcW w:w="480" w:type="dxa"/>
            <w:vAlign w:val="bottom"/>
            <w:gridSpan w:val="2"/>
          </w:tcPr>
          <w:p>
            <w:pPr>
              <w:ind w:left="36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1880" w:type="dxa"/>
            <w:vAlign w:val="bottom"/>
            <w:tcBorders>
              <w:bottom w:val="single" w:sz="8" w:color="auto"/>
            </w:tcBorders>
            <w:gridSpan w:val="2"/>
            <w:shd w:val="clear" w:color="auto" w:fill="CCEEFF"/>
          </w:tcPr>
          <w:p>
            <w:pPr>
              <w:spacing w:after="0" w:line="170" w:lineRule="exact"/>
              <w:rPr>
                <w:sz w:val="20"/>
                <w:szCs w:val="20"/>
                <w:color w:val="auto"/>
              </w:rPr>
            </w:pPr>
            <w:r>
              <w:rPr>
                <w:rFonts w:ascii="Arial" w:cs="Arial" w:eastAsia="Arial" w:hAnsi="Arial"/>
                <w:sz w:val="18"/>
                <w:szCs w:val="18"/>
                <w:b w:val="1"/>
                <w:bCs w:val="1"/>
                <w:color w:val="auto"/>
                <w:w w:val="85"/>
              </w:rPr>
              <w:t>As of September 30, 2011</w:t>
            </w:r>
          </w:p>
        </w:tc>
        <w:tc>
          <w:tcPr>
            <w:tcW w:w="38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3"/>
          </w:tcPr>
          <w:p>
            <w:pPr>
              <w:spacing w:after="0"/>
              <w:rPr>
                <w:sz w:val="20"/>
                <w:szCs w:val="20"/>
                <w:color w:val="auto"/>
              </w:rPr>
            </w:pPr>
            <w:r>
              <w:rPr>
                <w:rFonts w:ascii="Arial" w:cs="Arial" w:eastAsia="Arial" w:hAnsi="Arial"/>
                <w:sz w:val="18"/>
                <w:szCs w:val="18"/>
                <w:color w:val="auto"/>
              </w:rPr>
              <w:t>State and political subdivisions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354</w:t>
            </w:r>
          </w:p>
        </w:tc>
        <w:tc>
          <w:tcPr>
            <w:tcW w:w="38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22</w:t>
            </w:r>
          </w:p>
        </w:tc>
        <w:tc>
          <w:tcPr>
            <w:tcW w:w="5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380"/>
              <w:spacing w:after="0"/>
              <w:rPr>
                <w:sz w:val="20"/>
                <w:szCs w:val="20"/>
                <w:color w:val="auto"/>
              </w:rPr>
            </w:pPr>
            <w:r>
              <w:rPr>
                <w:rFonts w:ascii="Arial" w:cs="Arial" w:eastAsia="Arial" w:hAnsi="Arial"/>
                <w:sz w:val="18"/>
                <w:szCs w:val="18"/>
                <w:color w:val="auto"/>
                <w:w w:val="99"/>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354</w:t>
            </w:r>
          </w:p>
        </w:tc>
        <w:tc>
          <w:tcPr>
            <w:tcW w:w="480" w:type="dxa"/>
            <w:vAlign w:val="bottom"/>
            <w:gridSpan w:val="2"/>
          </w:tcPr>
          <w:p>
            <w:pPr>
              <w:ind w:left="36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9,828</w:t>
            </w:r>
          </w:p>
        </w:tc>
        <w:tc>
          <w:tcPr>
            <w:tcW w:w="3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3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9,828</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80" w:type="dxa"/>
            <w:vAlign w:val="bottom"/>
            <w:gridSpan w:val="3"/>
          </w:tcPr>
          <w:p>
            <w:pPr>
              <w:ind w:left="420"/>
              <w:spacing w:after="0"/>
              <w:rPr>
                <w:sz w:val="20"/>
                <w:szCs w:val="20"/>
                <w:color w:val="auto"/>
              </w:rPr>
            </w:pPr>
            <w:r>
              <w:rPr>
                <w:rFonts w:ascii="Arial" w:cs="Arial" w:eastAsia="Arial" w:hAnsi="Arial"/>
                <w:sz w:val="18"/>
                <w:szCs w:val="18"/>
                <w:color w:val="auto"/>
              </w:rPr>
              <w:t>Total unrealized loss position</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10,182</w:t>
            </w:r>
          </w:p>
        </w:tc>
        <w:tc>
          <w:tcPr>
            <w:tcW w:w="38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328</w:t>
            </w:r>
          </w:p>
        </w:tc>
        <w:tc>
          <w:tcPr>
            <w:tcW w:w="5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380"/>
              <w:spacing w:after="0"/>
              <w:rPr>
                <w:sz w:val="20"/>
                <w:szCs w:val="20"/>
                <w:color w:val="auto"/>
              </w:rPr>
            </w:pPr>
            <w:r>
              <w:rPr>
                <w:rFonts w:ascii="Arial" w:cs="Arial" w:eastAsia="Arial" w:hAnsi="Arial"/>
                <w:sz w:val="18"/>
                <w:szCs w:val="18"/>
                <w:color w:val="auto"/>
                <w:w w:val="99"/>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10,182</w:t>
            </w:r>
          </w:p>
        </w:tc>
        <w:tc>
          <w:tcPr>
            <w:tcW w:w="480" w:type="dxa"/>
            <w:vAlign w:val="bottom"/>
            <w:gridSpan w:val="2"/>
          </w:tcPr>
          <w:p>
            <w:pPr>
              <w:ind w:left="36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 xml:space="preserve">The following table summarizes available for sale securities in an unrealized loss position as of September 30, 2012, December 31, 2011 and September 30, 2011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5"/>
          </w:tcPr>
          <w:p>
            <w:pPr>
              <w:ind w:left="120"/>
              <w:spacing w:after="0"/>
              <w:rPr>
                <w:sz w:val="20"/>
                <w:szCs w:val="20"/>
                <w:color w:val="auto"/>
              </w:rPr>
            </w:pPr>
            <w:r>
              <w:rPr>
                <w:rFonts w:ascii="Arial" w:cs="Arial" w:eastAsia="Arial" w:hAnsi="Arial"/>
                <w:sz w:val="14"/>
                <w:szCs w:val="14"/>
                <w:b w:val="1"/>
                <w:bCs w:val="1"/>
                <w:color w:val="auto"/>
              </w:rPr>
              <w:t>Less than 12 Months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w w:val="99"/>
              </w:rPr>
              <w:t>12 Months or More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ind w:left="560"/>
              <w:spacing w:after="0"/>
              <w:rPr>
                <w:sz w:val="20"/>
                <w:szCs w:val="20"/>
                <w:color w:val="auto"/>
              </w:rPr>
            </w:pPr>
            <w:r>
              <w:rPr>
                <w:rFonts w:ascii="Arial" w:cs="Arial" w:eastAsia="Arial" w:hAnsi="Arial"/>
                <w:sz w:val="14"/>
                <w:szCs w:val="14"/>
                <w:b w:val="1"/>
                <w:bCs w:val="1"/>
                <w:color w:val="auto"/>
                <w:w w:val="83"/>
              </w:rPr>
              <w:t>Total</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7"/>
              </w:rPr>
              <w:t>Unrealized</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w w:val="84"/>
              </w:rPr>
              <w:t>Unrealized</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4"/>
              </w:rPr>
              <w:t>Unrealized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Fair Value</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4"/>
                <w:szCs w:val="14"/>
                <w:b w:val="1"/>
                <w:bCs w:val="1"/>
                <w:color w:val="auto"/>
              </w:rPr>
              <w:t>Loss</w:t>
            </w:r>
          </w:p>
        </w:tc>
        <w:tc>
          <w:tcPr>
            <w:tcW w:w="160" w:type="dxa"/>
            <w:vAlign w:val="bottom"/>
          </w:tcPr>
          <w:p>
            <w:pPr>
              <w:spacing w:after="0"/>
              <w:rPr>
                <w:sz w:val="14"/>
                <w:szCs w:val="14"/>
                <w:color w:val="auto"/>
              </w:rPr>
            </w:pPr>
          </w:p>
        </w:tc>
        <w:tc>
          <w:tcPr>
            <w:tcW w:w="82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2"/>
              </w:rPr>
              <w:t>Fair Value</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1"/>
              </w:rPr>
              <w:t>Loss</w:t>
            </w:r>
          </w:p>
        </w:tc>
        <w:tc>
          <w:tcPr>
            <w:tcW w:w="160" w:type="dxa"/>
            <w:vAlign w:val="bottom"/>
          </w:tcPr>
          <w:p>
            <w:pPr>
              <w:spacing w:after="0"/>
              <w:rPr>
                <w:sz w:val="14"/>
                <w:szCs w:val="14"/>
                <w:color w:val="auto"/>
              </w:rPr>
            </w:pPr>
          </w:p>
        </w:tc>
        <w:tc>
          <w:tcPr>
            <w:tcW w:w="960" w:type="dxa"/>
            <w:vAlign w:val="bottom"/>
            <w:gridSpan w:val="3"/>
          </w:tcPr>
          <w:p>
            <w:pPr>
              <w:ind w:left="40"/>
              <w:spacing w:after="0"/>
              <w:rPr>
                <w:sz w:val="20"/>
                <w:szCs w:val="20"/>
                <w:color w:val="auto"/>
              </w:rPr>
            </w:pPr>
            <w:r>
              <w:rPr>
                <w:rFonts w:ascii="Arial" w:cs="Arial" w:eastAsia="Arial" w:hAnsi="Arial"/>
                <w:sz w:val="14"/>
                <w:szCs w:val="14"/>
                <w:b w:val="1"/>
                <w:bCs w:val="1"/>
                <w:color w:val="auto"/>
              </w:rPr>
              <w:t>Fair Value</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tcPr>
          <w:p>
            <w:pPr>
              <w:ind w:left="60"/>
              <w:spacing w:after="0"/>
              <w:rPr>
                <w:sz w:val="20"/>
                <w:szCs w:val="20"/>
                <w:color w:val="auto"/>
              </w:rPr>
            </w:pPr>
            <w:r>
              <w:rPr>
                <w:rFonts w:ascii="Arial" w:cs="Arial" w:eastAsia="Arial" w:hAnsi="Arial"/>
                <w:sz w:val="14"/>
                <w:szCs w:val="14"/>
                <w:b w:val="1"/>
                <w:bCs w:val="1"/>
                <w:color w:val="auto"/>
              </w:rPr>
              <w:t>Loss</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880" w:type="dxa"/>
            <w:vAlign w:val="bottom"/>
            <w:tcBorders>
              <w:top w:val="single" w:sz="8" w:color="CCEEFF"/>
            </w:tcBorders>
            <w:gridSpan w:val="3"/>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As of September 30, 2012</w:t>
            </w:r>
          </w:p>
        </w:tc>
        <w:tc>
          <w:tcPr>
            <w:tcW w:w="10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8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4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gridSpan w:val="3"/>
          </w:tcPr>
          <w:p>
            <w:pPr>
              <w:spacing w:after="0"/>
              <w:rPr>
                <w:sz w:val="20"/>
                <w:szCs w:val="20"/>
                <w:color w:val="auto"/>
              </w:rPr>
            </w:pPr>
            <w:r>
              <w:rPr>
                <w:rFonts w:ascii="Arial" w:cs="Arial" w:eastAsia="Arial" w:hAnsi="Arial"/>
                <w:sz w:val="18"/>
                <w:szCs w:val="18"/>
                <w:color w:val="auto"/>
              </w:rPr>
              <w:t>State and political subdivisions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12</w:t>
            </w: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12</w:t>
            </w:r>
          </w:p>
        </w:tc>
        <w:tc>
          <w:tcPr>
            <w:tcW w:w="140" w:type="dxa"/>
            <w:vAlign w:val="bottom"/>
            <w:gridSpan w:val="2"/>
          </w:tcPr>
          <w:p>
            <w:pPr>
              <w:ind w:left="2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105,296</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17,059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122,355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3"/>
          </w:tcPr>
          <w:p>
            <w:pPr>
              <w:spacing w:after="0"/>
              <w:rPr>
                <w:sz w:val="20"/>
                <w:szCs w:val="20"/>
                <w:color w:val="auto"/>
              </w:rPr>
            </w:pPr>
            <w:r>
              <w:rPr>
                <w:rFonts w:ascii="Arial" w:cs="Arial" w:eastAsia="Arial" w:hAnsi="Arial"/>
                <w:sz w:val="18"/>
                <w:szCs w:val="18"/>
                <w:color w:val="auto"/>
              </w:rPr>
              <w:t>Corporate bonds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4,893</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82"/>
              </w:rPr>
              <w:t>113,590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5,603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118,483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5,613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Asset-backed securities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90,766</w:t>
            </w:r>
          </w:p>
        </w:tc>
        <w:tc>
          <w:tcPr>
            <w:tcW w:w="3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90,766</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880" w:type="dxa"/>
            <w:vAlign w:val="bottom"/>
            <w:gridSpan w:val="3"/>
          </w:tcPr>
          <w:p>
            <w:pPr>
              <w:ind w:left="420"/>
              <w:spacing w:after="0"/>
              <w:rPr>
                <w:sz w:val="20"/>
                <w:szCs w:val="20"/>
                <w:color w:val="auto"/>
              </w:rPr>
            </w:pPr>
            <w:r>
              <w:rPr>
                <w:rFonts w:ascii="Arial" w:cs="Arial" w:eastAsia="Arial" w:hAnsi="Arial"/>
                <w:sz w:val="18"/>
                <w:szCs w:val="18"/>
                <w:color w:val="auto"/>
              </w:rPr>
              <w:t>Total unrealized loss position</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200,955</w:t>
            </w:r>
          </w:p>
        </w:tc>
        <w:tc>
          <w:tcPr>
            <w:tcW w:w="4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1,557</w:t>
            </w:r>
          </w:p>
        </w:tc>
        <w:tc>
          <w:tcPr>
            <w:tcW w:w="2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82"/>
              </w:rPr>
              <w:t>130,661</w:t>
            </w: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5,616</w:t>
            </w:r>
          </w:p>
        </w:tc>
        <w:tc>
          <w:tcPr>
            <w:tcW w:w="2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331,616</w:t>
            </w:r>
          </w:p>
        </w:tc>
        <w:tc>
          <w:tcPr>
            <w:tcW w:w="140" w:type="dxa"/>
            <w:vAlign w:val="bottom"/>
            <w:gridSpan w:val="2"/>
          </w:tcPr>
          <w:p>
            <w:pPr>
              <w:ind w:left="2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7,173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0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As of December 31, 2011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590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8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State and political subdivisions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w:t>
            </w: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3"/>
          </w:tcPr>
          <w:p>
            <w:pPr>
              <w:spacing w:after="0"/>
              <w:rPr>
                <w:sz w:val="20"/>
                <w:szCs w:val="20"/>
                <w:color w:val="auto"/>
              </w:rPr>
            </w:pPr>
            <w:r>
              <w:rPr>
                <w:rFonts w:ascii="Arial" w:cs="Arial" w:eastAsia="Arial" w:hAnsi="Arial"/>
                <w:sz w:val="18"/>
                <w:szCs w:val="18"/>
                <w:color w:val="auto"/>
              </w:rPr>
              <w:t>Mortgage-backed securities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98,687</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110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22,719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121,406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42,864</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64,765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6,235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107,629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11,432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gridSpan w:val="3"/>
            <w:vMerge w:val="restart"/>
          </w:tcPr>
          <w:p>
            <w:pPr>
              <w:ind w:left="420"/>
              <w:spacing w:after="0"/>
              <w:rPr>
                <w:sz w:val="20"/>
                <w:szCs w:val="20"/>
                <w:color w:val="auto"/>
              </w:rPr>
            </w:pPr>
            <w:r>
              <w:rPr>
                <w:rFonts w:ascii="Arial" w:cs="Arial" w:eastAsia="Arial" w:hAnsi="Arial"/>
                <w:sz w:val="18"/>
                <w:szCs w:val="18"/>
                <w:color w:val="auto"/>
              </w:rPr>
              <w:t>Total unrealized loss position</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5880" w:type="dxa"/>
            <w:vAlign w:val="bottom"/>
            <w:gridSpan w:val="3"/>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141,551</w:t>
            </w:r>
          </w:p>
        </w:tc>
        <w:tc>
          <w:tcPr>
            <w:tcW w:w="30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5,307</w:t>
            </w:r>
          </w:p>
        </w:tc>
        <w:tc>
          <w:tcPr>
            <w:tcW w:w="14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87,495</w:t>
            </w: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6,271</w:t>
            </w:r>
          </w:p>
        </w:tc>
        <w:tc>
          <w:tcPr>
            <w:tcW w:w="2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229,046</w:t>
            </w:r>
          </w:p>
        </w:tc>
        <w:tc>
          <w:tcPr>
            <w:tcW w:w="140" w:type="dxa"/>
            <w:vAlign w:val="bottom"/>
            <w:gridSpan w:val="2"/>
          </w:tcPr>
          <w:p>
            <w:pPr>
              <w:ind w:left="2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11,578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0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As of September 30, 2011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590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8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State and political subdivisions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w:t>
            </w: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3"/>
          </w:tcPr>
          <w:p>
            <w:pPr>
              <w:spacing w:after="0"/>
              <w:rPr>
                <w:sz w:val="20"/>
                <w:szCs w:val="20"/>
                <w:color w:val="auto"/>
              </w:rPr>
            </w:pPr>
            <w:r>
              <w:rPr>
                <w:rFonts w:ascii="Arial" w:cs="Arial" w:eastAsia="Arial" w:hAnsi="Arial"/>
                <w:sz w:val="18"/>
                <w:szCs w:val="18"/>
                <w:color w:val="auto"/>
              </w:rPr>
              <w:t>Mortgage-backed securities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255,896</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416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255,896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44,251</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66,341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4,659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110,592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gridSpan w:val="3"/>
            <w:vMerge w:val="restart"/>
          </w:tcPr>
          <w:p>
            <w:pPr>
              <w:ind w:left="420"/>
              <w:spacing w:after="0"/>
              <w:rPr>
                <w:sz w:val="20"/>
                <w:szCs w:val="20"/>
                <w:color w:val="auto"/>
              </w:rPr>
            </w:pPr>
            <w:r>
              <w:rPr>
                <w:rFonts w:ascii="Arial" w:cs="Arial" w:eastAsia="Arial" w:hAnsi="Arial"/>
                <w:sz w:val="18"/>
                <w:szCs w:val="18"/>
                <w:color w:val="auto"/>
              </w:rPr>
              <w:t>Total unrealized loss position</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880" w:type="dxa"/>
            <w:vAlign w:val="bottom"/>
            <w:gridSpan w:val="3"/>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300,147</w:t>
            </w:r>
          </w:p>
        </w:tc>
        <w:tc>
          <w:tcPr>
            <w:tcW w:w="30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4,181</w:t>
            </w:r>
          </w:p>
        </w:tc>
        <w:tc>
          <w:tcPr>
            <w:tcW w:w="14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66,351</w:t>
            </w: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4,663</w:t>
            </w:r>
          </w:p>
        </w:tc>
        <w:tc>
          <w:tcPr>
            <w:tcW w:w="2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366,498</w:t>
            </w:r>
          </w:p>
        </w:tc>
        <w:tc>
          <w:tcPr>
            <w:tcW w:w="140" w:type="dxa"/>
            <w:vAlign w:val="bottom"/>
            <w:gridSpan w:val="2"/>
          </w:tcPr>
          <w:p>
            <w:pPr>
              <w:ind w:left="2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8,844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At September 30, 2012, there were 41 available for sale securities and no held to maturity securities that were in an unrealized loss position. United does not intend to sell nor believes it will be required to sell securities in an unrealized loss position prior to the recovery of their amortized cost basis. Unrealized losses at September 30, 2012, December 31, 2011 and September 30, 2011 were primarily attributable to changes in interest rates, however the unrealized losses in corporate bonds also reflect downgrades in the underlying securities ratings since the time of acquisition. The bonds remain above investment grade and United does not consider them to be impaired.</w:t>
      </w:r>
    </w:p>
    <w:p>
      <w:pPr>
        <w:spacing w:after="0" w:line="143"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Management evaluates securities for other-than-temporary impairment at least on a quarterly basis, and more frequently when economic or market concerns warrant such evaluation. Consideration is given to the length of time and the extent to which the fair value has been less than cost, the financial condition and near-term prospects of the issuer, among other factors. In analyzing an issuer’s financial condition, management considers whether the securities are issued by the federal government or its agencies, whether downgrades by bond rating agencies have occurred, and industry analysts’ reports. No impairment charges were recognized during the three or nine months ended September 30, 2012 or 2011.</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1"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 xml:space="preserve">The amortized cost and fair value of held to maturity and available for sale securities at September 30, 2012, by contractual maturity, are presented in the following table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80" w:type="dxa"/>
            <w:vAlign w:val="bottom"/>
            <w:gridSpan w:val="5"/>
          </w:tcPr>
          <w:p>
            <w:pPr>
              <w:jc w:val="right"/>
              <w:ind w:right="960"/>
              <w:spacing w:after="0"/>
              <w:rPr>
                <w:sz w:val="20"/>
                <w:szCs w:val="20"/>
                <w:color w:val="auto"/>
              </w:rPr>
            </w:pPr>
            <w:r>
              <w:rPr>
                <w:rFonts w:ascii="Arial" w:cs="Arial" w:eastAsia="Arial" w:hAnsi="Arial"/>
                <w:sz w:val="14"/>
                <w:szCs w:val="14"/>
                <w:b w:val="1"/>
                <w:bCs w:val="1"/>
                <w:color w:val="auto"/>
              </w:rPr>
              <w:t>Available for Sale</w:t>
            </w:r>
          </w:p>
        </w:tc>
        <w:tc>
          <w:tcPr>
            <w:tcW w:w="220" w:type="dxa"/>
            <w:vAlign w:val="bottom"/>
          </w:tcPr>
          <w:p>
            <w:pPr>
              <w:spacing w:after="0"/>
              <w:rPr>
                <w:sz w:val="14"/>
                <w:szCs w:val="14"/>
                <w:color w:val="auto"/>
              </w:rPr>
            </w:pPr>
          </w:p>
        </w:tc>
        <w:tc>
          <w:tcPr>
            <w:tcW w:w="1880" w:type="dxa"/>
            <w:vAlign w:val="bottom"/>
            <w:gridSpan w:val="5"/>
          </w:tcPr>
          <w:p>
            <w:pPr>
              <w:ind w:left="280"/>
              <w:spacing w:after="0"/>
              <w:rPr>
                <w:sz w:val="20"/>
                <w:szCs w:val="20"/>
                <w:color w:val="auto"/>
              </w:rPr>
            </w:pPr>
            <w:r>
              <w:rPr>
                <w:rFonts w:ascii="Arial" w:cs="Arial" w:eastAsia="Arial" w:hAnsi="Arial"/>
                <w:sz w:val="14"/>
                <w:szCs w:val="14"/>
                <w:b w:val="1"/>
                <w:bCs w:val="1"/>
                <w:color w:val="auto"/>
              </w:rPr>
              <w:t>Held to Maturity</w:t>
            </w:r>
          </w:p>
        </w:tc>
      </w:tr>
      <w:tr>
        <w:trPr>
          <w:trHeight w:val="142"/>
        </w:trPr>
        <w:tc>
          <w:tcPr>
            <w:tcW w:w="20" w:type="dxa"/>
            <w:vAlign w:val="bottom"/>
          </w:tcPr>
          <w:p>
            <w:pPr>
              <w:spacing w:after="0"/>
              <w:rPr>
                <w:sz w:val="12"/>
                <w:szCs w:val="12"/>
                <w:color w:val="auto"/>
              </w:rPr>
            </w:pPr>
          </w:p>
        </w:tc>
        <w:tc>
          <w:tcPr>
            <w:tcW w:w="6760" w:type="dxa"/>
            <w:vAlign w:val="bottom"/>
            <w:tcBorders>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85"/>
              </w:rPr>
              <w:t>Amortized Cost</w:t>
            </w:r>
          </w:p>
        </w:tc>
        <w:tc>
          <w:tcPr>
            <w:tcW w:w="4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Fair Value</w:t>
            </w:r>
          </w:p>
        </w:tc>
        <w:tc>
          <w:tcPr>
            <w:tcW w:w="420" w:type="dxa"/>
            <w:vAlign w:val="bottom"/>
            <w:tcBorders>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6"/>
              </w:rPr>
              <w:t>Amortized Cost</w:t>
            </w:r>
          </w:p>
        </w:tc>
        <w:tc>
          <w:tcPr>
            <w:tcW w:w="42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2"/>
              </w:rPr>
              <w:t>Fair Value</w:t>
            </w:r>
          </w:p>
        </w:tc>
        <w:tc>
          <w:tcPr>
            <w:tcW w:w="10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67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State and political subdivisions:</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420"/>
              <w:spacing w:after="0"/>
              <w:rPr>
                <w:sz w:val="20"/>
                <w:szCs w:val="20"/>
                <w:color w:val="auto"/>
              </w:rPr>
            </w:pPr>
            <w:r>
              <w:rPr>
                <w:rFonts w:ascii="Arial" w:cs="Arial" w:eastAsia="Arial" w:hAnsi="Arial"/>
                <w:sz w:val="18"/>
                <w:szCs w:val="18"/>
                <w:color w:val="auto"/>
              </w:rPr>
              <w:t>Within 1 year</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5,960</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5,969</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1 to 5 years</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15,266</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16,321</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8,589</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420"/>
              <w:spacing w:after="0"/>
              <w:rPr>
                <w:sz w:val="20"/>
                <w:szCs w:val="20"/>
                <w:color w:val="auto"/>
              </w:rPr>
            </w:pPr>
            <w:r>
              <w:rPr>
                <w:rFonts w:ascii="Arial" w:cs="Arial" w:eastAsia="Arial" w:hAnsi="Arial"/>
                <w:sz w:val="18"/>
                <w:szCs w:val="18"/>
                <w:color w:val="auto"/>
              </w:rPr>
              <w:t>5 to 10 years</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5,329</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5,656</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21,558</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24,064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More than 10 years</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932</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21,643</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24,142</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6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27,403</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28,878</w:t>
            </w: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51,790</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57,585</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420"/>
              <w:spacing w:after="0"/>
              <w:rPr>
                <w:sz w:val="20"/>
                <w:szCs w:val="20"/>
                <w:color w:val="auto"/>
              </w:rPr>
            </w:pPr>
            <w:r>
              <w:rPr>
                <w:rFonts w:ascii="Arial" w:cs="Arial" w:eastAsia="Arial" w:hAnsi="Arial"/>
                <w:sz w:val="18"/>
                <w:szCs w:val="18"/>
                <w:color w:val="auto"/>
              </w:rPr>
              <w:t>1 to 5 years</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38,002</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37,503</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5 to 10 years</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109,313</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105,349</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760" w:type="dxa"/>
            <w:vAlign w:val="bottom"/>
          </w:tcPr>
          <w:p>
            <w:pPr>
              <w:ind w:left="420"/>
              <w:spacing w:after="0"/>
              <w:rPr>
                <w:sz w:val="20"/>
                <w:szCs w:val="20"/>
                <w:color w:val="auto"/>
              </w:rPr>
            </w:pPr>
            <w:r>
              <w:rPr>
                <w:rFonts w:ascii="Arial" w:cs="Arial" w:eastAsia="Arial" w:hAnsi="Arial"/>
                <w:sz w:val="18"/>
                <w:szCs w:val="18"/>
                <w:color w:val="auto"/>
              </w:rPr>
              <w:t>More than 10 years</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1,000</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300</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67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148,315</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143,152</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r>
      <w:tr>
        <w:trPr>
          <w:trHeight w:val="222"/>
        </w:trPr>
        <w:tc>
          <w:tcPr>
            <w:tcW w:w="6780" w:type="dxa"/>
            <w:vAlign w:val="bottom"/>
            <w:gridSpan w:val="2"/>
          </w:tcPr>
          <w:p>
            <w:pPr>
              <w:spacing w:after="0"/>
              <w:rPr>
                <w:sz w:val="20"/>
                <w:szCs w:val="20"/>
                <w:color w:val="auto"/>
              </w:rPr>
            </w:pPr>
            <w:r>
              <w:rPr>
                <w:rFonts w:ascii="Arial" w:cs="Arial" w:eastAsia="Arial" w:hAnsi="Arial"/>
                <w:sz w:val="18"/>
                <w:szCs w:val="18"/>
                <w:color w:val="auto"/>
              </w:rPr>
              <w:t>Asset-backed securities</w:t>
            </w:r>
          </w:p>
        </w:tc>
        <w:tc>
          <w:tcPr>
            <w:tcW w:w="1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6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1 to 5 years</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61,429</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61,108</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760" w:type="dxa"/>
            <w:vAlign w:val="bottom"/>
          </w:tcPr>
          <w:p>
            <w:pPr>
              <w:ind w:left="420"/>
              <w:spacing w:after="0"/>
              <w:rPr>
                <w:sz w:val="20"/>
                <w:szCs w:val="20"/>
                <w:color w:val="auto"/>
              </w:rPr>
            </w:pPr>
            <w:r>
              <w:rPr>
                <w:rFonts w:ascii="Arial" w:cs="Arial" w:eastAsia="Arial" w:hAnsi="Arial"/>
                <w:sz w:val="18"/>
                <w:szCs w:val="18"/>
                <w:color w:val="auto"/>
              </w:rPr>
              <w:t>5 to 10 years</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134,885</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135,212</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More than 10 years</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8,208</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8,109</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6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204,522</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204,429</w:t>
            </w:r>
          </w:p>
        </w:tc>
        <w:tc>
          <w:tcPr>
            <w:tcW w:w="220" w:type="dxa"/>
            <w:vAlign w:val="bottom"/>
          </w:tcPr>
          <w:p>
            <w:pPr>
              <w:spacing w:after="0"/>
              <w:rPr>
                <w:sz w:val="20"/>
                <w:szCs w:val="20"/>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420"/>
              <w:spacing w:after="0"/>
              <w:rPr>
                <w:sz w:val="20"/>
                <w:szCs w:val="20"/>
                <w:color w:val="auto"/>
              </w:rPr>
            </w:pPr>
            <w:r>
              <w:rPr>
                <w:rFonts w:ascii="Arial" w:cs="Arial" w:eastAsia="Arial" w:hAnsi="Arial"/>
                <w:sz w:val="18"/>
                <w:szCs w:val="18"/>
                <w:color w:val="auto"/>
              </w:rPr>
              <w:t>More than 10 years</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2,595</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2,595</w:t>
            </w:r>
          </w:p>
        </w:tc>
        <w:tc>
          <w:tcPr>
            <w:tcW w:w="2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67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2,595</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2,595</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r>
      <w:tr>
        <w:trPr>
          <w:trHeight w:val="222"/>
        </w:trPr>
        <w:tc>
          <w:tcPr>
            <w:tcW w:w="6780" w:type="dxa"/>
            <w:vAlign w:val="bottom"/>
            <w:gridSpan w:val="2"/>
          </w:tcPr>
          <w:p>
            <w:pPr>
              <w:spacing w:after="0"/>
              <w:rPr>
                <w:sz w:val="20"/>
                <w:szCs w:val="20"/>
                <w:color w:val="auto"/>
              </w:rPr>
            </w:pPr>
            <w:r>
              <w:rPr>
                <w:rFonts w:ascii="Arial" w:cs="Arial" w:eastAsia="Arial" w:hAnsi="Arial"/>
                <w:sz w:val="18"/>
                <w:szCs w:val="18"/>
                <w:color w:val="auto"/>
              </w:rPr>
              <w:t>Total securities other than mortgage-backed securities:</w:t>
            </w:r>
          </w:p>
        </w:tc>
        <w:tc>
          <w:tcPr>
            <w:tcW w:w="1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6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Within 1 year</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5,960</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5,969</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760" w:type="dxa"/>
            <w:vAlign w:val="bottom"/>
          </w:tcPr>
          <w:p>
            <w:pPr>
              <w:ind w:left="420"/>
              <w:spacing w:after="0"/>
              <w:rPr>
                <w:sz w:val="20"/>
                <w:szCs w:val="20"/>
                <w:color w:val="auto"/>
              </w:rPr>
            </w:pPr>
            <w:r>
              <w:rPr>
                <w:rFonts w:ascii="Arial" w:cs="Arial" w:eastAsia="Arial" w:hAnsi="Arial"/>
                <w:sz w:val="18"/>
                <w:szCs w:val="18"/>
                <w:color w:val="auto"/>
              </w:rPr>
              <w:t>1 to 5 years</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114,697</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114,932</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8,589</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9,379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5 to 10 years</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249,527</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246,217</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21,558</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24,064</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420"/>
              <w:spacing w:after="0"/>
              <w:rPr>
                <w:sz w:val="20"/>
                <w:szCs w:val="20"/>
                <w:color w:val="auto"/>
              </w:rPr>
            </w:pPr>
            <w:r>
              <w:rPr>
                <w:rFonts w:ascii="Arial" w:cs="Arial" w:eastAsia="Arial" w:hAnsi="Arial"/>
                <w:sz w:val="18"/>
                <w:szCs w:val="18"/>
                <w:color w:val="auto"/>
              </w:rPr>
              <w:t>More than 10 years</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12,651</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11,936</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21,643</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24,142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1,356,002</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4"/>
              </w:rPr>
              <w:t>1,382,940</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210,858</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223,751</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76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1,738,837</w:t>
            </w:r>
          </w:p>
        </w:tc>
        <w:tc>
          <w:tcPr>
            <w:tcW w:w="5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w w:val="84"/>
              </w:rPr>
              <w:t>1,761,994</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262,648</w:t>
            </w:r>
          </w:p>
        </w:tc>
        <w:tc>
          <w:tcPr>
            <w:tcW w:w="5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281,336</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Expected maturities may differ from contractual maturities because issuers and borrowers may have the right to call or prepay obligations with or without call or prepayment penalties.</w:t>
      </w:r>
    </w:p>
    <w:p>
      <w:pPr>
        <w:spacing w:after="0" w:line="132"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Effective July 1, 2012, United changed the time period over which it amortizes premiums on pass through mortgage backed securities. Previously, United amortized premiums over the average life of the securities which resulted in the recognition of greater amortization charges in the early years of the bond’s life. The effect on amortization of management’s recent strategy of purchasing high premium securities to protect net interest revenue in the event of rising interest rates led management to the decision to change the amortization period. Effective July 1, 2012, United began amortizing premiums on these securities to the final payment window date as published by Bloomberg. Management believes that the premium amortization charges resulting from amortizing to the final payment window date, together with the related premium amortization on principal pay-downs, more closely approach the level yield amortization required by GAAP, particularly as it relates to these securities. The change in accounting estimate increased interest revenue on investment securities in the third quarter by approximately $2 million and earnings per share by $.03.</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Loans and Allowance for Loan Losses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Major classifications of loans as of September 30, 2012, December 31, 2011 and September 30, 2011, are summarized as follows </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pacing w:after="0" w:line="21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114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83"/>
              </w:rPr>
              <w:t>September 30,</w:t>
            </w:r>
          </w:p>
        </w:tc>
        <w:tc>
          <w:tcPr>
            <w:tcW w:w="136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December 31,</w:t>
            </w:r>
          </w:p>
        </w:tc>
        <w:tc>
          <w:tcPr>
            <w:tcW w:w="120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61"/>
        </w:trPr>
        <w:tc>
          <w:tcPr>
            <w:tcW w:w="4980" w:type="dxa"/>
            <w:vAlign w:val="bottom"/>
          </w:tcPr>
          <w:p>
            <w:pPr>
              <w:spacing w:after="0"/>
              <w:rPr>
                <w:sz w:val="14"/>
                <w:szCs w:val="14"/>
                <w:color w:val="auto"/>
              </w:rPr>
            </w:pPr>
          </w:p>
        </w:tc>
        <w:tc>
          <w:tcPr>
            <w:tcW w:w="840" w:type="dxa"/>
            <w:vAlign w:val="bottom"/>
            <w:gridSpan w:val="2"/>
          </w:tcPr>
          <w:p>
            <w:pPr>
              <w:jc w:val="right"/>
              <w:ind w:right="212"/>
              <w:spacing w:after="0"/>
              <w:rPr>
                <w:sz w:val="20"/>
                <w:szCs w:val="20"/>
                <w:color w:val="auto"/>
              </w:rPr>
            </w:pPr>
            <w:r>
              <w:rPr>
                <w:rFonts w:ascii="Arial" w:cs="Arial" w:eastAsia="Arial" w:hAnsi="Arial"/>
                <w:sz w:val="14"/>
                <w:szCs w:val="14"/>
                <w:b w:val="1"/>
                <w:bCs w:val="1"/>
                <w:color w:val="auto"/>
              </w:rPr>
              <w:t>2012</w:t>
            </w:r>
          </w:p>
        </w:tc>
        <w:tc>
          <w:tcPr>
            <w:tcW w:w="300" w:type="dxa"/>
            <w:vAlign w:val="bottom"/>
          </w:tcPr>
          <w:p>
            <w:pPr>
              <w:spacing w:after="0"/>
              <w:rPr>
                <w:sz w:val="14"/>
                <w:szCs w:val="14"/>
                <w:color w:val="auto"/>
              </w:rPr>
            </w:pPr>
          </w:p>
        </w:tc>
        <w:tc>
          <w:tcPr>
            <w:tcW w:w="1060" w:type="dxa"/>
            <w:vAlign w:val="bottom"/>
            <w:gridSpan w:val="2"/>
          </w:tcPr>
          <w:p>
            <w:pPr>
              <w:jc w:val="right"/>
              <w:ind w:right="192"/>
              <w:spacing w:after="0"/>
              <w:rPr>
                <w:sz w:val="20"/>
                <w:szCs w:val="20"/>
                <w:color w:val="auto"/>
              </w:rPr>
            </w:pPr>
            <w:r>
              <w:rPr>
                <w:rFonts w:ascii="Arial" w:cs="Arial" w:eastAsia="Arial" w:hAnsi="Arial"/>
                <w:sz w:val="14"/>
                <w:szCs w:val="14"/>
                <w:b w:val="1"/>
                <w:bCs w:val="1"/>
                <w:color w:val="auto"/>
              </w:rPr>
              <w:t>2011</w:t>
            </w:r>
          </w:p>
        </w:tc>
        <w:tc>
          <w:tcPr>
            <w:tcW w:w="300" w:type="dxa"/>
            <w:vAlign w:val="bottom"/>
          </w:tcPr>
          <w:p>
            <w:pPr>
              <w:spacing w:after="0"/>
              <w:rPr>
                <w:sz w:val="14"/>
                <w:szCs w:val="14"/>
                <w:color w:val="auto"/>
              </w:rPr>
            </w:pPr>
          </w:p>
        </w:tc>
        <w:tc>
          <w:tcPr>
            <w:tcW w:w="1080" w:type="dxa"/>
            <w:vAlign w:val="bottom"/>
            <w:gridSpan w:val="2"/>
          </w:tcPr>
          <w:p>
            <w:pPr>
              <w:jc w:val="right"/>
              <w:ind w:right="192"/>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9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Commercial (secured by real estate)</w:t>
            </w:r>
          </w:p>
        </w:tc>
        <w:tc>
          <w:tcPr>
            <w:tcW w:w="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1"/>
              </w:rPr>
              <w:t>$ 1,819,155</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$1,821,414</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$ 1,771,101</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Commercial &amp; industrial</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459,997</w:t>
            </w:r>
          </w:p>
        </w:tc>
        <w:tc>
          <w:tcPr>
            <w:tcW w:w="3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428,249</w:t>
            </w:r>
          </w:p>
        </w:tc>
        <w:tc>
          <w:tcPr>
            <w:tcW w:w="3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429,043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Commercial construction</w:t>
            </w:r>
          </w:p>
        </w:tc>
        <w:tc>
          <w:tcPr>
            <w:tcW w:w="2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160,765</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164,155</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168,531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980" w:type="dxa"/>
            <w:vAlign w:val="bottom"/>
          </w:tcPr>
          <w:p>
            <w:pPr>
              <w:ind w:left="440"/>
              <w:spacing w:after="0"/>
              <w:rPr>
                <w:sz w:val="20"/>
                <w:szCs w:val="20"/>
                <w:color w:val="auto"/>
              </w:rPr>
            </w:pPr>
            <w:r>
              <w:rPr>
                <w:rFonts w:ascii="Arial" w:cs="Arial" w:eastAsia="Arial" w:hAnsi="Arial"/>
                <w:sz w:val="18"/>
                <w:szCs w:val="18"/>
                <w:color w:val="auto"/>
              </w:rPr>
              <w:t>Total commercial</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w w:val="99"/>
              </w:rPr>
              <w:t>2,439,917</w:t>
            </w:r>
          </w:p>
        </w:tc>
        <w:tc>
          <w:tcPr>
            <w:tcW w:w="30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2,413,818</w:t>
            </w:r>
          </w:p>
        </w:tc>
        <w:tc>
          <w:tcPr>
            <w:tcW w:w="30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2,368,675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1,174,236</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1,134,902</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1,149,678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Residential construction</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388,742</w:t>
            </w:r>
          </w:p>
        </w:tc>
        <w:tc>
          <w:tcPr>
            <w:tcW w:w="3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448,391</w:t>
            </w:r>
          </w:p>
        </w:tc>
        <w:tc>
          <w:tcPr>
            <w:tcW w:w="3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474,552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Consumer installment</w:t>
            </w:r>
          </w:p>
        </w:tc>
        <w:tc>
          <w:tcPr>
            <w:tcW w:w="2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134,950</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112,503</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116,970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980" w:type="dxa"/>
            <w:vAlign w:val="bottom"/>
          </w:tcPr>
          <w:p>
            <w:pPr>
              <w:ind w:left="440"/>
              <w:spacing w:after="0"/>
              <w:rPr>
                <w:sz w:val="20"/>
                <w:szCs w:val="20"/>
                <w:color w:val="auto"/>
              </w:rPr>
            </w:pPr>
            <w:r>
              <w:rPr>
                <w:rFonts w:ascii="Arial" w:cs="Arial" w:eastAsia="Arial" w:hAnsi="Arial"/>
                <w:sz w:val="18"/>
                <w:szCs w:val="18"/>
                <w:color w:val="auto"/>
              </w:rPr>
              <w:t>Total loans</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w w:val="99"/>
              </w:rPr>
              <w:t>4,137,845</w:t>
            </w:r>
          </w:p>
        </w:tc>
        <w:tc>
          <w:tcPr>
            <w:tcW w:w="30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4,109,614</w:t>
            </w:r>
          </w:p>
        </w:tc>
        <w:tc>
          <w:tcPr>
            <w:tcW w:w="30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4,109,875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Less allowance for loan losses</w:t>
            </w:r>
          </w:p>
        </w:tc>
        <w:tc>
          <w:tcPr>
            <w:tcW w:w="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(107,642)</w:t>
            </w:r>
          </w:p>
        </w:tc>
        <w:tc>
          <w:tcPr>
            <w:tcW w:w="13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(114,468)</w:t>
            </w:r>
          </w:p>
        </w:tc>
        <w:tc>
          <w:tcPr>
            <w:tcW w:w="12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(146,092)</w:t>
            </w:r>
          </w:p>
        </w:tc>
        <w:tc>
          <w:tcPr>
            <w:tcW w:w="0" w:type="dxa"/>
            <w:vAlign w:val="bottom"/>
          </w:tcPr>
          <w:p>
            <w:pPr>
              <w:spacing w:after="0"/>
              <w:rPr>
                <w:sz w:val="1"/>
                <w:szCs w:val="1"/>
                <w:color w:val="auto"/>
              </w:rPr>
            </w:pPr>
          </w:p>
        </w:tc>
      </w:tr>
      <w:tr>
        <w:trPr>
          <w:trHeight w:val="20"/>
        </w:trPr>
        <w:tc>
          <w:tcPr>
            <w:tcW w:w="4980" w:type="dxa"/>
            <w:vAlign w:val="bottom"/>
            <w:vMerge w:val="restart"/>
          </w:tcPr>
          <w:p>
            <w:pPr>
              <w:ind w:left="440"/>
              <w:spacing w:after="0"/>
              <w:rPr>
                <w:sz w:val="20"/>
                <w:szCs w:val="20"/>
                <w:color w:val="auto"/>
              </w:rPr>
            </w:pPr>
            <w:r>
              <w:rPr>
                <w:rFonts w:ascii="Arial" w:cs="Arial" w:eastAsia="Arial" w:hAnsi="Arial"/>
                <w:sz w:val="18"/>
                <w:szCs w:val="18"/>
                <w:color w:val="auto"/>
              </w:rPr>
              <w:t>Loans, net</w:t>
            </w:r>
          </w:p>
        </w:tc>
        <w:tc>
          <w:tcPr>
            <w:tcW w:w="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980" w:type="dxa"/>
            <w:vAlign w:val="bottom"/>
            <w:vMerge w:val="continue"/>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w w:val="84"/>
              </w:rPr>
              <w:t>$ 4,030,203</w:t>
            </w:r>
          </w:p>
        </w:tc>
        <w:tc>
          <w:tcPr>
            <w:tcW w:w="30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3,995,146</w:t>
            </w:r>
          </w:p>
        </w:tc>
        <w:tc>
          <w:tcPr>
            <w:tcW w:w="30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$ 3,963,783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Bank makes loans and extensions of credit to individuals and a variety of firms and corporations located primarily in counties in north Georgia, the Atlanta, Georgia metropolitan statistical area, the Gainesville, Georgia metropolitan statistical area, coastal Georgia, western North Carolina and east Tennessee. Although the Bank has a diversified loan portfolio, a substantial portion of its loan portfolio is collateralized by improved and unimproved real estate and is dependent upon the real estate market.</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Changes in the allowance for loan losses for the three and nine months ended September 30, 2012 and 2011 are summarized as follows </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pacing w:after="0" w:line="21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740" w:type="dxa"/>
            <w:vAlign w:val="bottom"/>
            <w:gridSpan w:val="3"/>
          </w:tcPr>
          <w:p>
            <w:pPr>
              <w:jc w:val="right"/>
              <w:ind w:right="173"/>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4"/>
                <w:szCs w:val="14"/>
                <w:color w:val="auto"/>
              </w:rPr>
            </w:pPr>
          </w:p>
        </w:tc>
        <w:tc>
          <w:tcPr>
            <w:tcW w:w="184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8"/>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740" w:type="dxa"/>
            <w:vAlign w:val="bottom"/>
            <w:gridSpan w:val="3"/>
          </w:tcPr>
          <w:p>
            <w:pPr>
              <w:jc w:val="right"/>
              <w:ind w:right="373"/>
              <w:spacing w:after="0"/>
              <w:rPr>
                <w:sz w:val="20"/>
                <w:szCs w:val="20"/>
                <w:color w:val="auto"/>
              </w:rPr>
            </w:pPr>
            <w:r>
              <w:rPr>
                <w:rFonts w:ascii="Arial" w:cs="Arial" w:eastAsia="Arial" w:hAnsi="Arial"/>
                <w:sz w:val="14"/>
                <w:szCs w:val="14"/>
                <w:b w:val="1"/>
                <w:bCs w:val="1"/>
                <w:color w:val="auto"/>
              </w:rPr>
              <w:t>September 30,</w:t>
            </w:r>
          </w:p>
        </w:tc>
        <w:tc>
          <w:tcPr>
            <w:tcW w:w="380" w:type="dxa"/>
            <w:vAlign w:val="bottom"/>
          </w:tcPr>
          <w:p>
            <w:pPr>
              <w:spacing w:after="0"/>
              <w:rPr>
                <w:sz w:val="14"/>
                <w:szCs w:val="14"/>
                <w:color w:val="auto"/>
              </w:rPr>
            </w:pPr>
          </w:p>
        </w:tc>
        <w:tc>
          <w:tcPr>
            <w:tcW w:w="184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60" w:type="dxa"/>
            <w:vAlign w:val="bottom"/>
            <w:tcBorders>
              <w:bottom w:val="single" w:sz="8" w:color="CCEEFF"/>
            </w:tcBorders>
          </w:tcPr>
          <w:p>
            <w:pPr>
              <w:spacing w:after="0"/>
              <w:rPr>
                <w:sz w:val="12"/>
                <w:szCs w:val="12"/>
                <w:color w:val="auto"/>
              </w:rPr>
            </w:pPr>
          </w:p>
        </w:tc>
        <w:tc>
          <w:tcPr>
            <w:tcW w:w="246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2012</w:t>
            </w:r>
          </w:p>
        </w:tc>
        <w:tc>
          <w:tcPr>
            <w:tcW w:w="400" w:type="dxa"/>
            <w:vAlign w:val="bottom"/>
            <w:tcBorders>
              <w:top w:val="single" w:sz="8" w:color="auto"/>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2011</w:t>
            </w:r>
          </w:p>
        </w:tc>
        <w:tc>
          <w:tcPr>
            <w:tcW w:w="38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27"/>
              <w:spacing w:after="0" w:line="142" w:lineRule="exact"/>
              <w:rPr>
                <w:sz w:val="20"/>
                <w:szCs w:val="20"/>
                <w:color w:val="auto"/>
              </w:rPr>
            </w:pPr>
            <w:r>
              <w:rPr>
                <w:rFonts w:ascii="Arial" w:cs="Arial" w:eastAsia="Arial" w:hAnsi="Arial"/>
                <w:sz w:val="14"/>
                <w:szCs w:val="14"/>
                <w:b w:val="1"/>
                <w:bCs w:val="1"/>
                <w:color w:val="auto"/>
              </w:rPr>
              <w:t>2012</w:t>
            </w:r>
          </w:p>
        </w:tc>
        <w:tc>
          <w:tcPr>
            <w:tcW w:w="40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beginning of period</w:t>
            </w:r>
          </w:p>
        </w:tc>
        <w:tc>
          <w:tcPr>
            <w:tcW w:w="24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$ 112,705</w:t>
            </w: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$127,638</w:t>
            </w: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$ 114,468</w:t>
            </w: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$174,695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3520" w:type="dxa"/>
            <w:vAlign w:val="bottom"/>
            <w:gridSpan w:val="3"/>
          </w:tcPr>
          <w:p>
            <w:pPr>
              <w:jc w:val="right"/>
              <w:ind w:right="400"/>
              <w:spacing w:after="0"/>
              <w:rPr>
                <w:sz w:val="20"/>
                <w:szCs w:val="20"/>
                <w:color w:val="auto"/>
              </w:rPr>
            </w:pPr>
            <w:r>
              <w:rPr>
                <w:rFonts w:ascii="Arial" w:cs="Arial" w:eastAsia="Arial" w:hAnsi="Arial"/>
                <w:sz w:val="18"/>
                <w:szCs w:val="18"/>
                <w:color w:val="auto"/>
              </w:rPr>
              <w:t>15,500</w:t>
            </w:r>
          </w:p>
        </w:tc>
        <w:tc>
          <w:tcPr>
            <w:tcW w:w="680" w:type="dxa"/>
            <w:vAlign w:val="bottom"/>
          </w:tcPr>
          <w:p>
            <w:pPr>
              <w:jc w:val="right"/>
              <w:spacing w:after="0"/>
              <w:rPr>
                <w:sz w:val="20"/>
                <w:szCs w:val="20"/>
                <w:color w:val="auto"/>
              </w:rPr>
            </w:pPr>
            <w:r>
              <w:rPr>
                <w:rFonts w:ascii="Arial" w:cs="Arial" w:eastAsia="Arial" w:hAnsi="Arial"/>
                <w:sz w:val="18"/>
                <w:szCs w:val="18"/>
                <w:color w:val="auto"/>
              </w:rPr>
              <w:t>36,000</w:t>
            </w:r>
          </w:p>
        </w:tc>
        <w:tc>
          <w:tcPr>
            <w:tcW w:w="1460" w:type="dxa"/>
            <w:vAlign w:val="bottom"/>
            <w:gridSpan w:val="3"/>
          </w:tcPr>
          <w:p>
            <w:pPr>
              <w:jc w:val="right"/>
              <w:ind w:right="400"/>
              <w:spacing w:after="0"/>
              <w:rPr>
                <w:sz w:val="20"/>
                <w:szCs w:val="20"/>
                <w:color w:val="auto"/>
              </w:rPr>
            </w:pPr>
            <w:r>
              <w:rPr>
                <w:rFonts w:ascii="Arial" w:cs="Arial" w:eastAsia="Arial" w:hAnsi="Arial"/>
                <w:sz w:val="18"/>
                <w:szCs w:val="18"/>
                <w:color w:val="auto"/>
              </w:rPr>
              <w:t>48,500</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237,000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Charge-offs:</w:t>
            </w:r>
          </w:p>
        </w:tc>
        <w:tc>
          <w:tcPr>
            <w:tcW w:w="2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420"/>
              <w:spacing w:after="0"/>
              <w:rPr>
                <w:sz w:val="20"/>
                <w:szCs w:val="20"/>
                <w:color w:val="auto"/>
              </w:rPr>
            </w:pPr>
            <w:r>
              <w:rPr>
                <w:rFonts w:ascii="Arial" w:cs="Arial" w:eastAsia="Arial" w:hAnsi="Arial"/>
                <w:sz w:val="18"/>
                <w:szCs w:val="18"/>
                <w:color w:val="auto"/>
              </w:rPr>
              <w:t>Commercial (secured by real estate)</w:t>
            </w:r>
          </w:p>
        </w:tc>
        <w:tc>
          <w:tcPr>
            <w:tcW w:w="3520" w:type="dxa"/>
            <w:vAlign w:val="bottom"/>
            <w:gridSpan w:val="3"/>
          </w:tcPr>
          <w:p>
            <w:pPr>
              <w:jc w:val="right"/>
              <w:ind w:right="400"/>
              <w:spacing w:after="0"/>
              <w:rPr>
                <w:sz w:val="20"/>
                <w:szCs w:val="20"/>
                <w:color w:val="auto"/>
              </w:rPr>
            </w:pPr>
            <w:r>
              <w:rPr>
                <w:rFonts w:ascii="Arial" w:cs="Arial" w:eastAsia="Arial" w:hAnsi="Arial"/>
                <w:sz w:val="18"/>
                <w:szCs w:val="18"/>
                <w:color w:val="auto"/>
              </w:rPr>
              <w:t>8,445</w:t>
            </w:r>
          </w:p>
        </w:tc>
        <w:tc>
          <w:tcPr>
            <w:tcW w:w="680" w:type="dxa"/>
            <w:vAlign w:val="bottom"/>
          </w:tcPr>
          <w:p>
            <w:pPr>
              <w:jc w:val="right"/>
              <w:spacing w:after="0"/>
              <w:rPr>
                <w:sz w:val="20"/>
                <w:szCs w:val="20"/>
                <w:color w:val="auto"/>
              </w:rPr>
            </w:pPr>
            <w:r>
              <w:rPr>
                <w:rFonts w:ascii="Arial" w:cs="Arial" w:eastAsia="Arial" w:hAnsi="Arial"/>
                <w:sz w:val="18"/>
                <w:szCs w:val="18"/>
                <w:color w:val="auto"/>
              </w:rPr>
              <w:t>2,270</w:t>
            </w:r>
          </w:p>
        </w:tc>
        <w:tc>
          <w:tcPr>
            <w:tcW w:w="1460" w:type="dxa"/>
            <w:vAlign w:val="bottom"/>
            <w:gridSpan w:val="3"/>
          </w:tcPr>
          <w:p>
            <w:pPr>
              <w:jc w:val="right"/>
              <w:ind w:right="400"/>
              <w:spacing w:after="0"/>
              <w:rPr>
                <w:sz w:val="20"/>
                <w:szCs w:val="20"/>
                <w:color w:val="auto"/>
              </w:rPr>
            </w:pPr>
            <w:r>
              <w:rPr>
                <w:rFonts w:ascii="Arial" w:cs="Arial" w:eastAsia="Arial" w:hAnsi="Arial"/>
                <w:sz w:val="18"/>
                <w:szCs w:val="18"/>
                <w:color w:val="auto"/>
              </w:rPr>
              <w:t>16,791</w:t>
            </w:r>
          </w:p>
        </w:tc>
        <w:tc>
          <w:tcPr>
            <w:tcW w:w="660" w:type="dxa"/>
            <w:vAlign w:val="bottom"/>
          </w:tcPr>
          <w:p>
            <w:pPr>
              <w:jc w:val="right"/>
              <w:spacing w:after="0"/>
              <w:rPr>
                <w:sz w:val="20"/>
                <w:szCs w:val="20"/>
                <w:color w:val="auto"/>
              </w:rPr>
            </w:pPr>
            <w:r>
              <w:rPr>
                <w:rFonts w:ascii="Arial" w:cs="Arial" w:eastAsia="Arial" w:hAnsi="Arial"/>
                <w:sz w:val="18"/>
                <w:szCs w:val="18"/>
                <w:color w:val="auto"/>
              </w:rPr>
              <w:t>54,410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Commercial &amp; industrial</w:t>
            </w:r>
          </w:p>
        </w:tc>
        <w:tc>
          <w:tcPr>
            <w:tcW w:w="35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343</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14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1,987</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420"/>
              <w:spacing w:after="0"/>
              <w:rPr>
                <w:sz w:val="20"/>
                <w:szCs w:val="20"/>
                <w:color w:val="auto"/>
              </w:rPr>
            </w:pPr>
            <w:r>
              <w:rPr>
                <w:rFonts w:ascii="Arial" w:cs="Arial" w:eastAsia="Arial" w:hAnsi="Arial"/>
                <w:sz w:val="18"/>
                <w:szCs w:val="18"/>
                <w:color w:val="auto"/>
              </w:rPr>
              <w:t>Commercial construction</w:t>
            </w:r>
          </w:p>
        </w:tc>
        <w:tc>
          <w:tcPr>
            <w:tcW w:w="3520" w:type="dxa"/>
            <w:vAlign w:val="bottom"/>
            <w:gridSpan w:val="3"/>
          </w:tcPr>
          <w:p>
            <w:pPr>
              <w:jc w:val="right"/>
              <w:ind w:right="400"/>
              <w:spacing w:after="0"/>
              <w:rPr>
                <w:sz w:val="20"/>
                <w:szCs w:val="20"/>
                <w:color w:val="auto"/>
              </w:rPr>
            </w:pPr>
            <w:r>
              <w:rPr>
                <w:rFonts w:ascii="Arial" w:cs="Arial" w:eastAsia="Arial" w:hAnsi="Arial"/>
                <w:sz w:val="18"/>
                <w:szCs w:val="18"/>
                <w:color w:val="auto"/>
              </w:rPr>
              <w:t>3,198</w:t>
            </w:r>
          </w:p>
        </w:tc>
        <w:tc>
          <w:tcPr>
            <w:tcW w:w="680" w:type="dxa"/>
            <w:vAlign w:val="bottom"/>
          </w:tcPr>
          <w:p>
            <w:pPr>
              <w:jc w:val="right"/>
              <w:spacing w:after="0"/>
              <w:rPr>
                <w:sz w:val="20"/>
                <w:szCs w:val="20"/>
                <w:color w:val="auto"/>
              </w:rPr>
            </w:pPr>
            <w:r>
              <w:rPr>
                <w:rFonts w:ascii="Arial" w:cs="Arial" w:eastAsia="Arial" w:hAnsi="Arial"/>
                <w:sz w:val="18"/>
                <w:szCs w:val="18"/>
                <w:color w:val="auto"/>
              </w:rPr>
              <w:t>1,705</w:t>
            </w:r>
          </w:p>
        </w:tc>
        <w:tc>
          <w:tcPr>
            <w:tcW w:w="1460" w:type="dxa"/>
            <w:vAlign w:val="bottom"/>
            <w:gridSpan w:val="3"/>
          </w:tcPr>
          <w:p>
            <w:pPr>
              <w:jc w:val="right"/>
              <w:ind w:right="400"/>
              <w:spacing w:after="0"/>
              <w:rPr>
                <w:sz w:val="20"/>
                <w:szCs w:val="20"/>
                <w:color w:val="auto"/>
              </w:rPr>
            </w:pPr>
            <w:r>
              <w:rPr>
                <w:rFonts w:ascii="Arial" w:cs="Arial" w:eastAsia="Arial" w:hAnsi="Arial"/>
                <w:sz w:val="18"/>
                <w:szCs w:val="18"/>
                <w:color w:val="auto"/>
              </w:rPr>
              <w:t>3,650</w:t>
            </w:r>
          </w:p>
        </w:tc>
        <w:tc>
          <w:tcPr>
            <w:tcW w:w="660" w:type="dxa"/>
            <w:vAlign w:val="bottom"/>
          </w:tcPr>
          <w:p>
            <w:pPr>
              <w:jc w:val="right"/>
              <w:spacing w:after="0"/>
              <w:rPr>
                <w:sz w:val="20"/>
                <w:szCs w:val="20"/>
                <w:color w:val="auto"/>
              </w:rPr>
            </w:pPr>
            <w:r>
              <w:rPr>
                <w:rFonts w:ascii="Arial" w:cs="Arial" w:eastAsia="Arial" w:hAnsi="Arial"/>
                <w:sz w:val="18"/>
                <w:szCs w:val="18"/>
                <w:color w:val="auto"/>
              </w:rPr>
              <w:t>52,400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Residential mortgage</w:t>
            </w:r>
          </w:p>
        </w:tc>
        <w:tc>
          <w:tcPr>
            <w:tcW w:w="35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3,575</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6,399</w:t>
            </w:r>
          </w:p>
        </w:tc>
        <w:tc>
          <w:tcPr>
            <w:tcW w:w="14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13,356</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420"/>
              <w:spacing w:after="0"/>
              <w:rPr>
                <w:sz w:val="20"/>
                <w:szCs w:val="20"/>
                <w:color w:val="auto"/>
              </w:rPr>
            </w:pPr>
            <w:r>
              <w:rPr>
                <w:rFonts w:ascii="Arial" w:cs="Arial" w:eastAsia="Arial" w:hAnsi="Arial"/>
                <w:sz w:val="18"/>
                <w:szCs w:val="18"/>
                <w:color w:val="auto"/>
              </w:rPr>
              <w:t>Residential construction</w:t>
            </w:r>
          </w:p>
        </w:tc>
        <w:tc>
          <w:tcPr>
            <w:tcW w:w="3520" w:type="dxa"/>
            <w:vAlign w:val="bottom"/>
            <w:gridSpan w:val="3"/>
          </w:tcPr>
          <w:p>
            <w:pPr>
              <w:jc w:val="right"/>
              <w:ind w:right="400"/>
              <w:spacing w:after="0"/>
              <w:rPr>
                <w:sz w:val="20"/>
                <w:szCs w:val="20"/>
                <w:color w:val="auto"/>
              </w:rPr>
            </w:pPr>
            <w:r>
              <w:rPr>
                <w:rFonts w:ascii="Arial" w:cs="Arial" w:eastAsia="Arial" w:hAnsi="Arial"/>
                <w:sz w:val="18"/>
                <w:szCs w:val="18"/>
                <w:color w:val="auto"/>
              </w:rPr>
              <w:t>6,231</w:t>
            </w:r>
          </w:p>
        </w:tc>
        <w:tc>
          <w:tcPr>
            <w:tcW w:w="680" w:type="dxa"/>
            <w:vAlign w:val="bottom"/>
          </w:tcPr>
          <w:p>
            <w:pPr>
              <w:jc w:val="right"/>
              <w:spacing w:after="0"/>
              <w:rPr>
                <w:sz w:val="20"/>
                <w:szCs w:val="20"/>
                <w:color w:val="auto"/>
              </w:rPr>
            </w:pPr>
            <w:r>
              <w:rPr>
                <w:rFonts w:ascii="Arial" w:cs="Arial" w:eastAsia="Arial" w:hAnsi="Arial"/>
                <w:sz w:val="18"/>
                <w:szCs w:val="18"/>
                <w:color w:val="auto"/>
              </w:rPr>
              <w:t>7,668</w:t>
            </w:r>
          </w:p>
        </w:tc>
        <w:tc>
          <w:tcPr>
            <w:tcW w:w="1460" w:type="dxa"/>
            <w:vAlign w:val="bottom"/>
            <w:gridSpan w:val="3"/>
          </w:tcPr>
          <w:p>
            <w:pPr>
              <w:jc w:val="right"/>
              <w:ind w:right="400"/>
              <w:spacing w:after="0"/>
              <w:rPr>
                <w:sz w:val="20"/>
                <w:szCs w:val="20"/>
                <w:color w:val="auto"/>
              </w:rPr>
            </w:pPr>
            <w:r>
              <w:rPr>
                <w:rFonts w:ascii="Arial" w:cs="Arial" w:eastAsia="Arial" w:hAnsi="Arial"/>
                <w:sz w:val="18"/>
                <w:szCs w:val="18"/>
                <w:color w:val="auto"/>
              </w:rPr>
              <w:t>21,706</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106,692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Consumer installment</w:t>
            </w:r>
          </w:p>
        </w:tc>
        <w:tc>
          <w:tcPr>
            <w:tcW w:w="24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442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14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1,603</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vMerge w:val="restart"/>
          </w:tcPr>
          <w:p>
            <w:pPr>
              <w:ind w:left="860"/>
              <w:spacing w:after="0"/>
              <w:rPr>
                <w:sz w:val="20"/>
                <w:szCs w:val="20"/>
                <w:color w:val="auto"/>
              </w:rPr>
            </w:pPr>
            <w:r>
              <w:rPr>
                <w:rFonts w:ascii="Arial" w:cs="Arial" w:eastAsia="Arial" w:hAnsi="Arial"/>
                <w:sz w:val="18"/>
                <w:szCs w:val="18"/>
                <w:color w:val="auto"/>
              </w:rPr>
              <w:t>Total loans charged-off</w:t>
            </w:r>
          </w:p>
        </w:tc>
        <w:tc>
          <w:tcPr>
            <w:tcW w:w="24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4060" w:type="dxa"/>
            <w:vAlign w:val="bottom"/>
            <w:vMerge w:val="continue"/>
          </w:tcPr>
          <w:p>
            <w:pPr>
              <w:spacing w:after="0"/>
              <w:rPr>
                <w:sz w:val="20"/>
                <w:szCs w:val="20"/>
                <w:color w:val="auto"/>
              </w:rPr>
            </w:pPr>
          </w:p>
        </w:tc>
        <w:tc>
          <w:tcPr>
            <w:tcW w:w="2460" w:type="dxa"/>
            <w:vAlign w:val="bottom"/>
          </w:tcPr>
          <w:p>
            <w:pPr>
              <w:spacing w:after="0"/>
              <w:rPr>
                <w:sz w:val="20"/>
                <w:szCs w:val="20"/>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22,234</w:t>
            </w:r>
          </w:p>
        </w:tc>
        <w:tc>
          <w:tcPr>
            <w:tcW w:w="680" w:type="dxa"/>
            <w:vAlign w:val="bottom"/>
          </w:tcPr>
          <w:p>
            <w:pPr>
              <w:jc w:val="right"/>
              <w:spacing w:after="0"/>
              <w:rPr>
                <w:sz w:val="20"/>
                <w:szCs w:val="20"/>
                <w:color w:val="auto"/>
              </w:rPr>
            </w:pPr>
            <w:r>
              <w:rPr>
                <w:rFonts w:ascii="Arial" w:cs="Arial" w:eastAsia="Arial" w:hAnsi="Arial"/>
                <w:sz w:val="18"/>
                <w:szCs w:val="18"/>
                <w:color w:val="auto"/>
              </w:rPr>
              <w:t>19,878</w:t>
            </w:r>
          </w:p>
        </w:tc>
        <w:tc>
          <w:tcPr>
            <w:tcW w:w="1460" w:type="dxa"/>
            <w:vAlign w:val="bottom"/>
            <w:gridSpan w:val="3"/>
          </w:tcPr>
          <w:p>
            <w:pPr>
              <w:jc w:val="right"/>
              <w:ind w:right="400"/>
              <w:spacing w:after="0"/>
              <w:rPr>
                <w:sz w:val="20"/>
                <w:szCs w:val="20"/>
                <w:color w:val="auto"/>
              </w:rPr>
            </w:pPr>
            <w:r>
              <w:rPr>
                <w:rFonts w:ascii="Arial" w:cs="Arial" w:eastAsia="Arial" w:hAnsi="Arial"/>
                <w:sz w:val="18"/>
                <w:szCs w:val="18"/>
                <w:color w:val="auto"/>
              </w:rPr>
              <w:t>59,093</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270,025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Recoveries:</w:t>
            </w:r>
          </w:p>
        </w:tc>
        <w:tc>
          <w:tcPr>
            <w:tcW w:w="246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420"/>
              <w:spacing w:after="0"/>
              <w:rPr>
                <w:sz w:val="20"/>
                <w:szCs w:val="20"/>
                <w:color w:val="auto"/>
              </w:rPr>
            </w:pPr>
            <w:r>
              <w:rPr>
                <w:rFonts w:ascii="Arial" w:cs="Arial" w:eastAsia="Arial" w:hAnsi="Arial"/>
                <w:sz w:val="18"/>
                <w:szCs w:val="18"/>
                <w:color w:val="auto"/>
              </w:rPr>
              <w:t>Commercial (secured by real estate)</w:t>
            </w:r>
          </w:p>
        </w:tc>
        <w:tc>
          <w:tcPr>
            <w:tcW w:w="3520" w:type="dxa"/>
            <w:vAlign w:val="bottom"/>
            <w:gridSpan w:val="3"/>
          </w:tcPr>
          <w:p>
            <w:pPr>
              <w:jc w:val="right"/>
              <w:ind w:right="400"/>
              <w:spacing w:after="0"/>
              <w:rPr>
                <w:sz w:val="20"/>
                <w:szCs w:val="20"/>
                <w:color w:val="auto"/>
              </w:rPr>
            </w:pPr>
            <w:r>
              <w:rPr>
                <w:rFonts w:ascii="Arial" w:cs="Arial" w:eastAsia="Arial" w:hAnsi="Arial"/>
                <w:sz w:val="18"/>
                <w:szCs w:val="18"/>
                <w:color w:val="auto"/>
              </w:rPr>
              <w:t>271</w:t>
            </w:r>
          </w:p>
        </w:tc>
        <w:tc>
          <w:tcPr>
            <w:tcW w:w="680" w:type="dxa"/>
            <w:vAlign w:val="bottom"/>
          </w:tcPr>
          <w:p>
            <w:pPr>
              <w:jc w:val="right"/>
              <w:spacing w:after="0"/>
              <w:rPr>
                <w:sz w:val="20"/>
                <w:szCs w:val="20"/>
                <w:color w:val="auto"/>
              </w:rPr>
            </w:pPr>
            <w:r>
              <w:rPr>
                <w:rFonts w:ascii="Arial" w:cs="Arial" w:eastAsia="Arial" w:hAnsi="Arial"/>
                <w:sz w:val="18"/>
                <w:szCs w:val="18"/>
                <w:color w:val="auto"/>
              </w:rPr>
              <w:t>78</w:t>
            </w:r>
          </w:p>
        </w:tc>
        <w:tc>
          <w:tcPr>
            <w:tcW w:w="1460" w:type="dxa"/>
            <w:vAlign w:val="bottom"/>
            <w:gridSpan w:val="3"/>
          </w:tcPr>
          <w:p>
            <w:pPr>
              <w:jc w:val="right"/>
              <w:ind w:right="400"/>
              <w:spacing w:after="0"/>
              <w:rPr>
                <w:sz w:val="20"/>
                <w:szCs w:val="20"/>
                <w:color w:val="auto"/>
              </w:rPr>
            </w:pPr>
            <w:r>
              <w:rPr>
                <w:rFonts w:ascii="Arial" w:cs="Arial" w:eastAsia="Arial" w:hAnsi="Arial"/>
                <w:sz w:val="18"/>
                <w:szCs w:val="18"/>
                <w:color w:val="auto"/>
              </w:rPr>
              <w:t>571</w:t>
            </w:r>
          </w:p>
        </w:tc>
        <w:tc>
          <w:tcPr>
            <w:tcW w:w="660" w:type="dxa"/>
            <w:vAlign w:val="bottom"/>
          </w:tcPr>
          <w:p>
            <w:pPr>
              <w:jc w:val="right"/>
              <w:spacing w:after="0"/>
              <w:rPr>
                <w:sz w:val="20"/>
                <w:szCs w:val="20"/>
                <w:color w:val="auto"/>
              </w:rPr>
            </w:pPr>
            <w:r>
              <w:rPr>
                <w:rFonts w:ascii="Arial" w:cs="Arial" w:eastAsia="Arial" w:hAnsi="Arial"/>
                <w:sz w:val="18"/>
                <w:szCs w:val="18"/>
                <w:color w:val="auto"/>
              </w:rPr>
              <w:t>352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Commercial &amp; industrial</w:t>
            </w:r>
          </w:p>
        </w:tc>
        <w:tc>
          <w:tcPr>
            <w:tcW w:w="35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602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14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802</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420"/>
              <w:spacing w:after="0"/>
              <w:rPr>
                <w:sz w:val="20"/>
                <w:szCs w:val="20"/>
                <w:color w:val="auto"/>
              </w:rPr>
            </w:pPr>
            <w:r>
              <w:rPr>
                <w:rFonts w:ascii="Arial" w:cs="Arial" w:eastAsia="Arial" w:hAnsi="Arial"/>
                <w:sz w:val="18"/>
                <w:szCs w:val="18"/>
                <w:color w:val="auto"/>
              </w:rPr>
              <w:t>Commercial construction</w:t>
            </w:r>
          </w:p>
        </w:tc>
        <w:tc>
          <w:tcPr>
            <w:tcW w:w="3520" w:type="dxa"/>
            <w:vAlign w:val="bottom"/>
            <w:gridSpan w:val="3"/>
          </w:tcPr>
          <w:p>
            <w:pPr>
              <w:jc w:val="right"/>
              <w:ind w:right="400"/>
              <w:spacing w:after="0"/>
              <w:rPr>
                <w:sz w:val="20"/>
                <w:szCs w:val="20"/>
                <w:color w:val="auto"/>
              </w:rPr>
            </w:pPr>
            <w:r>
              <w:rPr>
                <w:rFonts w:ascii="Arial" w:cs="Arial" w:eastAsia="Arial" w:hAnsi="Arial"/>
                <w:sz w:val="18"/>
                <w:szCs w:val="18"/>
                <w:color w:val="auto"/>
              </w:rPr>
              <w:t>8</w:t>
            </w:r>
          </w:p>
        </w:tc>
        <w:tc>
          <w:tcPr>
            <w:tcW w:w="680" w:type="dxa"/>
            <w:vAlign w:val="bottom"/>
          </w:tcPr>
          <w:p>
            <w:pPr>
              <w:jc w:val="right"/>
              <w:spacing w:after="0"/>
              <w:rPr>
                <w:sz w:val="20"/>
                <w:szCs w:val="20"/>
                <w:color w:val="auto"/>
              </w:rPr>
            </w:pPr>
            <w:r>
              <w:rPr>
                <w:rFonts w:ascii="Arial" w:cs="Arial" w:eastAsia="Arial" w:hAnsi="Arial"/>
                <w:sz w:val="18"/>
                <w:szCs w:val="18"/>
                <w:color w:val="auto"/>
              </w:rPr>
              <w:t>80</w:t>
            </w:r>
          </w:p>
        </w:tc>
        <w:tc>
          <w:tcPr>
            <w:tcW w:w="1460" w:type="dxa"/>
            <w:vAlign w:val="bottom"/>
            <w:gridSpan w:val="3"/>
          </w:tcPr>
          <w:p>
            <w:pPr>
              <w:jc w:val="right"/>
              <w:ind w:right="400"/>
              <w:spacing w:after="0"/>
              <w:rPr>
                <w:sz w:val="20"/>
                <w:szCs w:val="20"/>
                <w:color w:val="auto"/>
              </w:rPr>
            </w:pPr>
            <w:r>
              <w:rPr>
                <w:rFonts w:ascii="Arial" w:cs="Arial" w:eastAsia="Arial" w:hAnsi="Arial"/>
                <w:sz w:val="18"/>
                <w:szCs w:val="18"/>
                <w:color w:val="auto"/>
              </w:rPr>
              <w:t>38</w:t>
            </w:r>
          </w:p>
        </w:tc>
        <w:tc>
          <w:tcPr>
            <w:tcW w:w="660" w:type="dxa"/>
            <w:vAlign w:val="bottom"/>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Residential mortgage</w:t>
            </w:r>
          </w:p>
        </w:tc>
        <w:tc>
          <w:tcPr>
            <w:tcW w:w="35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48</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4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592</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420"/>
              <w:spacing w:after="0"/>
              <w:rPr>
                <w:sz w:val="20"/>
                <w:szCs w:val="20"/>
                <w:color w:val="auto"/>
              </w:rPr>
            </w:pPr>
            <w:r>
              <w:rPr>
                <w:rFonts w:ascii="Arial" w:cs="Arial" w:eastAsia="Arial" w:hAnsi="Arial"/>
                <w:sz w:val="18"/>
                <w:szCs w:val="18"/>
                <w:color w:val="auto"/>
              </w:rPr>
              <w:t>Residential construction</w:t>
            </w:r>
          </w:p>
        </w:tc>
        <w:tc>
          <w:tcPr>
            <w:tcW w:w="3520" w:type="dxa"/>
            <w:vAlign w:val="bottom"/>
            <w:gridSpan w:val="3"/>
          </w:tcPr>
          <w:p>
            <w:pPr>
              <w:jc w:val="right"/>
              <w:ind w:right="400"/>
              <w:spacing w:after="0"/>
              <w:rPr>
                <w:sz w:val="20"/>
                <w:szCs w:val="20"/>
                <w:color w:val="auto"/>
              </w:rPr>
            </w:pPr>
            <w:r>
              <w:rPr>
                <w:rFonts w:ascii="Arial" w:cs="Arial" w:eastAsia="Arial" w:hAnsi="Arial"/>
                <w:sz w:val="18"/>
                <w:szCs w:val="18"/>
                <w:color w:val="auto"/>
              </w:rPr>
              <w:t>555</w:t>
            </w:r>
          </w:p>
        </w:tc>
        <w:tc>
          <w:tcPr>
            <w:tcW w:w="680" w:type="dxa"/>
            <w:vAlign w:val="bottom"/>
          </w:tcPr>
          <w:p>
            <w:pPr>
              <w:jc w:val="right"/>
              <w:spacing w:after="0"/>
              <w:rPr>
                <w:sz w:val="20"/>
                <w:szCs w:val="20"/>
                <w:color w:val="auto"/>
              </w:rPr>
            </w:pPr>
            <w:r>
              <w:rPr>
                <w:rFonts w:ascii="Arial" w:cs="Arial" w:eastAsia="Arial" w:hAnsi="Arial"/>
                <w:sz w:val="18"/>
                <w:szCs w:val="18"/>
                <w:color w:val="auto"/>
              </w:rPr>
              <w:t>1,287</w:t>
            </w:r>
          </w:p>
        </w:tc>
        <w:tc>
          <w:tcPr>
            <w:tcW w:w="1460" w:type="dxa"/>
            <w:vAlign w:val="bottom"/>
            <w:gridSpan w:val="3"/>
          </w:tcPr>
          <w:p>
            <w:pPr>
              <w:jc w:val="right"/>
              <w:ind w:right="400"/>
              <w:spacing w:after="0"/>
              <w:rPr>
                <w:sz w:val="20"/>
                <w:szCs w:val="20"/>
                <w:color w:val="auto"/>
              </w:rPr>
            </w:pPr>
            <w:r>
              <w:rPr>
                <w:rFonts w:ascii="Arial" w:cs="Arial" w:eastAsia="Arial" w:hAnsi="Arial"/>
                <w:sz w:val="18"/>
                <w:szCs w:val="18"/>
                <w:color w:val="auto"/>
              </w:rPr>
              <w:t>1,153</w:t>
            </w:r>
          </w:p>
        </w:tc>
        <w:tc>
          <w:tcPr>
            <w:tcW w:w="660" w:type="dxa"/>
            <w:vAlign w:val="bottom"/>
          </w:tcPr>
          <w:p>
            <w:pPr>
              <w:jc w:val="right"/>
              <w:spacing w:after="0"/>
              <w:rPr>
                <w:sz w:val="20"/>
                <w:szCs w:val="20"/>
                <w:color w:val="auto"/>
              </w:rPr>
            </w:pPr>
            <w:r>
              <w:rPr>
                <w:rFonts w:ascii="Arial" w:cs="Arial" w:eastAsia="Arial" w:hAnsi="Arial"/>
                <w:sz w:val="18"/>
                <w:szCs w:val="18"/>
                <w:color w:val="auto"/>
              </w:rPr>
              <w:t>1,544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Consumer installment</w:t>
            </w:r>
          </w:p>
        </w:tc>
        <w:tc>
          <w:tcPr>
            <w:tcW w:w="24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187</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4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611</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vMerge w:val="restart"/>
          </w:tcPr>
          <w:p>
            <w:pPr>
              <w:ind w:left="860"/>
              <w:spacing w:after="0"/>
              <w:rPr>
                <w:sz w:val="20"/>
                <w:szCs w:val="20"/>
                <w:color w:val="auto"/>
              </w:rPr>
            </w:pPr>
            <w:r>
              <w:rPr>
                <w:rFonts w:ascii="Arial" w:cs="Arial" w:eastAsia="Arial" w:hAnsi="Arial"/>
                <w:sz w:val="18"/>
                <w:szCs w:val="18"/>
                <w:color w:val="auto"/>
              </w:rPr>
              <w:t>Total recoveries</w:t>
            </w:r>
          </w:p>
        </w:tc>
        <w:tc>
          <w:tcPr>
            <w:tcW w:w="24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060" w:type="dxa"/>
            <w:vAlign w:val="bottom"/>
            <w:vMerge w:val="continue"/>
          </w:tcPr>
          <w:p>
            <w:pPr>
              <w:spacing w:after="0"/>
              <w:rPr>
                <w:sz w:val="19"/>
                <w:szCs w:val="19"/>
                <w:color w:val="auto"/>
              </w:rPr>
            </w:pPr>
          </w:p>
        </w:tc>
        <w:tc>
          <w:tcPr>
            <w:tcW w:w="2460" w:type="dxa"/>
            <w:vAlign w:val="bottom"/>
          </w:tcPr>
          <w:p>
            <w:pPr>
              <w:spacing w:after="0"/>
              <w:rPr>
                <w:sz w:val="19"/>
                <w:szCs w:val="19"/>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1,671</w:t>
            </w:r>
          </w:p>
        </w:tc>
        <w:tc>
          <w:tcPr>
            <w:tcW w:w="680" w:type="dxa"/>
            <w:vAlign w:val="bottom"/>
          </w:tcPr>
          <w:p>
            <w:pPr>
              <w:jc w:val="right"/>
              <w:spacing w:after="0"/>
              <w:rPr>
                <w:sz w:val="20"/>
                <w:szCs w:val="20"/>
                <w:color w:val="auto"/>
              </w:rPr>
            </w:pPr>
            <w:r>
              <w:rPr>
                <w:rFonts w:ascii="Arial" w:cs="Arial" w:eastAsia="Arial" w:hAnsi="Arial"/>
                <w:sz w:val="18"/>
                <w:szCs w:val="18"/>
                <w:color w:val="auto"/>
              </w:rPr>
              <w:t>2,332</w:t>
            </w:r>
          </w:p>
        </w:tc>
        <w:tc>
          <w:tcPr>
            <w:tcW w:w="1460" w:type="dxa"/>
            <w:vAlign w:val="bottom"/>
            <w:gridSpan w:val="3"/>
          </w:tcPr>
          <w:p>
            <w:pPr>
              <w:jc w:val="right"/>
              <w:ind w:right="400"/>
              <w:spacing w:after="0"/>
              <w:rPr>
                <w:sz w:val="20"/>
                <w:szCs w:val="20"/>
                <w:color w:val="auto"/>
              </w:rPr>
            </w:pPr>
            <w:r>
              <w:rPr>
                <w:rFonts w:ascii="Arial" w:cs="Arial" w:eastAsia="Arial" w:hAnsi="Arial"/>
                <w:sz w:val="18"/>
                <w:szCs w:val="18"/>
                <w:color w:val="auto"/>
              </w:rPr>
              <w:t>3,767</w:t>
            </w:r>
          </w:p>
        </w:tc>
        <w:tc>
          <w:tcPr>
            <w:tcW w:w="660" w:type="dxa"/>
            <w:vAlign w:val="bottom"/>
          </w:tcPr>
          <w:p>
            <w:pPr>
              <w:jc w:val="right"/>
              <w:spacing w:after="0"/>
              <w:rPr>
                <w:sz w:val="20"/>
                <w:szCs w:val="20"/>
                <w:color w:val="auto"/>
              </w:rPr>
            </w:pPr>
            <w:r>
              <w:rPr>
                <w:rFonts w:ascii="Arial" w:cs="Arial" w:eastAsia="Arial" w:hAnsi="Arial"/>
                <w:sz w:val="18"/>
                <w:szCs w:val="18"/>
                <w:color w:val="auto"/>
              </w:rPr>
              <w:t>4,422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24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charge-offs</w:t>
            </w:r>
          </w:p>
        </w:tc>
        <w:tc>
          <w:tcPr>
            <w:tcW w:w="24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20,563</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17,546</w:t>
            </w:r>
          </w:p>
        </w:tc>
        <w:tc>
          <w:tcPr>
            <w:tcW w:w="14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55,326</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265,603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vMerge w:val="restart"/>
          </w:tcPr>
          <w:p>
            <w:pPr>
              <w:ind w:left="860"/>
              <w:spacing w:after="0"/>
              <w:rPr>
                <w:sz w:val="20"/>
                <w:szCs w:val="20"/>
                <w:color w:val="auto"/>
              </w:rPr>
            </w:pPr>
            <w:r>
              <w:rPr>
                <w:rFonts w:ascii="Arial" w:cs="Arial" w:eastAsia="Arial" w:hAnsi="Arial"/>
                <w:sz w:val="18"/>
                <w:szCs w:val="18"/>
                <w:color w:val="auto"/>
              </w:rPr>
              <w:t>Balance end of period</w:t>
            </w:r>
          </w:p>
        </w:tc>
        <w:tc>
          <w:tcPr>
            <w:tcW w:w="24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4060" w:type="dxa"/>
            <w:vAlign w:val="bottom"/>
            <w:vMerge w:val="continue"/>
          </w:tcPr>
          <w:p>
            <w:pPr>
              <w:spacing w:after="0"/>
              <w:rPr>
                <w:sz w:val="19"/>
                <w:szCs w:val="19"/>
                <w:color w:val="auto"/>
              </w:rPr>
            </w:pPr>
          </w:p>
        </w:tc>
        <w:tc>
          <w:tcPr>
            <w:tcW w:w="3520" w:type="dxa"/>
            <w:vAlign w:val="bottom"/>
            <w:gridSpan w:val="3"/>
          </w:tcPr>
          <w:p>
            <w:pPr>
              <w:jc w:val="right"/>
              <w:ind w:right="4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107,642</w:t>
            </w: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146,092</w:t>
            </w:r>
          </w:p>
        </w:tc>
        <w:tc>
          <w:tcPr>
            <w:tcW w:w="1460" w:type="dxa"/>
            <w:vAlign w:val="bottom"/>
            <w:gridSpan w:val="3"/>
          </w:tcPr>
          <w:p>
            <w:pPr>
              <w:jc w:val="right"/>
              <w:ind w:right="4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107,642</w:t>
            </w:r>
          </w:p>
        </w:tc>
        <w:tc>
          <w:tcPr>
            <w:tcW w:w="66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146,092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460" w:type="dxa"/>
            <w:vAlign w:val="bottom"/>
            <w:vMerge w:val="restart"/>
          </w:tcPr>
          <w:p>
            <w:pPr>
              <w:jc w:val="right"/>
              <w:ind w:right="1112"/>
              <w:spacing w:after="0"/>
              <w:rPr>
                <w:sz w:val="20"/>
                <w:szCs w:val="20"/>
                <w:color w:val="auto"/>
              </w:rPr>
            </w:pPr>
            <w:r>
              <w:rPr>
                <w:rFonts w:ascii="Arial" w:cs="Arial" w:eastAsia="Arial" w:hAnsi="Arial"/>
                <w:sz w:val="18"/>
                <w:szCs w:val="18"/>
                <w:color w:val="auto"/>
              </w:rPr>
              <w:t>14</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246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In the first quarter of 2011, United’s Board of Directors adopted an accelerated problem asset disposition plan which included the bulk sale of $267 million in classified loans. Those loans were classified as held for sale at the end of the first quarter of 2011 and were written down to the expected proceeds from the sale. The charge-offs on the loans transferred to held for sale in anticipation of the bulk loan sale, which closed on April 18, 2011, increased first quarter 2011 loan charge-offs by $186 million. The actual loss on the bulk loan sale at closing was less than the amount charged-off in the first quarter, resulting in a $7.27 million reduction of second quarter 2011 charge-offs.</w:t>
      </w:r>
    </w:p>
    <w:p>
      <w:pPr>
        <w:spacing w:after="0" w:line="143" w:lineRule="exact"/>
        <w:rPr>
          <w:sz w:val="20"/>
          <w:szCs w:val="20"/>
          <w:color w:val="auto"/>
        </w:rPr>
      </w:pPr>
    </w:p>
    <w:p>
      <w:pPr>
        <w:ind w:right="440"/>
        <w:spacing w:after="0" w:line="332" w:lineRule="auto"/>
        <w:rPr>
          <w:sz w:val="20"/>
          <w:szCs w:val="20"/>
          <w:color w:val="auto"/>
        </w:rPr>
      </w:pPr>
      <w:r>
        <w:rPr>
          <w:rFonts w:ascii="Arial" w:cs="Arial" w:eastAsia="Arial" w:hAnsi="Arial"/>
          <w:sz w:val="16"/>
          <w:szCs w:val="16"/>
          <w:color w:val="auto"/>
        </w:rPr>
        <w:t>The following table presents the balance and activity in the allowance for loan losses by portfolio segment and the recorded investment in loans by portfolio segment based on the impairment method as of September 30, 2012, December 31, 2011 and September 30, 2011 (</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40" w:type="dxa"/>
            <w:vAlign w:val="bottom"/>
            <w:gridSpan w:val="3"/>
          </w:tcPr>
          <w:p>
            <w:pPr>
              <w:ind w:left="40"/>
              <w:spacing w:after="0"/>
              <w:rPr>
                <w:sz w:val="20"/>
                <w:szCs w:val="20"/>
                <w:color w:val="auto"/>
              </w:rPr>
            </w:pPr>
            <w:r>
              <w:rPr>
                <w:rFonts w:ascii="Arial" w:cs="Arial" w:eastAsia="Arial" w:hAnsi="Arial"/>
                <w:sz w:val="14"/>
                <w:szCs w:val="14"/>
                <w:b w:val="1"/>
                <w:bCs w:val="1"/>
                <w:color w:val="auto"/>
              </w:rPr>
              <w:t>Commercial</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Nine Months Ended September 30, 2012</w:t>
            </w:r>
          </w:p>
        </w:tc>
        <w:tc>
          <w:tcPr>
            <w:tcW w:w="104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(Secured by</w:t>
            </w:r>
          </w:p>
        </w:tc>
        <w:tc>
          <w:tcPr>
            <w:tcW w:w="11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Commercial &amp;</w:t>
            </w:r>
          </w:p>
        </w:tc>
        <w:tc>
          <w:tcPr>
            <w:tcW w:w="1020" w:type="dxa"/>
            <w:vAlign w:val="bottom"/>
            <w:gridSpan w:val="3"/>
          </w:tcPr>
          <w:p>
            <w:pPr>
              <w:jc w:val="right"/>
              <w:ind w:right="280"/>
              <w:spacing w:after="0" w:line="149" w:lineRule="exact"/>
              <w:rPr>
                <w:sz w:val="20"/>
                <w:szCs w:val="20"/>
                <w:color w:val="auto"/>
              </w:rPr>
            </w:pPr>
            <w:r>
              <w:rPr>
                <w:rFonts w:ascii="Arial" w:cs="Arial" w:eastAsia="Arial" w:hAnsi="Arial"/>
                <w:sz w:val="14"/>
                <w:szCs w:val="14"/>
                <w:b w:val="1"/>
                <w:bCs w:val="1"/>
                <w:color w:val="auto"/>
                <w:w w:val="89"/>
              </w:rPr>
              <w:t>Commercial</w:t>
            </w:r>
          </w:p>
        </w:tc>
        <w:tc>
          <w:tcPr>
            <w:tcW w:w="1060" w:type="dxa"/>
            <w:vAlign w:val="bottom"/>
            <w:gridSpan w:val="3"/>
          </w:tcPr>
          <w:p>
            <w:pPr>
              <w:jc w:val="right"/>
              <w:ind w:right="340"/>
              <w:spacing w:after="0" w:line="149" w:lineRule="exact"/>
              <w:rPr>
                <w:sz w:val="20"/>
                <w:szCs w:val="20"/>
                <w:color w:val="auto"/>
              </w:rPr>
            </w:pPr>
            <w:r>
              <w:rPr>
                <w:rFonts w:ascii="Arial" w:cs="Arial" w:eastAsia="Arial" w:hAnsi="Arial"/>
                <w:sz w:val="14"/>
                <w:szCs w:val="14"/>
                <w:b w:val="1"/>
                <w:bCs w:val="1"/>
                <w:color w:val="auto"/>
                <w:w w:val="93"/>
              </w:rPr>
              <w:t>Residential</w:t>
            </w:r>
          </w:p>
        </w:tc>
        <w:tc>
          <w:tcPr>
            <w:tcW w:w="1020" w:type="dxa"/>
            <w:vAlign w:val="bottom"/>
            <w:gridSpan w:val="3"/>
          </w:tcPr>
          <w:p>
            <w:pPr>
              <w:jc w:val="right"/>
              <w:ind w:right="320"/>
              <w:spacing w:after="0" w:line="149" w:lineRule="exact"/>
              <w:rPr>
                <w:sz w:val="20"/>
                <w:szCs w:val="20"/>
                <w:color w:val="auto"/>
              </w:rPr>
            </w:pPr>
            <w:r>
              <w:rPr>
                <w:rFonts w:ascii="Arial" w:cs="Arial" w:eastAsia="Arial" w:hAnsi="Arial"/>
                <w:sz w:val="14"/>
                <w:szCs w:val="14"/>
                <w:b w:val="1"/>
                <w:bCs w:val="1"/>
                <w:color w:val="auto"/>
                <w:w w:val="90"/>
              </w:rPr>
              <w:t>Residential</w:t>
            </w:r>
          </w:p>
        </w:tc>
        <w:tc>
          <w:tcPr>
            <w:tcW w:w="84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Consumer</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3380" w:type="dxa"/>
            <w:vAlign w:val="bottom"/>
            <w:gridSpan w:val="4"/>
            <w:vMerge w:val="continue"/>
          </w:tcPr>
          <w:p>
            <w:pPr>
              <w:spacing w:after="0"/>
              <w:rPr>
                <w:sz w:val="14"/>
                <w:szCs w:val="14"/>
                <w:color w:val="auto"/>
              </w:rPr>
            </w:pPr>
          </w:p>
        </w:tc>
        <w:tc>
          <w:tcPr>
            <w:tcW w:w="1040" w:type="dxa"/>
            <w:vAlign w:val="bottom"/>
            <w:gridSpan w:val="3"/>
          </w:tcPr>
          <w:p>
            <w:pPr>
              <w:ind w:left="40"/>
              <w:spacing w:after="0" w:line="148" w:lineRule="exact"/>
              <w:rPr>
                <w:sz w:val="20"/>
                <w:szCs w:val="20"/>
                <w:color w:val="auto"/>
              </w:rPr>
            </w:pPr>
            <w:r>
              <w:rPr>
                <w:rFonts w:ascii="Arial" w:cs="Arial" w:eastAsia="Arial" w:hAnsi="Arial"/>
                <w:sz w:val="14"/>
                <w:szCs w:val="14"/>
                <w:b w:val="1"/>
                <w:bCs w:val="1"/>
                <w:color w:val="auto"/>
              </w:rPr>
              <w:t>Real Estate)</w:t>
            </w:r>
          </w:p>
        </w:tc>
        <w:tc>
          <w:tcPr>
            <w:tcW w:w="100" w:type="dxa"/>
            <w:vAlign w:val="bottom"/>
          </w:tcPr>
          <w:p>
            <w:pPr>
              <w:spacing w:after="0"/>
              <w:rPr>
                <w:sz w:val="14"/>
                <w:szCs w:val="14"/>
                <w:color w:val="auto"/>
              </w:rPr>
            </w:pPr>
          </w:p>
        </w:tc>
        <w:tc>
          <w:tcPr>
            <w:tcW w:w="1000" w:type="dxa"/>
            <w:vAlign w:val="bottom"/>
            <w:gridSpan w:val="2"/>
          </w:tcPr>
          <w:p>
            <w:pPr>
              <w:jc w:val="right"/>
              <w:ind w:right="380"/>
              <w:spacing w:after="0" w:line="148" w:lineRule="exact"/>
              <w:rPr>
                <w:sz w:val="20"/>
                <w:szCs w:val="20"/>
                <w:color w:val="auto"/>
              </w:rPr>
            </w:pPr>
            <w:r>
              <w:rPr>
                <w:rFonts w:ascii="Arial" w:cs="Arial" w:eastAsia="Arial" w:hAnsi="Arial"/>
                <w:sz w:val="14"/>
                <w:szCs w:val="14"/>
                <w:b w:val="1"/>
                <w:bCs w:val="1"/>
                <w:color w:val="auto"/>
                <w:w w:val="95"/>
              </w:rPr>
              <w:t>Industrial</w:t>
            </w:r>
          </w:p>
        </w:tc>
        <w:tc>
          <w:tcPr>
            <w:tcW w:w="102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Construction</w:t>
            </w:r>
          </w:p>
        </w:tc>
        <w:tc>
          <w:tcPr>
            <w:tcW w:w="100" w:type="dxa"/>
            <w:vAlign w:val="bottom"/>
          </w:tcPr>
          <w:p>
            <w:pPr>
              <w:spacing w:after="0"/>
              <w:rPr>
                <w:sz w:val="14"/>
                <w:szCs w:val="14"/>
                <w:color w:val="auto"/>
              </w:rPr>
            </w:pPr>
          </w:p>
        </w:tc>
        <w:tc>
          <w:tcPr>
            <w:tcW w:w="960" w:type="dxa"/>
            <w:vAlign w:val="bottom"/>
            <w:gridSpan w:val="2"/>
          </w:tcPr>
          <w:p>
            <w:pPr>
              <w:jc w:val="right"/>
              <w:ind w:right="380"/>
              <w:spacing w:after="0" w:line="148" w:lineRule="exact"/>
              <w:rPr>
                <w:sz w:val="20"/>
                <w:szCs w:val="20"/>
                <w:color w:val="auto"/>
              </w:rPr>
            </w:pPr>
            <w:r>
              <w:rPr>
                <w:rFonts w:ascii="Arial" w:cs="Arial" w:eastAsia="Arial" w:hAnsi="Arial"/>
                <w:sz w:val="14"/>
                <w:szCs w:val="14"/>
                <w:b w:val="1"/>
                <w:bCs w:val="1"/>
                <w:color w:val="auto"/>
                <w:w w:val="88"/>
              </w:rPr>
              <w:t>Mortgage</w:t>
            </w:r>
          </w:p>
        </w:tc>
        <w:tc>
          <w:tcPr>
            <w:tcW w:w="102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Construction</w:t>
            </w:r>
          </w:p>
        </w:tc>
        <w:tc>
          <w:tcPr>
            <w:tcW w:w="840" w:type="dxa"/>
            <w:vAlign w:val="bottom"/>
            <w:gridSpan w:val="3"/>
          </w:tcPr>
          <w:p>
            <w:pPr>
              <w:ind w:left="20"/>
              <w:spacing w:after="0" w:line="148" w:lineRule="exact"/>
              <w:rPr>
                <w:sz w:val="20"/>
                <w:szCs w:val="20"/>
                <w:color w:val="auto"/>
              </w:rPr>
            </w:pPr>
            <w:r>
              <w:rPr>
                <w:rFonts w:ascii="Arial" w:cs="Arial" w:eastAsia="Arial" w:hAnsi="Arial"/>
                <w:sz w:val="14"/>
                <w:szCs w:val="14"/>
                <w:b w:val="1"/>
                <w:bCs w:val="1"/>
                <w:color w:val="auto"/>
              </w:rPr>
              <w:t>Installment</w:t>
            </w:r>
          </w:p>
        </w:tc>
        <w:tc>
          <w:tcPr>
            <w:tcW w:w="100" w:type="dxa"/>
            <w:vAlign w:val="bottom"/>
          </w:tcPr>
          <w:p>
            <w:pPr>
              <w:spacing w:after="0"/>
              <w:rPr>
                <w:sz w:val="14"/>
                <w:szCs w:val="14"/>
                <w:color w:val="auto"/>
              </w:rPr>
            </w:pPr>
          </w:p>
        </w:tc>
        <w:tc>
          <w:tcPr>
            <w:tcW w:w="96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Unallocated</w:t>
            </w:r>
          </w:p>
        </w:tc>
        <w:tc>
          <w:tcPr>
            <w:tcW w:w="80" w:type="dxa"/>
            <w:vAlign w:val="bottom"/>
          </w:tcPr>
          <w:p>
            <w:pPr>
              <w:spacing w:after="0"/>
              <w:rPr>
                <w:sz w:val="14"/>
                <w:szCs w:val="14"/>
                <w:color w:val="auto"/>
              </w:rPr>
            </w:pPr>
          </w:p>
        </w:tc>
        <w:tc>
          <w:tcPr>
            <w:tcW w:w="820" w:type="dxa"/>
            <w:vAlign w:val="bottom"/>
            <w:gridSpan w:val="2"/>
          </w:tcPr>
          <w:p>
            <w:pPr>
              <w:jc w:val="right"/>
              <w:ind w:right="360"/>
              <w:spacing w:after="0" w:line="14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460" w:type="dxa"/>
            <w:vAlign w:val="bottom"/>
            <w:tcBorders>
              <w:top w:val="single" w:sz="8" w:color="auto"/>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Allowance for loan losses:</w:t>
            </w:r>
          </w:p>
        </w:tc>
        <w:tc>
          <w:tcPr>
            <w:tcW w:w="9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3"/>
          </w:tcPr>
          <w:p>
            <w:pPr>
              <w:spacing w:after="0"/>
              <w:rPr>
                <w:sz w:val="20"/>
                <w:szCs w:val="20"/>
                <w:color w:val="auto"/>
              </w:rPr>
            </w:pPr>
            <w:r>
              <w:rPr>
                <w:rFonts w:ascii="Arial" w:cs="Arial" w:eastAsia="Arial" w:hAnsi="Arial"/>
                <w:sz w:val="18"/>
                <w:szCs w:val="18"/>
                <w:color w:val="auto"/>
              </w:rPr>
              <w:t>Beginning balance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31,644</w:t>
            </w:r>
          </w:p>
        </w:tc>
        <w:tc>
          <w:tcPr>
            <w:tcW w:w="2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5,681</w:t>
            </w:r>
          </w:p>
        </w:tc>
        <w:tc>
          <w:tcPr>
            <w:tcW w:w="2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6,097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29,076</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30,379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2,124</w:t>
            </w:r>
          </w:p>
        </w:tc>
        <w:tc>
          <w:tcPr>
            <w:tcW w:w="160" w:type="dxa"/>
            <w:vAlign w:val="bottom"/>
          </w:tcPr>
          <w:p>
            <w:pPr>
              <w:spacing w:after="0"/>
              <w:rPr>
                <w:sz w:val="18"/>
                <w:szCs w:val="18"/>
                <w:color w:val="auto"/>
              </w:rPr>
            </w:pP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9,467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114,468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Charge-offs</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(16,791)</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(1,987)</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(3,650)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(13,356)</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(21,706)</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(59,093)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3"/>
          </w:tcPr>
          <w:p>
            <w:pPr>
              <w:ind w:left="420"/>
              <w:spacing w:after="0"/>
              <w:rPr>
                <w:sz w:val="20"/>
                <w:szCs w:val="20"/>
                <w:color w:val="auto"/>
              </w:rPr>
            </w:pPr>
            <w:r>
              <w:rPr>
                <w:rFonts w:ascii="Arial" w:cs="Arial" w:eastAsia="Arial" w:hAnsi="Arial"/>
                <w:sz w:val="18"/>
                <w:szCs w:val="18"/>
                <w:color w:val="auto"/>
              </w:rPr>
              <w:t>Recoveries</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571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802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592</w:t>
            </w:r>
          </w:p>
        </w:tc>
        <w:tc>
          <w:tcPr>
            <w:tcW w:w="12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1,153</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611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3,767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Provision</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6,101</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11,163</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18,233</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(448)</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48,500</w:t>
            </w:r>
          </w:p>
        </w:tc>
        <w:tc>
          <w:tcPr>
            <w:tcW w:w="0" w:type="dxa"/>
            <w:vAlign w:val="bottom"/>
          </w:tcPr>
          <w:p>
            <w:pPr>
              <w:spacing w:after="0"/>
              <w:rPr>
                <w:sz w:val="1"/>
                <w:szCs w:val="1"/>
                <w:color w:val="auto"/>
              </w:rPr>
            </w:pPr>
          </w:p>
        </w:tc>
      </w:tr>
      <w:tr>
        <w:trPr>
          <w:trHeight w:val="20"/>
        </w:trPr>
        <w:tc>
          <w:tcPr>
            <w:tcW w:w="3380" w:type="dxa"/>
            <w:vAlign w:val="bottom"/>
            <w:gridSpan w:val="4"/>
            <w:vMerge w:val="restart"/>
          </w:tcPr>
          <w:p>
            <w:pPr>
              <w:spacing w:after="0"/>
              <w:rPr>
                <w:sz w:val="20"/>
                <w:szCs w:val="20"/>
                <w:color w:val="auto"/>
              </w:rPr>
            </w:pPr>
            <w:r>
              <w:rPr>
                <w:rFonts w:ascii="Arial" w:cs="Arial" w:eastAsia="Arial" w:hAnsi="Arial"/>
                <w:sz w:val="18"/>
                <w:szCs w:val="18"/>
                <w:color w:val="auto"/>
              </w:rPr>
              <w:t>Ending balance</w:t>
            </w: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380" w:type="dxa"/>
            <w:vAlign w:val="bottom"/>
            <w:gridSpan w:val="4"/>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26,775</w:t>
            </w:r>
          </w:p>
        </w:tc>
        <w:tc>
          <w:tcPr>
            <w:tcW w:w="26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4,858</w:t>
            </w:r>
          </w:p>
        </w:tc>
        <w:tc>
          <w:tcPr>
            <w:tcW w:w="24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8,586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27,475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28,059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2,870</w:t>
            </w:r>
          </w:p>
        </w:tc>
        <w:tc>
          <w:tcPr>
            <w:tcW w:w="160" w:type="dxa"/>
            <w:vAlign w:val="bottom"/>
          </w:tcPr>
          <w:p>
            <w:pPr>
              <w:spacing w:after="0"/>
              <w:rPr>
                <w:sz w:val="19"/>
                <w:szCs w:val="19"/>
                <w:color w:val="auto"/>
              </w:rPr>
            </w:pP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9,019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107,642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3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Ending allowance attributable to loans:</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3"/>
          </w:tcPr>
          <w:p>
            <w:pPr>
              <w:ind w:left="420"/>
              <w:spacing w:after="0"/>
              <w:rPr>
                <w:sz w:val="20"/>
                <w:szCs w:val="20"/>
                <w:color w:val="auto"/>
              </w:rPr>
            </w:pPr>
            <w:r>
              <w:rPr>
                <w:rFonts w:ascii="Arial" w:cs="Arial" w:eastAsia="Arial" w:hAnsi="Arial"/>
                <w:sz w:val="18"/>
                <w:szCs w:val="18"/>
                <w:color w:val="auto"/>
                <w:w w:val="99"/>
              </w:rPr>
              <w:t>Individually evaluated for impairment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6,692</w:t>
            </w:r>
          </w:p>
        </w:tc>
        <w:tc>
          <w:tcPr>
            <w:tcW w:w="2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725</w:t>
            </w:r>
          </w:p>
        </w:tc>
        <w:tc>
          <w:tcPr>
            <w:tcW w:w="2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2,289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1,856</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1,270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18"/>
                <w:szCs w:val="18"/>
                <w:color w:val="auto"/>
              </w:rPr>
            </w:pP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12,853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w w:val="99"/>
              </w:rPr>
              <w:t>Collectively evaluated for impairment</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20,083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4,133</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6,297</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25,619</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26,789</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9,019</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94,789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gridSpan w:val="3"/>
            <w:vMerge w:val="restart"/>
          </w:tcPr>
          <w:p>
            <w:pPr>
              <w:ind w:left="860"/>
              <w:spacing w:after="0"/>
              <w:rPr>
                <w:sz w:val="20"/>
                <w:szCs w:val="20"/>
                <w:color w:val="auto"/>
              </w:rPr>
            </w:pPr>
            <w:r>
              <w:rPr>
                <w:rFonts w:ascii="Arial" w:cs="Arial" w:eastAsia="Arial" w:hAnsi="Arial"/>
                <w:sz w:val="18"/>
                <w:szCs w:val="18"/>
                <w:color w:val="auto"/>
                <w:w w:val="98"/>
              </w:rPr>
              <w:t>Total ending allowance balance</w:t>
            </w: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3360" w:type="dxa"/>
            <w:vAlign w:val="bottom"/>
            <w:gridSpan w:val="3"/>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26,775</w:t>
            </w:r>
          </w:p>
        </w:tc>
        <w:tc>
          <w:tcPr>
            <w:tcW w:w="26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4,858</w:t>
            </w:r>
          </w:p>
        </w:tc>
        <w:tc>
          <w:tcPr>
            <w:tcW w:w="24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8,586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27,475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28,059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2,870</w:t>
            </w:r>
          </w:p>
        </w:tc>
        <w:tc>
          <w:tcPr>
            <w:tcW w:w="160" w:type="dxa"/>
            <w:vAlign w:val="bottom"/>
          </w:tcPr>
          <w:p>
            <w:pPr>
              <w:spacing w:after="0"/>
              <w:rPr>
                <w:sz w:val="19"/>
                <w:szCs w:val="19"/>
                <w:color w:val="auto"/>
              </w:rPr>
            </w:pP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9,019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107,642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3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Loans:</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3"/>
          </w:tcPr>
          <w:p>
            <w:pPr>
              <w:ind w:left="420"/>
              <w:spacing w:after="0"/>
              <w:rPr>
                <w:sz w:val="20"/>
                <w:szCs w:val="20"/>
                <w:color w:val="auto"/>
              </w:rPr>
            </w:pPr>
            <w:r>
              <w:rPr>
                <w:rFonts w:ascii="Arial" w:cs="Arial" w:eastAsia="Arial" w:hAnsi="Arial"/>
                <w:sz w:val="18"/>
                <w:szCs w:val="18"/>
                <w:color w:val="auto"/>
                <w:w w:val="99"/>
              </w:rPr>
              <w:t>Individually evaluated for impairment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119,023</w:t>
            </w:r>
          </w:p>
        </w:tc>
        <w:tc>
          <w:tcPr>
            <w:tcW w:w="2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53,531</w:t>
            </w:r>
          </w:p>
        </w:tc>
        <w:tc>
          <w:tcPr>
            <w:tcW w:w="2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42,249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21,678</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31,576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498</w:t>
            </w:r>
          </w:p>
        </w:tc>
        <w:tc>
          <w:tcPr>
            <w:tcW w:w="160" w:type="dxa"/>
            <w:vAlign w:val="bottom"/>
          </w:tcPr>
          <w:p>
            <w:pPr>
              <w:spacing w:after="0"/>
              <w:rPr>
                <w:sz w:val="18"/>
                <w:szCs w:val="18"/>
                <w:color w:val="auto"/>
              </w:rPr>
            </w:pP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268,555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w w:val="99"/>
              </w:rPr>
              <w:t>Collectively evaluated for impairment</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1,700,132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406,466</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118,516</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4"/>
              </w:rPr>
              <w:t>1,152,558</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357,166</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134,452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3,869,290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gridSpan w:val="3"/>
            <w:vMerge w:val="restart"/>
          </w:tcPr>
          <w:p>
            <w:pPr>
              <w:ind w:left="860"/>
              <w:spacing w:after="0"/>
              <w:rPr>
                <w:sz w:val="20"/>
                <w:szCs w:val="20"/>
                <w:color w:val="auto"/>
              </w:rPr>
            </w:pPr>
            <w:r>
              <w:rPr>
                <w:rFonts w:ascii="Arial" w:cs="Arial" w:eastAsia="Arial" w:hAnsi="Arial"/>
                <w:sz w:val="18"/>
                <w:szCs w:val="18"/>
                <w:color w:val="auto"/>
              </w:rPr>
              <w:t>Total loans</w:t>
            </w: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3360" w:type="dxa"/>
            <w:vAlign w:val="bottom"/>
            <w:gridSpan w:val="3"/>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1,819,155</w:t>
            </w:r>
          </w:p>
        </w:tc>
        <w:tc>
          <w:tcPr>
            <w:tcW w:w="26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459,997</w:t>
            </w:r>
          </w:p>
        </w:tc>
        <w:tc>
          <w:tcPr>
            <w:tcW w:w="24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160,765</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w w:val="84"/>
              </w:rPr>
              <w:t>1,174,236</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388,742</w:t>
            </w:r>
          </w:p>
        </w:tc>
        <w:tc>
          <w:tcPr>
            <w:tcW w:w="100" w:type="dxa"/>
            <w:vAlign w:val="bottom"/>
          </w:tcPr>
          <w:p>
            <w:pPr>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134,950</w:t>
            </w:r>
          </w:p>
        </w:tc>
        <w:tc>
          <w:tcPr>
            <w:tcW w:w="160" w:type="dxa"/>
            <w:vAlign w:val="bottom"/>
          </w:tcPr>
          <w:p>
            <w:pPr>
              <w:spacing w:after="0"/>
              <w:rPr>
                <w:sz w:val="19"/>
                <w:szCs w:val="19"/>
                <w:color w:val="auto"/>
              </w:rPr>
            </w:pP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4,137,845</w:t>
            </w:r>
          </w:p>
        </w:tc>
        <w:tc>
          <w:tcPr>
            <w:tcW w:w="0" w:type="dxa"/>
            <w:vAlign w:val="bottom"/>
          </w:tcPr>
          <w:p>
            <w:pPr>
              <w:spacing w:after="0"/>
              <w:rPr>
                <w:sz w:val="1"/>
                <w:szCs w:val="1"/>
                <w:color w:val="auto"/>
              </w:rPr>
            </w:pPr>
          </w:p>
        </w:tc>
      </w:tr>
      <w:tr>
        <w:trPr>
          <w:trHeight w:val="20"/>
        </w:trPr>
        <w:tc>
          <w:tcPr>
            <w:tcW w:w="33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December 31, 2011</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338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Allowance for loan losses:</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3"/>
          </w:tcPr>
          <w:p>
            <w:pPr>
              <w:spacing w:after="0"/>
              <w:rPr>
                <w:sz w:val="20"/>
                <w:szCs w:val="20"/>
                <w:color w:val="auto"/>
              </w:rPr>
            </w:pPr>
            <w:r>
              <w:rPr>
                <w:rFonts w:ascii="Arial" w:cs="Arial" w:eastAsia="Arial" w:hAnsi="Arial"/>
                <w:sz w:val="18"/>
                <w:szCs w:val="18"/>
                <w:color w:val="auto"/>
              </w:rPr>
              <w:t>Ending allowance attributable to loans:</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w w:val="99"/>
              </w:rPr>
              <w:t>Individually evaluated for impairment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1,117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2,234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3,731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3"/>
          </w:tcPr>
          <w:p>
            <w:pPr>
              <w:ind w:left="420"/>
              <w:spacing w:after="0"/>
              <w:rPr>
                <w:sz w:val="20"/>
                <w:szCs w:val="20"/>
                <w:color w:val="auto"/>
              </w:rPr>
            </w:pPr>
            <w:r>
              <w:rPr>
                <w:rFonts w:ascii="Arial" w:cs="Arial" w:eastAsia="Arial" w:hAnsi="Arial"/>
                <w:sz w:val="18"/>
                <w:szCs w:val="18"/>
                <w:color w:val="auto"/>
                <w:w w:val="99"/>
              </w:rPr>
              <w:t>Collectively evaluated for impairment</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24,153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4,564</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5,861</w:t>
            </w: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26,842</w:t>
            </w:r>
          </w:p>
        </w:tc>
        <w:tc>
          <w:tcPr>
            <w:tcW w:w="12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26,648</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2,108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9,467</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99,643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w w:val="98"/>
              </w:rPr>
              <w:t>Total ending allowance balance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31,644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5,681</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6,097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29,076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30,379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2,124</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9,467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114,468</w:t>
            </w:r>
          </w:p>
        </w:tc>
        <w:tc>
          <w:tcPr>
            <w:tcW w:w="0" w:type="dxa"/>
            <w:vAlign w:val="bottom"/>
          </w:tcPr>
          <w:p>
            <w:pPr>
              <w:spacing w:after="0"/>
              <w:rPr>
                <w:sz w:val="1"/>
                <w:szCs w:val="1"/>
                <w:color w:val="auto"/>
              </w:rPr>
            </w:pPr>
          </w:p>
        </w:tc>
      </w:tr>
      <w:tr>
        <w:trPr>
          <w:trHeight w:val="20"/>
        </w:trPr>
        <w:tc>
          <w:tcPr>
            <w:tcW w:w="3380" w:type="dxa"/>
            <w:vAlign w:val="bottom"/>
            <w:gridSpan w:val="4"/>
            <w:vMerge w:val="restart"/>
          </w:tcPr>
          <w:p>
            <w:pPr>
              <w:spacing w:after="0"/>
              <w:rPr>
                <w:sz w:val="20"/>
                <w:szCs w:val="20"/>
                <w:color w:val="auto"/>
              </w:rPr>
            </w:pPr>
            <w:r>
              <w:rPr>
                <w:rFonts w:ascii="Arial" w:cs="Arial" w:eastAsia="Arial" w:hAnsi="Arial"/>
                <w:sz w:val="18"/>
                <w:szCs w:val="18"/>
                <w:color w:val="auto"/>
              </w:rPr>
              <w:t>Loans: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380" w:type="dxa"/>
            <w:vAlign w:val="bottom"/>
            <w:gridSpan w:val="4"/>
            <w:vMerge w:val="continue"/>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3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w w:val="99"/>
              </w:rPr>
              <w:t>Individually evaluated for impairment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107,831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57,828</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26,245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18,376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46,687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3"/>
          </w:tcPr>
          <w:p>
            <w:pPr>
              <w:ind w:left="420"/>
              <w:spacing w:after="0"/>
              <w:rPr>
                <w:sz w:val="20"/>
                <w:szCs w:val="20"/>
                <w:color w:val="auto"/>
              </w:rPr>
            </w:pPr>
            <w:r>
              <w:rPr>
                <w:rFonts w:ascii="Arial" w:cs="Arial" w:eastAsia="Arial" w:hAnsi="Arial"/>
                <w:sz w:val="18"/>
                <w:szCs w:val="18"/>
                <w:color w:val="auto"/>
                <w:w w:val="99"/>
              </w:rPr>
              <w:t>Collectively evaluated for impairment</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1,713,583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370,421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137,910</w:t>
            </w: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w w:val="84"/>
              </w:rPr>
              <w:t>1,116,526</w:t>
            </w:r>
          </w:p>
        </w:tc>
        <w:tc>
          <w:tcPr>
            <w:tcW w:w="12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401,704</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112,211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3,852,355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Total loans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1,821,414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428,249</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164,155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4"/>
              </w:rPr>
              <w:t>1,134,902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448,391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112,503</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4,109,614</w:t>
            </w:r>
          </w:p>
        </w:tc>
        <w:tc>
          <w:tcPr>
            <w:tcW w:w="0" w:type="dxa"/>
            <w:vAlign w:val="bottom"/>
          </w:tcPr>
          <w:p>
            <w:pPr>
              <w:spacing w:after="0"/>
              <w:rPr>
                <w:sz w:val="1"/>
                <w:szCs w:val="1"/>
                <w:color w:val="auto"/>
              </w:rPr>
            </w:pPr>
          </w:p>
        </w:tc>
      </w:tr>
      <w:tr>
        <w:trPr>
          <w:trHeight w:val="20"/>
        </w:trPr>
        <w:tc>
          <w:tcPr>
            <w:tcW w:w="33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Nine Months Ended September 30, 2011</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38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Allowance for loan losses:</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3"/>
          </w:tcPr>
          <w:p>
            <w:pPr>
              <w:spacing w:after="0"/>
              <w:rPr>
                <w:sz w:val="20"/>
                <w:szCs w:val="20"/>
                <w:color w:val="auto"/>
              </w:rPr>
            </w:pPr>
            <w:r>
              <w:rPr>
                <w:rFonts w:ascii="Arial" w:cs="Arial" w:eastAsia="Arial" w:hAnsi="Arial"/>
                <w:sz w:val="18"/>
                <w:szCs w:val="18"/>
                <w:color w:val="auto"/>
              </w:rPr>
              <w:t>Beginning balance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31,191</w:t>
            </w:r>
          </w:p>
        </w:tc>
        <w:tc>
          <w:tcPr>
            <w:tcW w:w="2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7,580</w:t>
            </w:r>
          </w:p>
        </w:tc>
        <w:tc>
          <w:tcPr>
            <w:tcW w:w="2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6,780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22,305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92,571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3,030</w:t>
            </w:r>
          </w:p>
        </w:tc>
        <w:tc>
          <w:tcPr>
            <w:tcW w:w="160" w:type="dxa"/>
            <w:vAlign w:val="bottom"/>
          </w:tcPr>
          <w:p>
            <w:pPr>
              <w:spacing w:after="0"/>
              <w:rPr>
                <w:sz w:val="18"/>
                <w:szCs w:val="18"/>
                <w:color w:val="auto"/>
              </w:rPr>
            </w:pP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11,238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174,695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Charge-offs</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(54,410)</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(5,832)</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(52,400)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(47,742)</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(106,692)</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(270,025)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3"/>
          </w:tcPr>
          <w:p>
            <w:pPr>
              <w:ind w:left="420"/>
              <w:spacing w:after="0"/>
              <w:rPr>
                <w:sz w:val="20"/>
                <w:szCs w:val="20"/>
                <w:color w:val="auto"/>
              </w:rPr>
            </w:pPr>
            <w:r>
              <w:rPr>
                <w:rFonts w:ascii="Arial" w:cs="Arial" w:eastAsia="Arial" w:hAnsi="Arial"/>
                <w:sz w:val="18"/>
                <w:szCs w:val="18"/>
                <w:color w:val="auto"/>
              </w:rPr>
              <w:t>Recoveries</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849</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660</w:t>
            </w:r>
          </w:p>
        </w:tc>
        <w:tc>
          <w:tcPr>
            <w:tcW w:w="12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1,544</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826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Provision</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48,344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20,174</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54,133</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53,786</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57,842</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1,425</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237,000</w:t>
            </w:r>
          </w:p>
        </w:tc>
        <w:tc>
          <w:tcPr>
            <w:tcW w:w="0" w:type="dxa"/>
            <w:vAlign w:val="bottom"/>
          </w:tcPr>
          <w:p>
            <w:pPr>
              <w:spacing w:after="0"/>
              <w:rPr>
                <w:sz w:val="1"/>
                <w:szCs w:val="1"/>
                <w:color w:val="auto"/>
              </w:rPr>
            </w:pPr>
          </w:p>
        </w:tc>
      </w:tr>
      <w:tr>
        <w:trPr>
          <w:trHeight w:val="20"/>
        </w:trPr>
        <w:tc>
          <w:tcPr>
            <w:tcW w:w="3380" w:type="dxa"/>
            <w:vAlign w:val="bottom"/>
            <w:gridSpan w:val="4"/>
            <w:vMerge w:val="restart"/>
          </w:tcPr>
          <w:p>
            <w:pPr>
              <w:spacing w:after="0"/>
              <w:rPr>
                <w:sz w:val="20"/>
                <w:szCs w:val="20"/>
                <w:color w:val="auto"/>
              </w:rPr>
            </w:pPr>
            <w:r>
              <w:rPr>
                <w:rFonts w:ascii="Arial" w:cs="Arial" w:eastAsia="Arial" w:hAnsi="Arial"/>
                <w:sz w:val="18"/>
                <w:szCs w:val="18"/>
                <w:color w:val="auto"/>
              </w:rPr>
              <w:t>Ending balance</w:t>
            </w: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380" w:type="dxa"/>
            <w:vAlign w:val="bottom"/>
            <w:gridSpan w:val="4"/>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25,477</w:t>
            </w:r>
          </w:p>
        </w:tc>
        <w:tc>
          <w:tcPr>
            <w:tcW w:w="26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22,771</w:t>
            </w:r>
          </w:p>
        </w:tc>
        <w:tc>
          <w:tcPr>
            <w:tcW w:w="24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8,704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29,009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45,265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2,203</w:t>
            </w:r>
          </w:p>
        </w:tc>
        <w:tc>
          <w:tcPr>
            <w:tcW w:w="160" w:type="dxa"/>
            <w:vAlign w:val="bottom"/>
          </w:tcPr>
          <w:p>
            <w:pPr>
              <w:spacing w:after="0"/>
              <w:rPr>
                <w:sz w:val="19"/>
                <w:szCs w:val="19"/>
                <w:color w:val="auto"/>
              </w:rPr>
            </w:pP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12,663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146,092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3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Ending allowance attributable to loans:</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3"/>
          </w:tcPr>
          <w:p>
            <w:pPr>
              <w:ind w:left="420"/>
              <w:spacing w:after="0"/>
              <w:rPr>
                <w:sz w:val="20"/>
                <w:szCs w:val="20"/>
                <w:color w:val="auto"/>
              </w:rPr>
            </w:pPr>
            <w:r>
              <w:rPr>
                <w:rFonts w:ascii="Arial" w:cs="Arial" w:eastAsia="Arial" w:hAnsi="Arial"/>
                <w:sz w:val="18"/>
                <w:szCs w:val="18"/>
                <w:color w:val="auto"/>
                <w:w w:val="99"/>
              </w:rPr>
              <w:t>Individually evaluated for impairment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4,070</w:t>
            </w:r>
          </w:p>
        </w:tc>
        <w:tc>
          <w:tcPr>
            <w:tcW w:w="2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17,067</w:t>
            </w:r>
          </w:p>
        </w:tc>
        <w:tc>
          <w:tcPr>
            <w:tcW w:w="2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4,038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1,062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7,267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37</w:t>
            </w:r>
          </w:p>
        </w:tc>
        <w:tc>
          <w:tcPr>
            <w:tcW w:w="160" w:type="dxa"/>
            <w:vAlign w:val="bottom"/>
          </w:tcPr>
          <w:p>
            <w:pPr>
              <w:spacing w:after="0"/>
              <w:rPr>
                <w:sz w:val="18"/>
                <w:szCs w:val="18"/>
                <w:color w:val="auto"/>
              </w:rPr>
            </w:pP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33,541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w w:val="99"/>
              </w:rPr>
              <w:t>Collectively evaluated for impairment</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21,407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5,704</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4,666</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27,947</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37,998</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12,663</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112,551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gridSpan w:val="3"/>
            <w:vMerge w:val="restart"/>
          </w:tcPr>
          <w:p>
            <w:pPr>
              <w:ind w:left="860"/>
              <w:spacing w:after="0"/>
              <w:rPr>
                <w:sz w:val="20"/>
                <w:szCs w:val="20"/>
                <w:color w:val="auto"/>
              </w:rPr>
            </w:pPr>
            <w:r>
              <w:rPr>
                <w:rFonts w:ascii="Arial" w:cs="Arial" w:eastAsia="Arial" w:hAnsi="Arial"/>
                <w:sz w:val="18"/>
                <w:szCs w:val="18"/>
                <w:color w:val="auto"/>
                <w:w w:val="98"/>
              </w:rPr>
              <w:t>Total ending allowance balance</w:t>
            </w: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3360" w:type="dxa"/>
            <w:vAlign w:val="bottom"/>
            <w:gridSpan w:val="3"/>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25,477</w:t>
            </w:r>
          </w:p>
        </w:tc>
        <w:tc>
          <w:tcPr>
            <w:tcW w:w="26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22,771</w:t>
            </w:r>
          </w:p>
        </w:tc>
        <w:tc>
          <w:tcPr>
            <w:tcW w:w="24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8,704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29,009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45,265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2,203</w:t>
            </w:r>
          </w:p>
        </w:tc>
        <w:tc>
          <w:tcPr>
            <w:tcW w:w="160" w:type="dxa"/>
            <w:vAlign w:val="bottom"/>
          </w:tcPr>
          <w:p>
            <w:pPr>
              <w:spacing w:after="0"/>
              <w:rPr>
                <w:sz w:val="19"/>
                <w:szCs w:val="19"/>
                <w:color w:val="auto"/>
              </w:rPr>
            </w:pP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12,663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146,092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3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Loans:</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3"/>
          </w:tcPr>
          <w:p>
            <w:pPr>
              <w:ind w:left="420"/>
              <w:spacing w:after="0"/>
              <w:rPr>
                <w:sz w:val="20"/>
                <w:szCs w:val="20"/>
                <w:color w:val="auto"/>
              </w:rPr>
            </w:pPr>
            <w:r>
              <w:rPr>
                <w:rFonts w:ascii="Arial" w:cs="Arial" w:eastAsia="Arial" w:hAnsi="Arial"/>
                <w:sz w:val="18"/>
                <w:szCs w:val="18"/>
                <w:color w:val="auto"/>
                <w:w w:val="99"/>
              </w:rPr>
              <w:t>Individually evaluated for impairment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54,126</w:t>
            </w:r>
          </w:p>
        </w:tc>
        <w:tc>
          <w:tcPr>
            <w:tcW w:w="2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52,433</w:t>
            </w:r>
          </w:p>
        </w:tc>
        <w:tc>
          <w:tcPr>
            <w:tcW w:w="2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23,844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8,043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44,189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95</w:t>
            </w:r>
          </w:p>
        </w:tc>
        <w:tc>
          <w:tcPr>
            <w:tcW w:w="160" w:type="dxa"/>
            <w:vAlign w:val="bottom"/>
          </w:tcPr>
          <w:p>
            <w:pPr>
              <w:spacing w:after="0"/>
              <w:rPr>
                <w:sz w:val="18"/>
                <w:szCs w:val="18"/>
                <w:color w:val="auto"/>
              </w:rPr>
            </w:pP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182,730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w w:val="99"/>
              </w:rPr>
              <w:t>Collectively evaluated for impairment</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1,716,975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376,610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144,687</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4"/>
              </w:rPr>
              <w:t>1,141,635</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430,363</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116,875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3,927,145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gridSpan w:val="3"/>
            <w:vMerge w:val="restart"/>
          </w:tcPr>
          <w:p>
            <w:pPr>
              <w:ind w:left="860"/>
              <w:spacing w:after="0"/>
              <w:rPr>
                <w:sz w:val="20"/>
                <w:szCs w:val="20"/>
                <w:color w:val="auto"/>
              </w:rPr>
            </w:pPr>
            <w:r>
              <w:rPr>
                <w:rFonts w:ascii="Arial" w:cs="Arial" w:eastAsia="Arial" w:hAnsi="Arial"/>
                <w:sz w:val="18"/>
                <w:szCs w:val="18"/>
                <w:color w:val="auto"/>
              </w:rPr>
              <w:t>Total loans</w:t>
            </w: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3360" w:type="dxa"/>
            <w:vAlign w:val="bottom"/>
            <w:gridSpan w:val="3"/>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1,771,101</w:t>
            </w:r>
          </w:p>
        </w:tc>
        <w:tc>
          <w:tcPr>
            <w:tcW w:w="26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429,043</w:t>
            </w:r>
          </w:p>
        </w:tc>
        <w:tc>
          <w:tcPr>
            <w:tcW w:w="24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168,531</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w w:val="84"/>
              </w:rPr>
              <w:t>1,149,678</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474,552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116,970</w:t>
            </w:r>
          </w:p>
        </w:tc>
        <w:tc>
          <w:tcPr>
            <w:tcW w:w="160" w:type="dxa"/>
            <w:vAlign w:val="bottom"/>
          </w:tcPr>
          <w:p>
            <w:pPr>
              <w:spacing w:after="0"/>
              <w:rPr>
                <w:sz w:val="19"/>
                <w:szCs w:val="19"/>
                <w:color w:val="auto"/>
              </w:rPr>
            </w:pP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4,109,875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In calculating specific reserves, United reviews all loans that are on nonaccrual with a balance of $500,000 or greater for impairment, as well as accruing substandard relationships greater than $2 million and all troubled debt restructurings (“TDRs”). A loan is considered impaired when, based on current events and circumstances, it is probable that all amounts due, according to the contractual terms of the loan, will not be collected. All TDRs are considered impaired regardless of accrual status. Impaired loans are measured based on the present value of expected future cash flows, discounted at the loan’s effective interest rate, the loan’s observable market price, or the fair value of the collateral if the loan is collateral dependent. Interest payments received on impaired nonaccrual loans are applied as a reduction of the outstanding principal balance. For impaired loans not on nonaccrual status, interest is accrued according to the terms of the loan agreement. Impairment amounts are recorded quarterly and specific reserves are recorded in the allowance for loan losses.</w:t>
      </w:r>
    </w:p>
    <w:p>
      <w:pPr>
        <w:sectPr>
          <w:pgSz w:w="11900" w:h="16838" w:orient="portrait"/>
          <w:cols w:equalWidth="0" w:num="1">
            <w:col w:w="11420"/>
          </w:cols>
          <w:pgMar w:left="240" w:top="459" w:right="239" w:bottom="1440" w:gutter="0" w:footer="0" w:header="0"/>
        </w:sectPr>
      </w:pP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459" w:right="23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1"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Each quarter, United’s management prepares an analysis of the allowance for loan losses to determine the appropriate balance that measures and quantifies the amount of loss inherent in the loan portfolio. The allowance is comprised of specific reserves which are determined as described above, general reserves which are determined based on historical loss experience as adjusted for current trends and economic conditions and an unallocated portion. United uses eight quarters of historical loss experience weighted toward the most recent quarters to determine the loss factors to be used. Eight quarters has been determined to be an appropriate time period as it is recent enough to be relevant to current conditions and covers a length of time sufficient to normalize for nonrecurring and unusual activity that might otherwise influence a shorter time period. The weighted average is accomplished by multiplying each quarter’s annualized historical net charge-off rate by 1 through 8, with 8 representing the most recent quarter and 1 representing the oldest quarter. United uses annualized charge-off rates under the broad assumption that losses inherent in the loan portfolio will generally be resolved within twelve months. Problem loans that are not resolved within twelve months are generally larger loans that are more complex in nature requiring more time to either rehabilitate or work out of the bank. These credits are subject to impairment testing and specific reserves.</w:t>
      </w:r>
    </w:p>
    <w:p>
      <w:pPr>
        <w:spacing w:after="0" w:line="123"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The weighted loss factor results for each quarter are added together and divided by 36 (the sum of 1, 2, 3, 4, 5, 6, 7 and 8) to arrive at the weighted average historical loss factor for each category of loans. United calculates loss factors for each major category of loans (commercial real estate, commercial &amp; industrial, commercial construction, residential construction and consumer installment) except residential real estate loans which are further divided into home equity first lien, home equity junior lien and all other residential real estate loans and a loss factor is calculated for each category.</w:t>
      </w:r>
    </w:p>
    <w:p>
      <w:pPr>
        <w:spacing w:after="0" w:line="113"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Management carefully reviews the resulting loss factors for each category of the loan portfolio and evaluates whether qualitative adjustments are necessary to take into consideration recent credit trends such as increases or decreases in past due, nonaccrual, criticized and classified loans, acceleration or delays in timing of recognition of losses that may render the use of annualized charge-off rates to be inappropriate, and other macro environmental factors such as changes in unemployment rates, lease vacancy rates and trends in property values and absorption rates.</w:t>
      </w:r>
    </w:p>
    <w:p>
      <w:pPr>
        <w:spacing w:after="0" w:line="11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To validate the results, management closely monitors the loan portfolio to determine the range of potential losses based upon probability of default and losses upon default for each major loan category. The potential range of losses resulting from this analysis is compared to the resulting loss factors for each major loan category to validate the loss factors and determine if qualitative adjustments are necessary. United’s management believes that its method of determining the balance of the allowance for loan losses provides a reasonable and reliable basis for measuring and reporting losses that are inherent in the loan portfolio as of the reporting date.</w:t>
      </w:r>
    </w:p>
    <w:p>
      <w:pPr>
        <w:spacing w:after="0" w:line="143"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At September 30, 2012, December 31, 2011 and September 30, 2011, loans with a carrying value of $1.78 billion, $1.52 billion and $1.37 billion were pledged as collateral to secure FHLB advances and other contingent funding sources.</w:t>
      </w:r>
    </w:p>
    <w:p>
      <w:pPr>
        <w:spacing w:after="0" w:line="132"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The recorded investments in individually evaluated impaired loans at September 30, 2012, December 31, 2011 and September 30, 2011 were as follows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160" w:type="dxa"/>
            <w:vAlign w:val="bottom"/>
            <w:gridSpan w:val="3"/>
          </w:tcPr>
          <w:p>
            <w:pPr>
              <w:ind w:left="320"/>
              <w:spacing w:after="0"/>
              <w:rPr>
                <w:sz w:val="20"/>
                <w:szCs w:val="20"/>
                <w:color w:val="auto"/>
              </w:rPr>
            </w:pPr>
            <w:r>
              <w:rPr>
                <w:rFonts w:ascii="Arial" w:cs="Arial" w:eastAsia="Arial" w:hAnsi="Arial"/>
                <w:sz w:val="14"/>
                <w:szCs w:val="14"/>
                <w:b w:val="1"/>
                <w:bCs w:val="1"/>
                <w:color w:val="auto"/>
                <w:w w:val="85"/>
              </w:rPr>
              <w:t>September 30,</w:t>
            </w:r>
          </w:p>
        </w:tc>
        <w:tc>
          <w:tcPr>
            <w:tcW w:w="140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1540" w:type="dxa"/>
            <w:vAlign w:val="bottom"/>
            <w:gridSpan w:val="4"/>
          </w:tcPr>
          <w:p>
            <w:pPr>
              <w:ind w:left="620"/>
              <w:spacing w:after="0"/>
              <w:rPr>
                <w:sz w:val="20"/>
                <w:szCs w:val="20"/>
                <w:color w:val="auto"/>
              </w:rPr>
            </w:pPr>
            <w:r>
              <w:rPr>
                <w:rFonts w:ascii="Arial" w:cs="Arial" w:eastAsia="Arial" w:hAnsi="Arial"/>
                <w:sz w:val="14"/>
                <w:szCs w:val="14"/>
                <w:b w:val="1"/>
                <w:bCs w:val="1"/>
                <w:color w:val="auto"/>
                <w:w w:val="93"/>
              </w:rPr>
              <w:t>September 30,</w:t>
            </w:r>
          </w:p>
        </w:tc>
        <w:tc>
          <w:tcPr>
            <w:tcW w:w="0" w:type="dxa"/>
            <w:vAlign w:val="bottom"/>
          </w:tcPr>
          <w:p>
            <w:pPr>
              <w:spacing w:after="0"/>
              <w:rPr>
                <w:sz w:val="1"/>
                <w:szCs w:val="1"/>
                <w:color w:val="auto"/>
              </w:rPr>
            </w:pPr>
          </w:p>
        </w:tc>
      </w:tr>
      <w:tr>
        <w:trPr>
          <w:trHeight w:val="161"/>
        </w:trPr>
        <w:tc>
          <w:tcPr>
            <w:tcW w:w="458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2012</w:t>
            </w:r>
          </w:p>
        </w:tc>
        <w:tc>
          <w:tcPr>
            <w:tcW w:w="6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2011</w:t>
            </w:r>
          </w:p>
        </w:tc>
        <w:tc>
          <w:tcPr>
            <w:tcW w:w="6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4"/>
              </w:rPr>
              <w:t>Period-end loans with no allocated allowance for loan losses</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174,113</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188,509</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80" w:type="dxa"/>
            <w:vAlign w:val="bottom"/>
          </w:tcPr>
          <w:p>
            <w:pPr>
              <w:spacing w:after="0"/>
              <w:rPr>
                <w:sz w:val="20"/>
                <w:szCs w:val="20"/>
                <w:color w:val="auto"/>
              </w:rPr>
            </w:pPr>
            <w:r>
              <w:rPr>
                <w:rFonts w:ascii="Arial" w:cs="Arial" w:eastAsia="Arial" w:hAnsi="Arial"/>
                <w:sz w:val="18"/>
                <w:szCs w:val="18"/>
                <w:color w:val="auto"/>
                <w:w w:val="99"/>
              </w:rPr>
              <w:t>Period-end loans with allocated allowance for loan losses</w:t>
            </w:r>
          </w:p>
        </w:tc>
        <w:tc>
          <w:tcPr>
            <w:tcW w:w="3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94,442</w:t>
            </w:r>
          </w:p>
        </w:tc>
        <w:tc>
          <w:tcPr>
            <w:tcW w:w="6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68,750</w:t>
            </w:r>
          </w:p>
        </w:tc>
        <w:tc>
          <w:tcPr>
            <w:tcW w:w="6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116,094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268,555</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257,259</w:t>
            </w:r>
          </w:p>
        </w:tc>
        <w:tc>
          <w:tcPr>
            <w:tcW w:w="78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182,730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rPr>
                <w:sz w:val="20"/>
                <w:szCs w:val="20"/>
                <w:color w:val="auto"/>
              </w:rPr>
            </w:pPr>
            <w:r>
              <w:rPr>
                <w:rFonts w:ascii="Arial" w:cs="Arial" w:eastAsia="Arial" w:hAnsi="Arial"/>
                <w:sz w:val="18"/>
                <w:szCs w:val="18"/>
                <w:color w:val="auto"/>
              </w:rPr>
              <w:t>Amount of allowance for loan losses allocated</w:t>
            </w: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580" w:type="dxa"/>
            <w:vAlign w:val="bottom"/>
            <w:vMerge w:val="continue"/>
          </w:tcPr>
          <w:p>
            <w:pPr>
              <w:spacing w:after="0"/>
              <w:rPr>
                <w:sz w:val="18"/>
                <w:szCs w:val="18"/>
                <w:color w:val="auto"/>
              </w:rPr>
            </w:pPr>
          </w:p>
        </w:tc>
        <w:tc>
          <w:tcPr>
            <w:tcW w:w="5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12,853</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14,825</w:t>
            </w:r>
          </w:p>
        </w:tc>
        <w:tc>
          <w:tcPr>
            <w:tcW w:w="78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33,541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average balances of impaired loans and income recognized on impaired loans while they were considered impaired is presented below for the three and nine months ended September 30, 2012 and 2011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94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174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8"/>
              </w:rPr>
              <w:t>Nine Months Ended</w:t>
            </w:r>
          </w:p>
        </w:tc>
      </w:tr>
      <w:tr>
        <w:trPr>
          <w:trHeight w:val="161"/>
        </w:trPr>
        <w:tc>
          <w:tcPr>
            <w:tcW w:w="5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94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74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5"/>
              </w:rPr>
              <w:t>September 30,</w:t>
            </w:r>
          </w:p>
        </w:tc>
      </w:tr>
      <w:tr>
        <w:trPr>
          <w:trHeight w:val="142"/>
        </w:trPr>
        <w:tc>
          <w:tcPr>
            <w:tcW w:w="51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680" w:type="dxa"/>
            <w:vAlign w:val="bottom"/>
            <w:tcBorders>
              <w:top w:val="single" w:sz="8" w:color="auto"/>
            </w:tcBorders>
          </w:tcPr>
          <w:p>
            <w:pPr>
              <w:jc w:val="right"/>
              <w:ind w:right="127"/>
              <w:spacing w:after="0" w:line="142" w:lineRule="exact"/>
              <w:rPr>
                <w:sz w:val="20"/>
                <w:szCs w:val="20"/>
                <w:color w:val="auto"/>
              </w:rPr>
            </w:pPr>
            <w:r>
              <w:rPr>
                <w:rFonts w:ascii="Arial" w:cs="Arial" w:eastAsia="Arial" w:hAnsi="Arial"/>
                <w:sz w:val="14"/>
                <w:szCs w:val="14"/>
                <w:b w:val="1"/>
                <w:bCs w:val="1"/>
                <w:color w:val="auto"/>
              </w:rPr>
              <w:t>2012</w:t>
            </w:r>
          </w:p>
        </w:tc>
        <w:tc>
          <w:tcPr>
            <w:tcW w:w="1060" w:type="dxa"/>
            <w:vAlign w:val="bottom"/>
            <w:tcBorders>
              <w:top w:val="single" w:sz="8" w:color="auto"/>
            </w:tcBorders>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Borders>
              <w:top w:val="single" w:sz="8" w:color="auto"/>
            </w:tcBorders>
          </w:tcPr>
          <w:p>
            <w:pPr>
              <w:jc w:val="right"/>
              <w:ind w:right="127"/>
              <w:spacing w:after="0" w:line="142" w:lineRule="exact"/>
              <w:rPr>
                <w:sz w:val="20"/>
                <w:szCs w:val="20"/>
                <w:color w:val="auto"/>
              </w:rPr>
            </w:pPr>
            <w:r>
              <w:rPr>
                <w:rFonts w:ascii="Arial" w:cs="Arial" w:eastAsia="Arial" w:hAnsi="Arial"/>
                <w:sz w:val="14"/>
                <w:szCs w:val="14"/>
                <w:b w:val="1"/>
                <w:bCs w:val="1"/>
                <w:color w:val="auto"/>
              </w:rPr>
              <w:t>2012</w:t>
            </w:r>
          </w:p>
        </w:tc>
        <w:tc>
          <w:tcPr>
            <w:tcW w:w="3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r>
      <w:tr>
        <w:trPr>
          <w:trHeight w:val="210"/>
        </w:trPr>
        <w:tc>
          <w:tcPr>
            <w:tcW w:w="51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w w:val="90"/>
              </w:rPr>
              <w:t>Average balance of individually evaluated impaired loans during period</w:t>
            </w:r>
          </w:p>
        </w:tc>
        <w:tc>
          <w:tcPr>
            <w:tcW w:w="15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$275,960</w:t>
            </w:r>
          </w:p>
        </w:tc>
        <w:tc>
          <w:tcPr>
            <w:tcW w:w="4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$109,164</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$281,307</w:t>
            </w:r>
          </w:p>
        </w:tc>
        <w:tc>
          <w:tcPr>
            <w:tcW w:w="3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$81,031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Interest income recognized during impairment</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2,110</w:t>
            </w:r>
          </w:p>
        </w:tc>
        <w:tc>
          <w:tcPr>
            <w:tcW w:w="1260" w:type="dxa"/>
            <w:vAlign w:val="bottom"/>
            <w:gridSpan w:val="3"/>
          </w:tcPr>
          <w:p>
            <w:pPr>
              <w:jc w:val="right"/>
              <w:ind w:right="200"/>
              <w:spacing w:after="0"/>
              <w:rPr>
                <w:sz w:val="20"/>
                <w:szCs w:val="20"/>
                <w:color w:val="auto"/>
              </w:rPr>
            </w:pPr>
            <w:r>
              <w:rPr>
                <w:rFonts w:ascii="Arial" w:cs="Arial" w:eastAsia="Arial" w:hAnsi="Arial"/>
                <w:sz w:val="18"/>
                <w:szCs w:val="18"/>
                <w:color w:val="auto"/>
              </w:rPr>
              <w:t>797</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6,798</w:t>
            </w:r>
          </w:p>
        </w:tc>
        <w:tc>
          <w:tcPr>
            <w:tcW w:w="3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797</w:t>
            </w:r>
          </w:p>
        </w:tc>
        <w:tc>
          <w:tcPr>
            <w:tcW w:w="100" w:type="dxa"/>
            <w:vAlign w:val="bottom"/>
          </w:tcPr>
          <w:p>
            <w:pPr>
              <w:spacing w:after="0"/>
              <w:rPr>
                <w:sz w:val="18"/>
                <w:szCs w:val="18"/>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Cash-basis interest income recognized</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2,932</w:t>
            </w: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630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9,340</w:t>
            </w: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100" w:type="dxa"/>
            <w:vAlign w:val="bottom"/>
            <w:shd w:val="clear" w:color="auto" w:fill="CCEEFF"/>
          </w:tcPr>
          <w:p>
            <w:pPr>
              <w:spacing w:after="0"/>
              <w:rPr>
                <w:sz w:val="18"/>
                <w:szCs w:val="18"/>
                <w:color w:val="auto"/>
              </w:rPr>
            </w:pPr>
          </w:p>
        </w:tc>
      </w:tr>
      <w:tr>
        <w:trPr>
          <w:trHeight w:val="363"/>
        </w:trPr>
        <w:tc>
          <w:tcPr>
            <w:tcW w:w="5100" w:type="dxa"/>
            <w:vAlign w:val="bottom"/>
          </w:tcPr>
          <w:p>
            <w:pPr>
              <w:spacing w:after="0"/>
              <w:rPr>
                <w:sz w:val="24"/>
                <w:szCs w:val="24"/>
                <w:color w:val="auto"/>
              </w:rPr>
            </w:pPr>
          </w:p>
        </w:tc>
        <w:tc>
          <w:tcPr>
            <w:tcW w:w="1520" w:type="dxa"/>
            <w:vAlign w:val="bottom"/>
          </w:tcPr>
          <w:p>
            <w:pPr>
              <w:jc w:val="right"/>
              <w:ind w:right="1192"/>
              <w:spacing w:after="0"/>
              <w:rPr>
                <w:sz w:val="20"/>
                <w:szCs w:val="20"/>
                <w:color w:val="auto"/>
              </w:rPr>
            </w:pPr>
            <w:r>
              <w:rPr>
                <w:rFonts w:ascii="Arial" w:cs="Arial" w:eastAsia="Arial" w:hAnsi="Arial"/>
                <w:sz w:val="18"/>
                <w:szCs w:val="18"/>
                <w:color w:val="auto"/>
              </w:rPr>
              <w:t>16</w:t>
            </w: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380"/>
          </w:cols>
          <w:pgMar w:left="240" w:top="45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 xml:space="preserve">The following table presents loans individually evaluated for impairment by class of loans as of September 30, 2012, December 31, 2011 and September 30, 2011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6"/>
          </w:tcPr>
          <w:p>
            <w:pPr>
              <w:jc w:val="right"/>
              <w:ind w:right="32"/>
              <w:spacing w:after="0"/>
              <w:rPr>
                <w:sz w:val="20"/>
                <w:szCs w:val="20"/>
                <w:color w:val="auto"/>
              </w:rPr>
            </w:pPr>
            <w:r>
              <w:rPr>
                <w:rFonts w:ascii="Arial" w:cs="Arial" w:eastAsia="Arial" w:hAnsi="Arial"/>
                <w:sz w:val="14"/>
                <w:szCs w:val="14"/>
                <w:b w:val="1"/>
                <w:bCs w:val="1"/>
                <w:color w:val="auto"/>
              </w:rPr>
              <w:t>September 30, 2012</w:t>
            </w:r>
          </w:p>
        </w:tc>
        <w:tc>
          <w:tcPr>
            <w:tcW w:w="5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December 31, 2011</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5"/>
          </w:tcPr>
          <w:p>
            <w:pPr>
              <w:ind w:left="520"/>
              <w:spacing w:after="0"/>
              <w:rPr>
                <w:sz w:val="20"/>
                <w:szCs w:val="20"/>
                <w:color w:val="auto"/>
              </w:rPr>
            </w:pPr>
            <w:r>
              <w:rPr>
                <w:rFonts w:ascii="Arial" w:cs="Arial" w:eastAsia="Arial" w:hAnsi="Arial"/>
                <w:sz w:val="14"/>
                <w:szCs w:val="14"/>
                <w:b w:val="1"/>
                <w:bCs w:val="1"/>
                <w:color w:val="auto"/>
                <w:w w:val="84"/>
              </w:rPr>
              <w:t>September 30, 2011</w:t>
            </w: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6"/>
              </w:rPr>
              <w:t>Allowance</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6"/>
              </w:rPr>
              <w:t>Allowance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6"/>
              </w:rPr>
              <w:t>Allowance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Unpaid</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for Loan</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ind w:right="15"/>
              <w:spacing w:after="0" w:line="149" w:lineRule="exact"/>
              <w:rPr>
                <w:sz w:val="20"/>
                <w:szCs w:val="20"/>
                <w:color w:val="auto"/>
              </w:rPr>
            </w:pPr>
            <w:r>
              <w:rPr>
                <w:rFonts w:ascii="Arial" w:cs="Arial" w:eastAsia="Arial" w:hAnsi="Arial"/>
                <w:sz w:val="14"/>
                <w:szCs w:val="14"/>
                <w:b w:val="1"/>
                <w:bCs w:val="1"/>
                <w:color w:val="auto"/>
                <w:w w:val="92"/>
              </w:rPr>
              <w:t>Unpaid</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for Loan</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Unpaid</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for Loan</w:t>
            </w: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Principal</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2"/>
              </w:rPr>
              <w:t>Recorded</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center"/>
              <w:ind w:right="13"/>
              <w:spacing w:after="0" w:line="149" w:lineRule="exact"/>
              <w:rPr>
                <w:sz w:val="20"/>
                <w:szCs w:val="20"/>
                <w:color w:val="auto"/>
              </w:rPr>
            </w:pPr>
            <w:r>
              <w:rPr>
                <w:rFonts w:ascii="Arial" w:cs="Arial" w:eastAsia="Arial" w:hAnsi="Arial"/>
                <w:sz w:val="14"/>
                <w:szCs w:val="14"/>
                <w:b w:val="1"/>
                <w:bCs w:val="1"/>
                <w:color w:val="auto"/>
                <w:w w:val="78"/>
              </w:rPr>
              <w:t>Losses</w:t>
            </w:r>
          </w:p>
        </w:tc>
        <w:tc>
          <w:tcPr>
            <w:tcW w:w="18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Principal</w:t>
            </w:r>
          </w:p>
        </w:tc>
        <w:tc>
          <w:tcPr>
            <w:tcW w:w="180" w:type="dxa"/>
            <w:vAlign w:val="bottom"/>
          </w:tcPr>
          <w:p>
            <w:pPr>
              <w:spacing w:after="0"/>
              <w:rPr>
                <w:sz w:val="12"/>
                <w:szCs w:val="12"/>
                <w:color w:val="auto"/>
              </w:rPr>
            </w:pPr>
          </w:p>
        </w:tc>
        <w:tc>
          <w:tcPr>
            <w:tcW w:w="860" w:type="dxa"/>
            <w:vAlign w:val="bottom"/>
            <w:gridSpan w:val="3"/>
          </w:tcPr>
          <w:p>
            <w:pPr>
              <w:jc w:val="right"/>
              <w:ind w:right="240"/>
              <w:spacing w:after="0" w:line="149" w:lineRule="exact"/>
              <w:rPr>
                <w:sz w:val="20"/>
                <w:szCs w:val="20"/>
                <w:color w:val="auto"/>
              </w:rPr>
            </w:pPr>
            <w:r>
              <w:rPr>
                <w:rFonts w:ascii="Arial" w:cs="Arial" w:eastAsia="Arial" w:hAnsi="Arial"/>
                <w:sz w:val="14"/>
                <w:szCs w:val="14"/>
                <w:b w:val="1"/>
                <w:bCs w:val="1"/>
                <w:color w:val="auto"/>
                <w:w w:val="92"/>
              </w:rPr>
              <w:t>Recorded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78"/>
              </w:rPr>
              <w:t>Losses</w:t>
            </w:r>
          </w:p>
        </w:tc>
        <w:tc>
          <w:tcPr>
            <w:tcW w:w="80" w:type="dxa"/>
            <w:vAlign w:val="bottom"/>
          </w:tcPr>
          <w:p>
            <w:pPr>
              <w:spacing w:after="0"/>
              <w:rPr>
                <w:sz w:val="12"/>
                <w:szCs w:val="12"/>
                <w:color w:val="auto"/>
              </w:rPr>
            </w:pPr>
          </w:p>
        </w:tc>
        <w:tc>
          <w:tcPr>
            <w:tcW w:w="88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Principal</w:t>
            </w:r>
          </w:p>
        </w:tc>
        <w:tc>
          <w:tcPr>
            <w:tcW w:w="8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Recorded</w:t>
            </w:r>
          </w:p>
        </w:tc>
        <w:tc>
          <w:tcPr>
            <w:tcW w:w="100" w:type="dxa"/>
            <w:vAlign w:val="bottom"/>
          </w:tcPr>
          <w:p>
            <w:pPr>
              <w:spacing w:after="0"/>
              <w:rPr>
                <w:sz w:val="12"/>
                <w:szCs w:val="12"/>
                <w:color w:val="auto"/>
              </w:rPr>
            </w:pPr>
          </w:p>
        </w:tc>
        <w:tc>
          <w:tcPr>
            <w:tcW w:w="6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74"/>
              </w:rPr>
              <w:t>Losses</w:t>
            </w:r>
          </w:p>
        </w:tc>
        <w:tc>
          <w:tcPr>
            <w:tcW w:w="0" w:type="dxa"/>
            <w:vAlign w:val="bottom"/>
          </w:tcPr>
          <w:p>
            <w:pPr>
              <w:spacing w:after="0"/>
              <w:rPr>
                <w:sz w:val="1"/>
                <w:szCs w:val="1"/>
                <w:color w:val="auto"/>
              </w:rPr>
            </w:pPr>
          </w:p>
        </w:tc>
      </w:tr>
      <w:tr>
        <w:trPr>
          <w:trHeight w:val="161"/>
        </w:trPr>
        <w:tc>
          <w:tcPr>
            <w:tcW w:w="3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Balance</w:t>
            </w: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w w:val="86"/>
              </w:rPr>
              <w:t>Investment</w:t>
            </w:r>
          </w:p>
        </w:tc>
        <w:tc>
          <w:tcPr>
            <w:tcW w:w="180" w:type="dxa"/>
            <w:vAlign w:val="bottom"/>
          </w:tcPr>
          <w:p>
            <w:pPr>
              <w:spacing w:after="0"/>
              <w:rPr>
                <w:sz w:val="14"/>
                <w:szCs w:val="14"/>
                <w:color w:val="auto"/>
              </w:rPr>
            </w:pPr>
          </w:p>
        </w:tc>
        <w:tc>
          <w:tcPr>
            <w:tcW w:w="6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Allocated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5"/>
              </w:rPr>
              <w:t>Balance</w:t>
            </w:r>
          </w:p>
        </w:tc>
        <w:tc>
          <w:tcPr>
            <w:tcW w:w="180" w:type="dxa"/>
            <w:vAlign w:val="bottom"/>
          </w:tcPr>
          <w:p>
            <w:pPr>
              <w:spacing w:after="0"/>
              <w:rPr>
                <w:sz w:val="14"/>
                <w:szCs w:val="14"/>
                <w:color w:val="auto"/>
              </w:rPr>
            </w:pP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rPr>
              <w:t>Investment</w:t>
            </w:r>
          </w:p>
        </w:tc>
        <w:tc>
          <w:tcPr>
            <w:tcW w:w="20" w:type="dxa"/>
            <w:vAlign w:val="bottom"/>
          </w:tcPr>
          <w:p>
            <w:pPr>
              <w:spacing w:after="0"/>
              <w:rPr>
                <w:sz w:val="14"/>
                <w:szCs w:val="14"/>
                <w:color w:val="auto"/>
              </w:rPr>
            </w:pPr>
          </w:p>
        </w:tc>
        <w:tc>
          <w:tcPr>
            <w:tcW w:w="7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5"/>
              </w:rPr>
              <w:t>Allocated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Balance</w:t>
            </w: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rPr>
              <w:t>Investment</w:t>
            </w:r>
          </w:p>
        </w:tc>
        <w:tc>
          <w:tcPr>
            <w:tcW w:w="7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8"/>
              </w:rPr>
              <w:t>Allocated</w:t>
            </w:r>
          </w:p>
        </w:tc>
        <w:tc>
          <w:tcPr>
            <w:tcW w:w="0" w:type="dxa"/>
            <w:vAlign w:val="bottom"/>
          </w:tcPr>
          <w:p>
            <w:pPr>
              <w:spacing w:after="0"/>
              <w:rPr>
                <w:sz w:val="1"/>
                <w:szCs w:val="1"/>
                <w:color w:val="auto"/>
              </w:rPr>
            </w:pPr>
          </w:p>
        </w:tc>
      </w:tr>
      <w:tr>
        <w:trPr>
          <w:trHeight w:val="196"/>
        </w:trPr>
        <w:tc>
          <w:tcPr>
            <w:tcW w:w="38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With no related allowance recorded:</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440"/>
              <w:spacing w:after="0"/>
              <w:rPr>
                <w:sz w:val="20"/>
                <w:szCs w:val="20"/>
                <w:color w:val="auto"/>
              </w:rPr>
            </w:pPr>
            <w:r>
              <w:rPr>
                <w:rFonts w:ascii="Arial" w:cs="Arial" w:eastAsia="Arial" w:hAnsi="Arial"/>
                <w:sz w:val="18"/>
                <w:szCs w:val="18"/>
                <w:color w:val="auto"/>
              </w:rPr>
              <w:t>Commercial (secured by real estate)</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85,137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77,801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82,887</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76,215</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45,242</w:t>
            </w:r>
          </w:p>
        </w:tc>
        <w:tc>
          <w:tcPr>
            <w:tcW w:w="20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38,242</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Commercial &amp; industrial</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76,247</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51,247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77,628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52,628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40" w:type="dxa"/>
            <w:vAlign w:val="bottom"/>
          </w:tcPr>
          <w:p>
            <w:pPr>
              <w:ind w:left="440"/>
              <w:spacing w:after="0"/>
              <w:rPr>
                <w:sz w:val="20"/>
                <w:szCs w:val="20"/>
                <w:color w:val="auto"/>
              </w:rPr>
            </w:pPr>
            <w:r>
              <w:rPr>
                <w:rFonts w:ascii="Arial" w:cs="Arial" w:eastAsia="Arial" w:hAnsi="Arial"/>
                <w:sz w:val="18"/>
                <w:szCs w:val="18"/>
                <w:color w:val="auto"/>
              </w:rPr>
              <w:t>Commercial construction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17,739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16,656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24,927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23,609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6,803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6,309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commercial</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179,123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145,704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185,442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152,452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52,093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44,599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40" w:type="dxa"/>
            <w:vAlign w:val="bottom"/>
          </w:tcPr>
          <w:p>
            <w:pPr>
              <w:ind w:left="440"/>
              <w:spacing w:after="0"/>
              <w:rPr>
                <w:sz w:val="20"/>
                <w:szCs w:val="20"/>
                <w:color w:val="auto"/>
              </w:rPr>
            </w:pPr>
            <w:r>
              <w:rPr>
                <w:rFonts w:ascii="Arial" w:cs="Arial" w:eastAsia="Arial" w:hAnsi="Arial"/>
                <w:sz w:val="18"/>
                <w:szCs w:val="18"/>
                <w:color w:val="auto"/>
              </w:rPr>
              <w:t>Residential mortgage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11,091</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8,746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13,845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10,804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7,745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5,588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Residential construction</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32,228</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19,601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38,955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25,190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31,646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16,421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40" w:type="dxa"/>
            <w:vAlign w:val="bottom"/>
          </w:tcPr>
          <w:p>
            <w:pPr>
              <w:ind w:left="440"/>
              <w:spacing w:after="0"/>
              <w:rPr>
                <w:sz w:val="20"/>
                <w:szCs w:val="20"/>
                <w:color w:val="auto"/>
              </w:rPr>
            </w:pPr>
            <w:r>
              <w:rPr>
                <w:rFonts w:ascii="Arial" w:cs="Arial" w:eastAsia="Arial" w:hAnsi="Arial"/>
                <w:sz w:val="18"/>
                <w:szCs w:val="18"/>
                <w:color w:val="auto"/>
              </w:rPr>
              <w:t>Consumer installment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40" w:type="dxa"/>
            <w:vAlign w:val="bottom"/>
            <w:shd w:val="clear" w:color="auto" w:fill="CCEEFF"/>
          </w:tcPr>
          <w:p>
            <w:pPr>
              <w:ind w:left="880"/>
              <w:spacing w:after="0"/>
              <w:rPr>
                <w:sz w:val="20"/>
                <w:szCs w:val="20"/>
                <w:color w:val="auto"/>
              </w:rPr>
            </w:pPr>
            <w:r>
              <w:rPr>
                <w:rFonts w:ascii="Arial" w:cs="Arial" w:eastAsia="Arial" w:hAnsi="Arial"/>
                <w:sz w:val="18"/>
                <w:szCs w:val="18"/>
                <w:color w:val="auto"/>
                <w:w w:val="90"/>
              </w:rPr>
              <w:t>Total with no related allowance recorded</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222,504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174,113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238,305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188,509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91,512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66,636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3840" w:type="dxa"/>
            <w:vAlign w:val="bottom"/>
          </w:tcPr>
          <w:p>
            <w:pPr>
              <w:spacing w:after="0"/>
              <w:rPr>
                <w:sz w:val="20"/>
                <w:szCs w:val="20"/>
                <w:color w:val="auto"/>
              </w:rPr>
            </w:pPr>
            <w:r>
              <w:rPr>
                <w:rFonts w:ascii="Arial" w:cs="Arial" w:eastAsia="Arial" w:hAnsi="Arial"/>
                <w:sz w:val="18"/>
                <w:szCs w:val="18"/>
                <w:color w:val="auto"/>
              </w:rPr>
              <w:t>With an allowance recorded:</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Commercial (secured by real estate)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44,590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41,222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31,806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31,616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7,491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16,173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15,884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440"/>
              <w:spacing w:after="0"/>
              <w:rPr>
                <w:sz w:val="20"/>
                <w:szCs w:val="20"/>
                <w:color w:val="auto"/>
              </w:rPr>
            </w:pPr>
            <w:r>
              <w:rPr>
                <w:rFonts w:ascii="Arial" w:cs="Arial" w:eastAsia="Arial" w:hAnsi="Arial"/>
                <w:sz w:val="18"/>
                <w:szCs w:val="18"/>
                <w:color w:val="auto"/>
              </w:rPr>
              <w:t>Commercial &amp; industrial</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2,321</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2,284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725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5,200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1,117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54,259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52,385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17,067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Commercial construction</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26,476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25,593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2,636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17,850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17,535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40" w:type="dxa"/>
            <w:vAlign w:val="bottom"/>
            <w:vMerge w:val="restart"/>
          </w:tcPr>
          <w:p>
            <w:pPr>
              <w:ind w:left="880"/>
              <w:spacing w:after="0"/>
              <w:rPr>
                <w:sz w:val="20"/>
                <w:szCs w:val="20"/>
                <w:color w:val="auto"/>
              </w:rPr>
            </w:pPr>
            <w:r>
              <w:rPr>
                <w:rFonts w:ascii="Arial" w:cs="Arial" w:eastAsia="Arial" w:hAnsi="Arial"/>
                <w:sz w:val="18"/>
                <w:szCs w:val="18"/>
                <w:color w:val="auto"/>
              </w:rPr>
              <w:t>Total commercial</w:t>
            </w: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8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73,387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69,099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9,706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39,642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39,452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8,844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88,282</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85,804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25,175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Residential mortgage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13,410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12,932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7,572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440"/>
              <w:spacing w:after="0"/>
              <w:rPr>
                <w:sz w:val="20"/>
                <w:szCs w:val="20"/>
                <w:color w:val="auto"/>
              </w:rPr>
            </w:pPr>
            <w:r>
              <w:rPr>
                <w:rFonts w:ascii="Arial" w:cs="Arial" w:eastAsia="Arial" w:hAnsi="Arial"/>
                <w:sz w:val="18"/>
                <w:szCs w:val="18"/>
                <w:color w:val="auto"/>
              </w:rPr>
              <w:t>Residential construction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13,105</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11,975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1,270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21,629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21,497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3,731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28,428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27,768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7,267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Consumer installment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40" w:type="dxa"/>
            <w:vAlign w:val="bottom"/>
            <w:vMerge w:val="restart"/>
          </w:tcPr>
          <w:p>
            <w:pPr>
              <w:ind w:left="880"/>
              <w:spacing w:after="0"/>
              <w:rPr>
                <w:sz w:val="20"/>
                <w:szCs w:val="20"/>
                <w:color w:val="auto"/>
              </w:rPr>
            </w:pPr>
            <w:r>
              <w:rPr>
                <w:rFonts w:ascii="Arial" w:cs="Arial" w:eastAsia="Arial" w:hAnsi="Arial"/>
                <w:sz w:val="18"/>
                <w:szCs w:val="18"/>
                <w:color w:val="auto"/>
              </w:rPr>
              <w:t>Total with an allowance recorded</w:t>
            </w: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8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100,346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94,442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12,853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69,148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68,750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14,825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119,232</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116,094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33,541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3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4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Total</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322,850</w:t>
            </w: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268,555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12,853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307,453</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u w:val="single" w:color="auto"/>
                <w:color w:val="auto"/>
                <w:w w:val="79"/>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257,259</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14,825</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210,744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182,730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33,541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There were no loans more than 90 days past due and still accruing interest at September 30, 2012, December 31, 2011 or September 30, 2011. Nonaccrual loans include both smaller balance homogeneous loans that are collectively evaluated for impairment through the general reserve process and individually evaluated impaired loans with larger balances.</w:t>
      </w:r>
    </w:p>
    <w:p>
      <w:pPr>
        <w:spacing w:after="0" w:line="140" w:lineRule="exact"/>
        <w:rPr>
          <w:sz w:val="20"/>
          <w:szCs w:val="20"/>
          <w:color w:val="auto"/>
        </w:rPr>
      </w:pPr>
    </w:p>
    <w:p>
      <w:pPr>
        <w:ind w:right="760"/>
        <w:spacing w:after="0" w:line="268" w:lineRule="auto"/>
        <w:rPr>
          <w:sz w:val="20"/>
          <w:szCs w:val="20"/>
          <w:color w:val="auto"/>
        </w:rPr>
      </w:pPr>
      <w:r>
        <w:rPr>
          <w:rFonts w:ascii="Arial" w:cs="Arial" w:eastAsia="Arial" w:hAnsi="Arial"/>
          <w:sz w:val="18"/>
          <w:szCs w:val="18"/>
          <w:color w:val="auto"/>
        </w:rPr>
        <w:t xml:space="preserve">The following table presents the recorded investment (unpaid principal less amounts charged-off) in nonaccrual loans by loan class as of September 30, 2012, December 31, 2011 and September 30, 2011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4"/>
                <w:szCs w:val="14"/>
                <w:b w:val="1"/>
                <w:bCs w:val="1"/>
                <w:color w:val="auto"/>
                <w:w w:val="87"/>
              </w:rPr>
              <w:t>Nonaccrual Loans</w:t>
            </w:r>
          </w:p>
        </w:tc>
        <w:tc>
          <w:tcPr>
            <w:tcW w:w="3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29"/>
        </w:trPr>
        <w:tc>
          <w:tcPr>
            <w:tcW w:w="36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gridSpan w:val="3"/>
          </w:tcPr>
          <w:p>
            <w:pPr>
              <w:jc w:val="right"/>
              <w:ind w:right="380"/>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1620" w:type="dxa"/>
            <w:vAlign w:val="bottom"/>
            <w:gridSpan w:val="4"/>
          </w:tcPr>
          <w:p>
            <w:pPr>
              <w:jc w:val="center"/>
              <w:ind w:right="80"/>
              <w:spacing w:after="0" w:line="129" w:lineRule="exact"/>
              <w:rPr>
                <w:sz w:val="20"/>
                <w:szCs w:val="20"/>
                <w:color w:val="auto"/>
              </w:rPr>
            </w:pPr>
            <w:r>
              <w:rPr>
                <w:rFonts w:ascii="Arial" w:cs="Arial" w:eastAsia="Arial" w:hAnsi="Arial"/>
                <w:sz w:val="14"/>
                <w:szCs w:val="14"/>
                <w:b w:val="1"/>
                <w:bCs w:val="1"/>
                <w:color w:val="auto"/>
                <w:w w:val="85"/>
              </w:rPr>
              <w:t>December 31,</w:t>
            </w:r>
          </w:p>
        </w:tc>
        <w:tc>
          <w:tcPr>
            <w:tcW w:w="1140" w:type="dxa"/>
            <w:vAlign w:val="bottom"/>
            <w:gridSpan w:val="3"/>
          </w:tcPr>
          <w:p>
            <w:pPr>
              <w:ind w:left="300"/>
              <w:spacing w:after="0" w:line="129" w:lineRule="exact"/>
              <w:rPr>
                <w:sz w:val="20"/>
                <w:szCs w:val="20"/>
                <w:color w:val="auto"/>
              </w:rPr>
            </w:pPr>
            <w:r>
              <w:rPr>
                <w:rFonts w:ascii="Arial" w:cs="Arial" w:eastAsia="Arial" w:hAnsi="Arial"/>
                <w:sz w:val="14"/>
                <w:szCs w:val="14"/>
                <w:b w:val="1"/>
                <w:bCs w:val="1"/>
                <w:color w:val="auto"/>
                <w:w w:val="85"/>
              </w:rPr>
              <w:t>September 30,</w:t>
            </w:r>
          </w:p>
        </w:tc>
        <w:tc>
          <w:tcPr>
            <w:tcW w:w="200" w:type="dxa"/>
            <w:vAlign w:val="bottom"/>
          </w:tcPr>
          <w:p>
            <w:pPr>
              <w:spacing w:after="0"/>
              <w:rPr>
                <w:sz w:val="11"/>
                <w:szCs w:val="11"/>
                <w:color w:val="auto"/>
              </w:rPr>
            </w:pPr>
          </w:p>
        </w:tc>
      </w:tr>
      <w:tr>
        <w:trPr>
          <w:trHeight w:val="161"/>
        </w:trPr>
        <w:tc>
          <w:tcPr>
            <w:tcW w:w="366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2012</w:t>
            </w:r>
          </w:p>
        </w:tc>
        <w:tc>
          <w:tcPr>
            <w:tcW w:w="38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83"/>
              </w:rPr>
              <w:t>2011</w:t>
            </w:r>
          </w:p>
        </w:tc>
        <w:tc>
          <w:tcPr>
            <w:tcW w:w="44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CCEEFF"/>
            </w:tcBorders>
          </w:tcPr>
          <w:p>
            <w:pPr>
              <w:spacing w:after="0"/>
              <w:rPr>
                <w:sz w:val="14"/>
                <w:szCs w:val="14"/>
                <w:color w:val="auto"/>
              </w:rPr>
            </w:pPr>
          </w:p>
        </w:tc>
      </w:tr>
      <w:tr>
        <w:trPr>
          <w:trHeight w:val="210"/>
        </w:trPr>
        <w:tc>
          <w:tcPr>
            <w:tcW w:w="3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Commercial (secured by real estate)</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25,896</w:t>
            </w: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27,322</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21,998</w:t>
            </w:r>
          </w:p>
        </w:tc>
        <w:tc>
          <w:tcPr>
            <w:tcW w:w="200" w:type="dxa"/>
            <w:vAlign w:val="bottom"/>
            <w:shd w:val="clear" w:color="auto" w:fill="CCEEFF"/>
          </w:tcPr>
          <w:p>
            <w:pPr>
              <w:spacing w:after="0"/>
              <w:rPr>
                <w:sz w:val="18"/>
                <w:szCs w:val="18"/>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Commercial &amp; industrial</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32,678</w:t>
            </w: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34,613</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53,009</w:t>
            </w:r>
          </w:p>
        </w:tc>
        <w:tc>
          <w:tcPr>
            <w:tcW w:w="200" w:type="dxa"/>
            <w:vAlign w:val="bottom"/>
          </w:tcPr>
          <w:p>
            <w:pPr>
              <w:spacing w:after="0"/>
              <w:rPr>
                <w:sz w:val="18"/>
                <w:szCs w:val="18"/>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Commercial construction</w:t>
            </w:r>
          </w:p>
        </w:tc>
        <w:tc>
          <w:tcPr>
            <w:tcW w:w="8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18,590</w:t>
            </w: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16,655</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11,370</w:t>
            </w:r>
          </w:p>
        </w:tc>
        <w:tc>
          <w:tcPr>
            <w:tcW w:w="200" w:type="dxa"/>
            <w:vAlign w:val="bottom"/>
            <w:shd w:val="clear" w:color="auto" w:fill="CCEEFF"/>
          </w:tcPr>
          <w:p>
            <w:pPr>
              <w:spacing w:after="0"/>
              <w:rPr>
                <w:sz w:val="18"/>
                <w:szCs w:val="18"/>
                <w:color w:val="auto"/>
              </w:rPr>
            </w:pPr>
          </w:p>
        </w:tc>
      </w:tr>
      <w:tr>
        <w:trPr>
          <w:trHeight w:val="221"/>
        </w:trPr>
        <w:tc>
          <w:tcPr>
            <w:tcW w:w="3660" w:type="dxa"/>
            <w:vAlign w:val="bottom"/>
          </w:tcPr>
          <w:p>
            <w:pPr>
              <w:ind w:left="440"/>
              <w:spacing w:after="0"/>
              <w:rPr>
                <w:sz w:val="20"/>
                <w:szCs w:val="20"/>
                <w:color w:val="auto"/>
              </w:rPr>
            </w:pPr>
            <w:r>
              <w:rPr>
                <w:rFonts w:ascii="Arial" w:cs="Arial" w:eastAsia="Arial" w:hAnsi="Arial"/>
                <w:sz w:val="18"/>
                <w:szCs w:val="18"/>
                <w:color w:val="auto"/>
              </w:rPr>
              <w:t>Total commercial</w:t>
            </w: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77,164</w:t>
            </w: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78,590</w:t>
            </w: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86,377</w:t>
            </w:r>
          </w:p>
        </w:tc>
        <w:tc>
          <w:tcPr>
            <w:tcW w:w="200" w:type="dxa"/>
            <w:vAlign w:val="bottom"/>
          </w:tcPr>
          <w:p>
            <w:pPr>
              <w:spacing w:after="0"/>
              <w:rPr>
                <w:sz w:val="19"/>
                <w:szCs w:val="19"/>
                <w:color w:val="auto"/>
              </w:rPr>
            </w:pPr>
          </w:p>
        </w:tc>
      </w:tr>
      <w:tr>
        <w:trPr>
          <w:trHeight w:val="218"/>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13,996</w:t>
            </w: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22,358</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22,671</w:t>
            </w:r>
          </w:p>
        </w:tc>
        <w:tc>
          <w:tcPr>
            <w:tcW w:w="200" w:type="dxa"/>
            <w:vAlign w:val="bottom"/>
            <w:shd w:val="clear" w:color="auto" w:fill="CCEEFF"/>
          </w:tcPr>
          <w:p>
            <w:pPr>
              <w:spacing w:after="0"/>
              <w:rPr>
                <w:sz w:val="18"/>
                <w:szCs w:val="18"/>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Residential construction</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22,935</w:t>
            </w: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25,523</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34,472</w:t>
            </w:r>
          </w:p>
        </w:tc>
        <w:tc>
          <w:tcPr>
            <w:tcW w:w="200" w:type="dxa"/>
            <w:vAlign w:val="bottom"/>
          </w:tcPr>
          <w:p>
            <w:pPr>
              <w:spacing w:after="0"/>
              <w:rPr>
                <w:sz w:val="18"/>
                <w:szCs w:val="18"/>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Consumer installment</w:t>
            </w:r>
          </w:p>
        </w:tc>
        <w:tc>
          <w:tcPr>
            <w:tcW w:w="8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1,008</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w:t>
            </w:r>
          </w:p>
        </w:tc>
        <w:tc>
          <w:tcPr>
            <w:tcW w:w="200" w:type="dxa"/>
            <w:vAlign w:val="bottom"/>
            <w:shd w:val="clear" w:color="auto" w:fill="CCEEFF"/>
          </w:tcPr>
          <w:p>
            <w:pPr>
              <w:spacing w:after="0"/>
              <w:rPr>
                <w:sz w:val="18"/>
                <w:szCs w:val="18"/>
                <w:color w:val="auto"/>
              </w:rPr>
            </w:pPr>
          </w:p>
        </w:tc>
      </w:tr>
      <w:tr>
        <w:trPr>
          <w:trHeight w:val="222"/>
        </w:trPr>
        <w:tc>
          <w:tcPr>
            <w:tcW w:w="3660" w:type="dxa"/>
            <w:vAlign w:val="bottom"/>
          </w:tcPr>
          <w:p>
            <w:pPr>
              <w:ind w:left="440"/>
              <w:spacing w:after="0"/>
              <w:rPr>
                <w:sz w:val="20"/>
                <w:szCs w:val="20"/>
                <w:color w:val="auto"/>
              </w:rPr>
            </w:pPr>
            <w:r>
              <w:rPr>
                <w:rFonts w:ascii="Arial" w:cs="Arial" w:eastAsia="Arial" w:hAnsi="Arial"/>
                <w:sz w:val="18"/>
                <w:szCs w:val="18"/>
                <w:color w:val="auto"/>
              </w:rPr>
              <w:t>Total</w:t>
            </w:r>
          </w:p>
        </w:tc>
        <w:tc>
          <w:tcPr>
            <w:tcW w:w="102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115,001</w:t>
            </w:r>
          </w:p>
        </w:tc>
        <w:tc>
          <w:tcPr>
            <w:tcW w:w="38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127,479</w:t>
            </w:r>
          </w:p>
        </w:tc>
        <w:tc>
          <w:tcPr>
            <w:tcW w:w="440" w:type="dxa"/>
            <w:vAlign w:val="bottom"/>
          </w:tcPr>
          <w:p>
            <w:pPr>
              <w:spacing w:after="0"/>
              <w:rPr>
                <w:sz w:val="19"/>
                <w:szCs w:val="19"/>
                <w:color w:val="auto"/>
              </w:rPr>
            </w:pPr>
          </w:p>
        </w:tc>
        <w:tc>
          <w:tcPr>
            <w:tcW w:w="4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144,484</w:t>
            </w:r>
          </w:p>
        </w:tc>
        <w:tc>
          <w:tcPr>
            <w:tcW w:w="200" w:type="dxa"/>
            <w:vAlign w:val="bottom"/>
          </w:tcPr>
          <w:p>
            <w:pPr>
              <w:spacing w:after="0"/>
              <w:rPr>
                <w:sz w:val="19"/>
                <w:szCs w:val="19"/>
                <w:color w:val="auto"/>
              </w:rPr>
            </w:pPr>
          </w:p>
        </w:tc>
      </w:tr>
      <w:tr>
        <w:trPr>
          <w:trHeight w:val="20"/>
        </w:trPr>
        <w:tc>
          <w:tcPr>
            <w:tcW w:w="3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1"/>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Balance as a percentage of unpaid principal</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68.8%</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71.3%</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77.8%</w:t>
            </w:r>
          </w:p>
        </w:tc>
      </w:tr>
      <w:tr>
        <w:trPr>
          <w:trHeight w:val="363"/>
        </w:trPr>
        <w:tc>
          <w:tcPr>
            <w:tcW w:w="3660" w:type="dxa"/>
            <w:vAlign w:val="bottom"/>
          </w:tcPr>
          <w:p>
            <w:pPr>
              <w:spacing w:after="0"/>
              <w:rPr>
                <w:sz w:val="24"/>
                <w:szCs w:val="24"/>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1"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 xml:space="preserve">The following table presents the aging of the recorded investment in past due loans as of September 30, 2012, December 31, 2011 and September 30, 2011 by class of loans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 of September 30, 2012</w:t>
            </w: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Loans Past Due</w:t>
            </w: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Loans Not</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68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w w:val="83"/>
              </w:rPr>
              <w:t>30 - 59 Days</w:t>
            </w:r>
          </w:p>
        </w:tc>
        <w:tc>
          <w:tcPr>
            <w:tcW w:w="280" w:type="dxa"/>
            <w:vAlign w:val="bottom"/>
          </w:tcPr>
          <w:p>
            <w:pPr>
              <w:spacing w:after="0"/>
              <w:rPr>
                <w:sz w:val="11"/>
                <w:szCs w:val="11"/>
                <w:color w:val="auto"/>
              </w:rPr>
            </w:pPr>
          </w:p>
        </w:tc>
        <w:tc>
          <w:tcPr>
            <w:tcW w:w="8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60 - 89 Days</w:t>
            </w:r>
          </w:p>
        </w:tc>
        <w:tc>
          <w:tcPr>
            <w:tcW w:w="140" w:type="dxa"/>
            <w:vAlign w:val="bottom"/>
          </w:tcPr>
          <w:p>
            <w:pPr>
              <w:spacing w:after="0"/>
              <w:rPr>
                <w:sz w:val="11"/>
                <w:szCs w:val="11"/>
                <w:color w:val="auto"/>
              </w:rPr>
            </w:pPr>
          </w:p>
        </w:tc>
        <w:tc>
          <w:tcPr>
            <w:tcW w:w="7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&gt; 90 Days</w:t>
            </w:r>
          </w:p>
        </w:tc>
        <w:tc>
          <w:tcPr>
            <w:tcW w:w="160" w:type="dxa"/>
            <w:vAlign w:val="bottom"/>
          </w:tcPr>
          <w:p>
            <w:pPr>
              <w:spacing w:after="0"/>
              <w:rPr>
                <w:sz w:val="11"/>
                <w:szCs w:val="11"/>
                <w:color w:val="auto"/>
              </w:rPr>
            </w:pPr>
          </w:p>
        </w:tc>
        <w:tc>
          <w:tcPr>
            <w:tcW w:w="580" w:type="dxa"/>
            <w:vAlign w:val="bottom"/>
          </w:tcPr>
          <w:p>
            <w:pPr>
              <w:jc w:val="right"/>
              <w:ind w:right="55"/>
              <w:spacing w:after="0" w:line="129" w:lineRule="exact"/>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tcPr>
          <w:p>
            <w:pPr>
              <w:jc w:val="center"/>
              <w:ind w:right="140"/>
              <w:spacing w:after="0" w:line="129" w:lineRule="exact"/>
              <w:rPr>
                <w:sz w:val="20"/>
                <w:szCs w:val="20"/>
                <w:color w:val="auto"/>
              </w:rPr>
            </w:pPr>
            <w:r>
              <w:rPr>
                <w:rFonts w:ascii="Arial" w:cs="Arial" w:eastAsia="Arial" w:hAnsi="Arial"/>
                <w:sz w:val="14"/>
                <w:szCs w:val="14"/>
                <w:b w:val="1"/>
                <w:bCs w:val="1"/>
                <w:color w:val="auto"/>
                <w:w w:val="86"/>
              </w:rPr>
              <w:t>Past Due</w:t>
            </w:r>
          </w:p>
        </w:tc>
        <w:tc>
          <w:tcPr>
            <w:tcW w:w="140" w:type="dxa"/>
            <w:vAlign w:val="bottom"/>
          </w:tcPr>
          <w:p>
            <w:pPr>
              <w:spacing w:after="0"/>
              <w:rPr>
                <w:sz w:val="11"/>
                <w:szCs w:val="11"/>
                <w:color w:val="auto"/>
              </w:rPr>
            </w:pPr>
          </w:p>
        </w:tc>
        <w:tc>
          <w:tcPr>
            <w:tcW w:w="900" w:type="dxa"/>
            <w:vAlign w:val="bottom"/>
            <w:gridSpan w:val="2"/>
          </w:tcPr>
          <w:p>
            <w:pPr>
              <w:ind w:left="260"/>
              <w:spacing w:after="0" w:line="12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00" w:type="dxa"/>
            <w:vAlign w:val="bottom"/>
            <w:tcBorders>
              <w:bottom w:val="single" w:sz="8" w:color="CCEEFF"/>
            </w:tcBorders>
            <w:shd w:val="clear" w:color="auto" w:fill="000000"/>
          </w:tcPr>
          <w:p>
            <w:pPr>
              <w:spacing w:after="0" w:line="20" w:lineRule="exact"/>
              <w:rPr>
                <w:sz w:val="1"/>
                <w:szCs w:val="1"/>
                <w:color w:val="auto"/>
              </w:rPr>
            </w:pPr>
          </w:p>
        </w:tc>
        <w:tc>
          <w:tcPr>
            <w:tcW w:w="4160" w:type="dxa"/>
            <w:vAlign w:val="bottom"/>
            <w:tcBorders>
              <w:left w:val="single" w:sz="8" w:color="auto"/>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6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Commercial (secured by real estate)</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5,395</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5,210</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$11,103</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$21,708</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$1,797,447</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$1,819,155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tcPr>
          <w:p>
            <w:pPr>
              <w:spacing w:after="0"/>
              <w:rPr>
                <w:sz w:val="20"/>
                <w:szCs w:val="20"/>
                <w:color w:val="auto"/>
              </w:rPr>
            </w:pPr>
            <w:r>
              <w:rPr>
                <w:rFonts w:ascii="Arial" w:cs="Arial" w:eastAsia="Arial" w:hAnsi="Arial"/>
                <w:sz w:val="18"/>
                <w:szCs w:val="18"/>
                <w:color w:val="auto"/>
              </w:rPr>
              <w:t>Commercial &amp; industrial</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1,499</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295</w:t>
            </w:r>
          </w:p>
        </w:tc>
        <w:tc>
          <w:tcPr>
            <w:tcW w:w="160" w:type="dxa"/>
            <w:vAlign w:val="bottom"/>
          </w:tcPr>
          <w:p>
            <w:pPr>
              <w:spacing w:after="0"/>
              <w:rPr>
                <w:sz w:val="18"/>
                <w:szCs w:val="18"/>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8"/>
                <w:szCs w:val="18"/>
                <w:color w:val="auto"/>
              </w:rPr>
              <w:t>696</w:t>
            </w:r>
          </w:p>
        </w:tc>
        <w:tc>
          <w:tcPr>
            <w:tcW w:w="880" w:type="dxa"/>
            <w:vAlign w:val="bottom"/>
            <w:gridSpan w:val="3"/>
          </w:tcPr>
          <w:p>
            <w:pPr>
              <w:jc w:val="right"/>
              <w:ind w:right="140"/>
              <w:spacing w:after="0"/>
              <w:rPr>
                <w:sz w:val="20"/>
                <w:szCs w:val="20"/>
                <w:color w:val="auto"/>
              </w:rPr>
            </w:pPr>
            <w:r>
              <w:rPr>
                <w:rFonts w:ascii="Arial" w:cs="Arial" w:eastAsia="Arial" w:hAnsi="Arial"/>
                <w:sz w:val="18"/>
                <w:szCs w:val="18"/>
                <w:color w:val="auto"/>
              </w:rPr>
              <w:t>2,490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457,507</w:t>
            </w:r>
          </w:p>
        </w:tc>
        <w:tc>
          <w:tcPr>
            <w:tcW w:w="1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459,997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construction</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155,834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160,765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660" w:type="dxa"/>
            <w:vAlign w:val="bottom"/>
            <w:gridSpan w:val="2"/>
          </w:tcPr>
          <w:p>
            <w:pPr>
              <w:ind w:left="420"/>
              <w:spacing w:after="0"/>
              <w:rPr>
                <w:sz w:val="20"/>
                <w:szCs w:val="20"/>
                <w:color w:val="auto"/>
              </w:rPr>
            </w:pPr>
            <w:r>
              <w:rPr>
                <w:rFonts w:ascii="Arial" w:cs="Arial" w:eastAsia="Arial" w:hAnsi="Arial"/>
                <w:sz w:val="18"/>
                <w:szCs w:val="18"/>
                <w:color w:val="auto"/>
              </w:rPr>
              <w:t>Total commercial</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7,107</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6,385</w:t>
            </w:r>
          </w:p>
        </w:tc>
        <w:tc>
          <w:tcPr>
            <w:tcW w:w="160" w:type="dxa"/>
            <w:vAlign w:val="bottom"/>
          </w:tcPr>
          <w:p>
            <w:pPr>
              <w:spacing w:after="0"/>
              <w:rPr>
                <w:sz w:val="19"/>
                <w:szCs w:val="19"/>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8"/>
                <w:szCs w:val="18"/>
                <w:color w:val="auto"/>
              </w:rPr>
              <w:t>15,637</w:t>
            </w:r>
          </w:p>
        </w:tc>
        <w:tc>
          <w:tcPr>
            <w:tcW w:w="880" w:type="dxa"/>
            <w:vAlign w:val="bottom"/>
            <w:gridSpan w:val="3"/>
          </w:tcPr>
          <w:p>
            <w:pPr>
              <w:jc w:val="right"/>
              <w:ind w:right="140"/>
              <w:spacing w:after="0"/>
              <w:rPr>
                <w:sz w:val="20"/>
                <w:szCs w:val="20"/>
                <w:color w:val="auto"/>
              </w:rPr>
            </w:pPr>
            <w:r>
              <w:rPr>
                <w:rFonts w:ascii="Arial" w:cs="Arial" w:eastAsia="Arial" w:hAnsi="Arial"/>
                <w:sz w:val="18"/>
                <w:szCs w:val="18"/>
                <w:color w:val="auto"/>
              </w:rPr>
              <w:t>29,129</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2,410,788</w:t>
            </w:r>
          </w:p>
        </w:tc>
        <w:tc>
          <w:tcPr>
            <w:tcW w:w="14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2,439,917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Residential mortgage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11,771</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4,798</w:t>
            </w: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5,556</w:t>
            </w:r>
          </w:p>
        </w:tc>
        <w:tc>
          <w:tcPr>
            <w:tcW w:w="8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22,125</w:t>
            </w: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1,152,111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1,174,236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tcPr>
          <w:p>
            <w:pPr>
              <w:spacing w:after="0"/>
              <w:rPr>
                <w:sz w:val="20"/>
                <w:szCs w:val="20"/>
                <w:color w:val="auto"/>
              </w:rPr>
            </w:pPr>
            <w:r>
              <w:rPr>
                <w:rFonts w:ascii="Arial" w:cs="Arial" w:eastAsia="Arial" w:hAnsi="Arial"/>
                <w:sz w:val="18"/>
                <w:szCs w:val="18"/>
                <w:color w:val="auto"/>
              </w:rPr>
              <w:t>Residential construction</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4,318</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2,319</w:t>
            </w:r>
          </w:p>
        </w:tc>
        <w:tc>
          <w:tcPr>
            <w:tcW w:w="160" w:type="dxa"/>
            <w:vAlign w:val="bottom"/>
          </w:tcPr>
          <w:p>
            <w:pPr>
              <w:spacing w:after="0"/>
              <w:rPr>
                <w:sz w:val="18"/>
                <w:szCs w:val="18"/>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8"/>
                <w:szCs w:val="18"/>
                <w:color w:val="auto"/>
              </w:rPr>
              <w:t>11,054</w:t>
            </w:r>
          </w:p>
        </w:tc>
        <w:tc>
          <w:tcPr>
            <w:tcW w:w="880" w:type="dxa"/>
            <w:vAlign w:val="bottom"/>
            <w:gridSpan w:val="3"/>
          </w:tcPr>
          <w:p>
            <w:pPr>
              <w:jc w:val="right"/>
              <w:ind w:right="140"/>
              <w:spacing w:after="0"/>
              <w:rPr>
                <w:sz w:val="20"/>
                <w:szCs w:val="20"/>
                <w:color w:val="auto"/>
              </w:rPr>
            </w:pPr>
            <w:r>
              <w:rPr>
                <w:rFonts w:ascii="Arial" w:cs="Arial" w:eastAsia="Arial" w:hAnsi="Arial"/>
                <w:sz w:val="18"/>
                <w:szCs w:val="18"/>
                <w:color w:val="auto"/>
              </w:rPr>
              <w:t>17,691</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371,051</w:t>
            </w:r>
          </w:p>
        </w:tc>
        <w:tc>
          <w:tcPr>
            <w:tcW w:w="1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388,742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 installment</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1,269</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133,068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134,950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660" w:type="dxa"/>
            <w:vAlign w:val="bottom"/>
            <w:gridSpan w:val="2"/>
          </w:tcPr>
          <w:p>
            <w:pPr>
              <w:ind w:left="420"/>
              <w:spacing w:after="0"/>
              <w:rPr>
                <w:sz w:val="20"/>
                <w:szCs w:val="20"/>
                <w:color w:val="auto"/>
              </w:rPr>
            </w:pPr>
            <w:r>
              <w:rPr>
                <w:rFonts w:ascii="Arial" w:cs="Arial" w:eastAsia="Arial" w:hAnsi="Arial"/>
                <w:sz w:val="18"/>
                <w:szCs w:val="18"/>
                <w:color w:val="auto"/>
              </w:rPr>
              <w:t>Total loans</w:t>
            </w: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24,465</w:t>
            </w:r>
          </w:p>
        </w:tc>
        <w:tc>
          <w:tcPr>
            <w:tcW w:w="4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13,721</w:t>
            </w:r>
          </w:p>
        </w:tc>
        <w:tc>
          <w:tcPr>
            <w:tcW w:w="160" w:type="dxa"/>
            <w:vAlign w:val="bottom"/>
          </w:tcPr>
          <w:p>
            <w:pPr>
              <w:spacing w:after="0"/>
              <w:rPr>
                <w:sz w:val="19"/>
                <w:szCs w:val="19"/>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32,641</w:t>
            </w:r>
          </w:p>
        </w:tc>
        <w:tc>
          <w:tcPr>
            <w:tcW w:w="880" w:type="dxa"/>
            <w:vAlign w:val="bottom"/>
            <w:gridSpan w:val="3"/>
          </w:tcPr>
          <w:p>
            <w:pPr>
              <w:jc w:val="right"/>
              <w:ind w:right="1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70,827</w:t>
            </w:r>
          </w:p>
        </w:tc>
        <w:tc>
          <w:tcPr>
            <w:tcW w:w="9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4,067,018</w:t>
            </w:r>
          </w:p>
        </w:tc>
        <w:tc>
          <w:tcPr>
            <w:tcW w:w="14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4,137,845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 of December 31, 2011</w:t>
            </w: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568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(secured by real estate)</w:t>
            </w: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8,036</w:t>
            </w:r>
          </w:p>
        </w:tc>
        <w:tc>
          <w:tcPr>
            <w:tcW w:w="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4,182</w:t>
            </w: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$10,614</w:t>
            </w:r>
          </w:p>
        </w:tc>
        <w:tc>
          <w:tcPr>
            <w:tcW w:w="8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$22,832</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$1,798,582</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$1,821,414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tcPr>
          <w:p>
            <w:pPr>
              <w:spacing w:after="0"/>
              <w:rPr>
                <w:sz w:val="20"/>
                <w:szCs w:val="20"/>
                <w:color w:val="auto"/>
              </w:rPr>
            </w:pPr>
            <w:r>
              <w:rPr>
                <w:rFonts w:ascii="Arial" w:cs="Arial" w:eastAsia="Arial" w:hAnsi="Arial"/>
                <w:sz w:val="18"/>
                <w:szCs w:val="18"/>
                <w:color w:val="auto"/>
              </w:rPr>
              <w:t>Commercial &amp; industrial</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3,869</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411</w:t>
            </w:r>
          </w:p>
        </w:tc>
        <w:tc>
          <w:tcPr>
            <w:tcW w:w="860" w:type="dxa"/>
            <w:vAlign w:val="bottom"/>
            <w:gridSpan w:val="3"/>
          </w:tcPr>
          <w:p>
            <w:pPr>
              <w:jc w:val="right"/>
              <w:ind w:right="140"/>
              <w:spacing w:after="0"/>
              <w:rPr>
                <w:sz w:val="20"/>
                <w:szCs w:val="20"/>
                <w:color w:val="auto"/>
              </w:rPr>
            </w:pPr>
            <w:r>
              <w:rPr>
                <w:rFonts w:ascii="Arial" w:cs="Arial" w:eastAsia="Arial" w:hAnsi="Arial"/>
                <w:sz w:val="18"/>
                <w:szCs w:val="18"/>
                <w:color w:val="auto"/>
              </w:rPr>
              <w:t>407</w:t>
            </w:r>
          </w:p>
        </w:tc>
        <w:tc>
          <w:tcPr>
            <w:tcW w:w="880" w:type="dxa"/>
            <w:vAlign w:val="bottom"/>
            <w:gridSpan w:val="3"/>
          </w:tcPr>
          <w:p>
            <w:pPr>
              <w:jc w:val="right"/>
              <w:ind w:right="140"/>
              <w:spacing w:after="0"/>
              <w:rPr>
                <w:sz w:val="20"/>
                <w:szCs w:val="20"/>
                <w:color w:val="auto"/>
              </w:rPr>
            </w:pPr>
            <w:r>
              <w:rPr>
                <w:rFonts w:ascii="Arial" w:cs="Arial" w:eastAsia="Arial" w:hAnsi="Arial"/>
                <w:sz w:val="18"/>
                <w:szCs w:val="18"/>
                <w:color w:val="auto"/>
              </w:rPr>
              <w:t>4,687</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423,562</w:t>
            </w:r>
          </w:p>
        </w:tc>
        <w:tc>
          <w:tcPr>
            <w:tcW w:w="1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428,249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construction</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162,861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164,155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660" w:type="dxa"/>
            <w:vAlign w:val="bottom"/>
            <w:gridSpan w:val="2"/>
          </w:tcPr>
          <w:p>
            <w:pPr>
              <w:ind w:left="420"/>
              <w:spacing w:after="0"/>
              <w:rPr>
                <w:sz w:val="20"/>
                <w:szCs w:val="20"/>
                <w:color w:val="auto"/>
              </w:rPr>
            </w:pPr>
            <w:r>
              <w:rPr>
                <w:rFonts w:ascii="Arial" w:cs="Arial" w:eastAsia="Arial" w:hAnsi="Arial"/>
                <w:sz w:val="18"/>
                <w:szCs w:val="18"/>
                <w:color w:val="auto"/>
              </w:rPr>
              <w:t>Total commercial</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12,071</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4,593</w:t>
            </w:r>
          </w:p>
        </w:tc>
        <w:tc>
          <w:tcPr>
            <w:tcW w:w="160" w:type="dxa"/>
            <w:vAlign w:val="bottom"/>
          </w:tcPr>
          <w:p>
            <w:pPr>
              <w:spacing w:after="0"/>
              <w:rPr>
                <w:sz w:val="19"/>
                <w:szCs w:val="19"/>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8"/>
                <w:szCs w:val="18"/>
                <w:color w:val="auto"/>
              </w:rPr>
              <w:t>12,149</w:t>
            </w:r>
          </w:p>
        </w:tc>
        <w:tc>
          <w:tcPr>
            <w:tcW w:w="880" w:type="dxa"/>
            <w:vAlign w:val="bottom"/>
            <w:gridSpan w:val="3"/>
          </w:tcPr>
          <w:p>
            <w:pPr>
              <w:jc w:val="right"/>
              <w:ind w:right="140"/>
              <w:spacing w:after="0"/>
              <w:rPr>
                <w:sz w:val="20"/>
                <w:szCs w:val="20"/>
                <w:color w:val="auto"/>
              </w:rPr>
            </w:pPr>
            <w:r>
              <w:rPr>
                <w:rFonts w:ascii="Arial" w:cs="Arial" w:eastAsia="Arial" w:hAnsi="Arial"/>
                <w:sz w:val="18"/>
                <w:szCs w:val="18"/>
                <w:color w:val="auto"/>
              </w:rPr>
              <w:t>28,813</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2,385,005</w:t>
            </w:r>
          </w:p>
        </w:tc>
        <w:tc>
          <w:tcPr>
            <w:tcW w:w="14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2,413,818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Residential mortgage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15,185</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4,617</w:t>
            </w: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9,071</w:t>
            </w:r>
          </w:p>
        </w:tc>
        <w:tc>
          <w:tcPr>
            <w:tcW w:w="8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28,873</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1,106,029</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1,134,902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tcPr>
          <w:p>
            <w:pPr>
              <w:spacing w:after="0"/>
              <w:rPr>
                <w:sz w:val="20"/>
                <w:szCs w:val="20"/>
                <w:color w:val="auto"/>
              </w:rPr>
            </w:pPr>
            <w:r>
              <w:rPr>
                <w:rFonts w:ascii="Arial" w:cs="Arial" w:eastAsia="Arial" w:hAnsi="Arial"/>
                <w:sz w:val="18"/>
                <w:szCs w:val="18"/>
                <w:color w:val="auto"/>
              </w:rPr>
              <w:t>Residential construction</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3,940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2,636</w:t>
            </w:r>
          </w:p>
        </w:tc>
        <w:tc>
          <w:tcPr>
            <w:tcW w:w="160" w:type="dxa"/>
            <w:vAlign w:val="bottom"/>
          </w:tcPr>
          <w:p>
            <w:pPr>
              <w:spacing w:after="0"/>
              <w:rPr>
                <w:sz w:val="18"/>
                <w:szCs w:val="18"/>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8"/>
                <w:szCs w:val="18"/>
                <w:color w:val="auto"/>
              </w:rPr>
              <w:t>10,270</w:t>
            </w:r>
          </w:p>
        </w:tc>
        <w:tc>
          <w:tcPr>
            <w:tcW w:w="880" w:type="dxa"/>
            <w:vAlign w:val="bottom"/>
            <w:gridSpan w:val="3"/>
          </w:tcPr>
          <w:p>
            <w:pPr>
              <w:jc w:val="right"/>
              <w:ind w:right="140"/>
              <w:spacing w:after="0"/>
              <w:rPr>
                <w:sz w:val="20"/>
                <w:szCs w:val="20"/>
                <w:color w:val="auto"/>
              </w:rPr>
            </w:pPr>
            <w:r>
              <w:rPr>
                <w:rFonts w:ascii="Arial" w:cs="Arial" w:eastAsia="Arial" w:hAnsi="Arial"/>
                <w:sz w:val="18"/>
                <w:szCs w:val="18"/>
                <w:color w:val="auto"/>
              </w:rPr>
              <w:t>16,846</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431,545</w:t>
            </w:r>
          </w:p>
        </w:tc>
        <w:tc>
          <w:tcPr>
            <w:tcW w:w="1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448,391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 installment</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1,534</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110,231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660" w:type="dxa"/>
            <w:vAlign w:val="bottom"/>
            <w:gridSpan w:val="2"/>
          </w:tcPr>
          <w:p>
            <w:pPr>
              <w:ind w:left="420"/>
              <w:spacing w:after="0"/>
              <w:rPr>
                <w:sz w:val="20"/>
                <w:szCs w:val="20"/>
                <w:color w:val="auto"/>
              </w:rPr>
            </w:pPr>
            <w:r>
              <w:rPr>
                <w:rFonts w:ascii="Arial" w:cs="Arial" w:eastAsia="Arial" w:hAnsi="Arial"/>
                <w:sz w:val="18"/>
                <w:szCs w:val="18"/>
                <w:color w:val="auto"/>
              </w:rPr>
              <w:t>Total loans</w:t>
            </w: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32,730</w:t>
            </w:r>
          </w:p>
        </w:tc>
        <w:tc>
          <w:tcPr>
            <w:tcW w:w="4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12,154</w:t>
            </w:r>
          </w:p>
        </w:tc>
        <w:tc>
          <w:tcPr>
            <w:tcW w:w="160" w:type="dxa"/>
            <w:vAlign w:val="bottom"/>
          </w:tcPr>
          <w:p>
            <w:pPr>
              <w:spacing w:after="0"/>
              <w:rPr>
                <w:sz w:val="19"/>
                <w:szCs w:val="19"/>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31,920</w:t>
            </w:r>
          </w:p>
        </w:tc>
        <w:tc>
          <w:tcPr>
            <w:tcW w:w="880" w:type="dxa"/>
            <w:vAlign w:val="bottom"/>
            <w:gridSpan w:val="3"/>
          </w:tcPr>
          <w:p>
            <w:pPr>
              <w:jc w:val="right"/>
              <w:ind w:right="1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76,804</w:t>
            </w:r>
          </w:p>
        </w:tc>
        <w:tc>
          <w:tcPr>
            <w:tcW w:w="9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4,032,810</w:t>
            </w:r>
          </w:p>
        </w:tc>
        <w:tc>
          <w:tcPr>
            <w:tcW w:w="14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4,109,614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 of September 30, 2011</w:t>
            </w: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568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416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(secured by real estate)</w:t>
            </w: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4,587</w:t>
            </w:r>
          </w:p>
        </w:tc>
        <w:tc>
          <w:tcPr>
            <w:tcW w:w="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4,730</w:t>
            </w: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$10,594</w:t>
            </w:r>
          </w:p>
        </w:tc>
        <w:tc>
          <w:tcPr>
            <w:tcW w:w="8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$19,911</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$1,751,190</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$1,771,101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tcPr>
          <w:p>
            <w:pPr>
              <w:spacing w:after="0"/>
              <w:rPr>
                <w:sz w:val="20"/>
                <w:szCs w:val="20"/>
                <w:color w:val="auto"/>
              </w:rPr>
            </w:pPr>
            <w:r>
              <w:rPr>
                <w:rFonts w:ascii="Arial" w:cs="Arial" w:eastAsia="Arial" w:hAnsi="Arial"/>
                <w:sz w:val="18"/>
                <w:szCs w:val="18"/>
                <w:color w:val="auto"/>
              </w:rPr>
              <w:t>Commercial &amp; industrial</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1,141</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1,507</w:t>
            </w:r>
          </w:p>
        </w:tc>
        <w:tc>
          <w:tcPr>
            <w:tcW w:w="160" w:type="dxa"/>
            <w:vAlign w:val="bottom"/>
          </w:tcPr>
          <w:p>
            <w:pPr>
              <w:spacing w:after="0"/>
              <w:rPr>
                <w:sz w:val="18"/>
                <w:szCs w:val="18"/>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8"/>
                <w:szCs w:val="18"/>
                <w:color w:val="auto"/>
              </w:rPr>
              <w:t>691</w:t>
            </w:r>
          </w:p>
        </w:tc>
        <w:tc>
          <w:tcPr>
            <w:tcW w:w="880" w:type="dxa"/>
            <w:vAlign w:val="bottom"/>
            <w:gridSpan w:val="3"/>
          </w:tcPr>
          <w:p>
            <w:pPr>
              <w:jc w:val="right"/>
              <w:ind w:right="140"/>
              <w:spacing w:after="0"/>
              <w:rPr>
                <w:sz w:val="20"/>
                <w:szCs w:val="20"/>
                <w:color w:val="auto"/>
              </w:rPr>
            </w:pPr>
            <w:r>
              <w:rPr>
                <w:rFonts w:ascii="Arial" w:cs="Arial" w:eastAsia="Arial" w:hAnsi="Arial"/>
                <w:sz w:val="18"/>
                <w:szCs w:val="18"/>
                <w:color w:val="auto"/>
              </w:rPr>
              <w:t>3,339</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425,704</w:t>
            </w:r>
          </w:p>
        </w:tc>
        <w:tc>
          <w:tcPr>
            <w:tcW w:w="1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429,043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construction</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166,102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168,531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660" w:type="dxa"/>
            <w:vAlign w:val="bottom"/>
            <w:gridSpan w:val="2"/>
          </w:tcPr>
          <w:p>
            <w:pPr>
              <w:ind w:left="420"/>
              <w:spacing w:after="0"/>
              <w:rPr>
                <w:sz w:val="20"/>
                <w:szCs w:val="20"/>
                <w:color w:val="auto"/>
              </w:rPr>
            </w:pPr>
            <w:r>
              <w:rPr>
                <w:rFonts w:ascii="Arial" w:cs="Arial" w:eastAsia="Arial" w:hAnsi="Arial"/>
                <w:sz w:val="18"/>
                <w:szCs w:val="18"/>
                <w:color w:val="auto"/>
              </w:rPr>
              <w:t>Total commercial</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5,877</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6,410</w:t>
            </w:r>
          </w:p>
        </w:tc>
        <w:tc>
          <w:tcPr>
            <w:tcW w:w="160" w:type="dxa"/>
            <w:vAlign w:val="bottom"/>
          </w:tcPr>
          <w:p>
            <w:pPr>
              <w:spacing w:after="0"/>
              <w:rPr>
                <w:sz w:val="19"/>
                <w:szCs w:val="19"/>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8"/>
                <w:szCs w:val="18"/>
                <w:color w:val="auto"/>
              </w:rPr>
              <w:t>13,392</w:t>
            </w:r>
          </w:p>
        </w:tc>
        <w:tc>
          <w:tcPr>
            <w:tcW w:w="880" w:type="dxa"/>
            <w:vAlign w:val="bottom"/>
            <w:gridSpan w:val="3"/>
          </w:tcPr>
          <w:p>
            <w:pPr>
              <w:jc w:val="right"/>
              <w:ind w:right="140"/>
              <w:spacing w:after="0"/>
              <w:rPr>
                <w:sz w:val="20"/>
                <w:szCs w:val="20"/>
                <w:color w:val="auto"/>
              </w:rPr>
            </w:pPr>
            <w:r>
              <w:rPr>
                <w:rFonts w:ascii="Arial" w:cs="Arial" w:eastAsia="Arial" w:hAnsi="Arial"/>
                <w:sz w:val="18"/>
                <w:szCs w:val="18"/>
                <w:color w:val="auto"/>
              </w:rPr>
              <w:t>25,679</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2,342,996</w:t>
            </w:r>
          </w:p>
        </w:tc>
        <w:tc>
          <w:tcPr>
            <w:tcW w:w="14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2,368,675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Residential mortgage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13,979</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3,308</w:t>
            </w: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12,471</w:t>
            </w:r>
          </w:p>
        </w:tc>
        <w:tc>
          <w:tcPr>
            <w:tcW w:w="8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29,758</w:t>
            </w: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1,119,920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1,149,678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tcPr>
          <w:p>
            <w:pPr>
              <w:spacing w:after="0"/>
              <w:rPr>
                <w:sz w:val="20"/>
                <w:szCs w:val="20"/>
                <w:color w:val="auto"/>
              </w:rPr>
            </w:pPr>
            <w:r>
              <w:rPr>
                <w:rFonts w:ascii="Arial" w:cs="Arial" w:eastAsia="Arial" w:hAnsi="Arial"/>
                <w:sz w:val="18"/>
                <w:szCs w:val="18"/>
                <w:color w:val="auto"/>
              </w:rPr>
              <w:t>Residential construction</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2,685</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2,403</w:t>
            </w:r>
          </w:p>
        </w:tc>
        <w:tc>
          <w:tcPr>
            <w:tcW w:w="160" w:type="dxa"/>
            <w:vAlign w:val="bottom"/>
          </w:tcPr>
          <w:p>
            <w:pPr>
              <w:spacing w:after="0"/>
              <w:rPr>
                <w:sz w:val="18"/>
                <w:szCs w:val="18"/>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8"/>
                <w:szCs w:val="18"/>
                <w:color w:val="auto"/>
              </w:rPr>
              <w:t>14,546</w:t>
            </w:r>
          </w:p>
        </w:tc>
        <w:tc>
          <w:tcPr>
            <w:tcW w:w="880" w:type="dxa"/>
            <w:vAlign w:val="bottom"/>
            <w:gridSpan w:val="3"/>
          </w:tcPr>
          <w:p>
            <w:pPr>
              <w:jc w:val="right"/>
              <w:ind w:right="140"/>
              <w:spacing w:after="0"/>
              <w:rPr>
                <w:sz w:val="20"/>
                <w:szCs w:val="20"/>
                <w:color w:val="auto"/>
              </w:rPr>
            </w:pPr>
            <w:r>
              <w:rPr>
                <w:rFonts w:ascii="Arial" w:cs="Arial" w:eastAsia="Arial" w:hAnsi="Arial"/>
                <w:sz w:val="18"/>
                <w:szCs w:val="18"/>
                <w:color w:val="auto"/>
              </w:rPr>
              <w:t>19,634</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454,918</w:t>
            </w:r>
          </w:p>
        </w:tc>
        <w:tc>
          <w:tcPr>
            <w:tcW w:w="1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474,552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 installment</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1,531</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114,744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116,970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60" w:type="dxa"/>
            <w:vAlign w:val="bottom"/>
            <w:gridSpan w:val="2"/>
          </w:tcPr>
          <w:p>
            <w:pPr>
              <w:ind w:left="420"/>
              <w:spacing w:after="0"/>
              <w:rPr>
                <w:sz w:val="20"/>
                <w:szCs w:val="20"/>
                <w:color w:val="auto"/>
              </w:rPr>
            </w:pPr>
            <w:r>
              <w:rPr>
                <w:rFonts w:ascii="Arial" w:cs="Arial" w:eastAsia="Arial" w:hAnsi="Arial"/>
                <w:sz w:val="18"/>
                <w:szCs w:val="18"/>
                <w:color w:val="auto"/>
              </w:rPr>
              <w:t>Total loans</w:t>
            </w: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24,072</w:t>
            </w:r>
          </w:p>
        </w:tc>
        <w:tc>
          <w:tcPr>
            <w:tcW w:w="4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12,525</w:t>
            </w:r>
          </w:p>
        </w:tc>
        <w:tc>
          <w:tcPr>
            <w:tcW w:w="160" w:type="dxa"/>
            <w:vAlign w:val="bottom"/>
          </w:tcPr>
          <w:p>
            <w:pPr>
              <w:spacing w:after="0"/>
              <w:rPr>
                <w:sz w:val="19"/>
                <w:szCs w:val="19"/>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40,700</w:t>
            </w:r>
          </w:p>
        </w:tc>
        <w:tc>
          <w:tcPr>
            <w:tcW w:w="880" w:type="dxa"/>
            <w:vAlign w:val="bottom"/>
            <w:gridSpan w:val="3"/>
          </w:tcPr>
          <w:p>
            <w:pPr>
              <w:jc w:val="right"/>
              <w:ind w:right="1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77,297</w:t>
            </w:r>
          </w:p>
        </w:tc>
        <w:tc>
          <w:tcPr>
            <w:tcW w:w="9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4,032,578</w:t>
            </w:r>
          </w:p>
        </w:tc>
        <w:tc>
          <w:tcPr>
            <w:tcW w:w="14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4,109,875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As of September 30, 2012, December 31, 2011, and September 30, 2011, $10.8 million, $8.65 million and $7.75 million of specific reserves were allocated to customers whose loan terms have been modified in TDRs. United committed to lend additional amounts totaling up to $377,000, $1.12 million, and $1.06 million as of September 30, 2012, December 31, 2011 and September 30, 2011, respectively, to customers with outstanding loans that are classified as TDRs.</w:t>
      </w:r>
    </w:p>
    <w:p>
      <w:pPr>
        <w:spacing w:after="0" w:line="10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modification of the terms of the TDRs included one or a combination of the following: a reduction of the stated interest rate of the loan or an extension of the amortization period that would not otherwise be considered in the current market for new debt with similar risk characteristics; a permanent reduction of the principal amount; a restructuring of the borrower’s debt into an A/B note structure where the A note would fall within the borrower’s ability to pay and the remainder would be included in the B note, or a mandated bankruptcy restructuring.</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1"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 xml:space="preserve">The following table presents additional information on TDRs including the number of loan contracts restructured and the pre- and post-modification recorded investment as of September 30, 2012, December 31, 2011 and September 30, 2011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6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w w:val="88"/>
              </w:rPr>
              <w:t>September 30, 2012</w:t>
            </w: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w w:val="87"/>
              </w:rPr>
              <w:t>December 31, 2011</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w w:val="85"/>
              </w:rPr>
              <w:t>September 30, 2011</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jc w:val="center"/>
              <w:ind w:right="420"/>
              <w:spacing w:after="0" w:line="129" w:lineRule="exact"/>
              <w:rPr>
                <w:sz w:val="20"/>
                <w:szCs w:val="20"/>
                <w:color w:val="auto"/>
              </w:rPr>
            </w:pPr>
            <w:r>
              <w:rPr>
                <w:rFonts w:ascii="Arial" w:cs="Arial" w:eastAsia="Arial" w:hAnsi="Arial"/>
                <w:sz w:val="14"/>
                <w:szCs w:val="14"/>
                <w:b w:val="1"/>
                <w:bCs w:val="1"/>
                <w:color w:val="auto"/>
                <w:w w:val="87"/>
              </w:rPr>
              <w:t>Pre-</w:t>
            </w:r>
          </w:p>
        </w:tc>
        <w:tc>
          <w:tcPr>
            <w:tcW w:w="80" w:type="dxa"/>
            <w:vAlign w:val="bottom"/>
          </w:tcPr>
          <w:p>
            <w:pPr>
              <w:spacing w:after="0"/>
              <w:rPr>
                <w:sz w:val="11"/>
                <w:szCs w:val="11"/>
                <w:color w:val="auto"/>
              </w:rPr>
            </w:pPr>
          </w:p>
        </w:tc>
        <w:tc>
          <w:tcPr>
            <w:tcW w:w="6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Post-</w:t>
            </w: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center"/>
              <w:ind w:right="380"/>
              <w:spacing w:after="0" w:line="129" w:lineRule="exact"/>
              <w:rPr>
                <w:sz w:val="20"/>
                <w:szCs w:val="20"/>
                <w:color w:val="auto"/>
              </w:rPr>
            </w:pPr>
            <w:r>
              <w:rPr>
                <w:rFonts w:ascii="Arial" w:cs="Arial" w:eastAsia="Arial" w:hAnsi="Arial"/>
                <w:sz w:val="14"/>
                <w:szCs w:val="14"/>
                <w:b w:val="1"/>
                <w:bCs w:val="1"/>
                <w:color w:val="auto"/>
                <w:w w:val="87"/>
              </w:rPr>
              <w:t>Pre-</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center"/>
              <w:ind w:right="16"/>
              <w:spacing w:after="0" w:line="129" w:lineRule="exact"/>
              <w:rPr>
                <w:sz w:val="20"/>
                <w:szCs w:val="20"/>
                <w:color w:val="auto"/>
              </w:rPr>
            </w:pPr>
            <w:r>
              <w:rPr>
                <w:rFonts w:ascii="Arial" w:cs="Arial" w:eastAsia="Arial" w:hAnsi="Arial"/>
                <w:sz w:val="14"/>
                <w:szCs w:val="14"/>
                <w:b w:val="1"/>
                <w:bCs w:val="1"/>
                <w:color w:val="auto"/>
                <w:w w:val="85"/>
              </w:rPr>
              <w:t>Post-</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center"/>
              <w:ind w:right="380"/>
              <w:spacing w:after="0" w:line="129" w:lineRule="exact"/>
              <w:rPr>
                <w:sz w:val="20"/>
                <w:szCs w:val="20"/>
                <w:color w:val="auto"/>
              </w:rPr>
            </w:pPr>
            <w:r>
              <w:rPr>
                <w:rFonts w:ascii="Arial" w:cs="Arial" w:eastAsia="Arial" w:hAnsi="Arial"/>
                <w:sz w:val="14"/>
                <w:szCs w:val="14"/>
                <w:b w:val="1"/>
                <w:bCs w:val="1"/>
                <w:color w:val="auto"/>
                <w:w w:val="87"/>
              </w:rPr>
              <w:t>Pre-</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center"/>
              <w:ind w:right="16"/>
              <w:spacing w:after="0" w:line="129" w:lineRule="exact"/>
              <w:rPr>
                <w:sz w:val="20"/>
                <w:szCs w:val="20"/>
                <w:color w:val="auto"/>
              </w:rPr>
            </w:pPr>
            <w:r>
              <w:rPr>
                <w:rFonts w:ascii="Arial" w:cs="Arial" w:eastAsia="Arial" w:hAnsi="Arial"/>
                <w:sz w:val="14"/>
                <w:szCs w:val="14"/>
                <w:b w:val="1"/>
                <w:bCs w:val="1"/>
                <w:color w:val="auto"/>
                <w:w w:val="85"/>
              </w:rPr>
              <w:t>Post-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9"/>
              </w:rPr>
              <w:t>Modification</w:t>
            </w:r>
          </w:p>
        </w:tc>
        <w:tc>
          <w:tcPr>
            <w:tcW w:w="106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Modification</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Modification</w:t>
            </w:r>
          </w:p>
        </w:tc>
        <w:tc>
          <w:tcPr>
            <w:tcW w:w="7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9"/>
              </w:rPr>
              <w:t>Modification</w:t>
            </w: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4"/>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Modification</w:t>
            </w:r>
          </w:p>
        </w:tc>
        <w:tc>
          <w:tcPr>
            <w:tcW w:w="880" w:type="dxa"/>
            <w:vAlign w:val="bottom"/>
            <w:gridSpan w:val="4"/>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Modification</w:t>
            </w:r>
          </w:p>
        </w:tc>
        <w:tc>
          <w:tcPr>
            <w:tcW w:w="0" w:type="dxa"/>
            <w:vAlign w:val="bottom"/>
          </w:tcPr>
          <w:p>
            <w:pPr>
              <w:spacing w:after="0"/>
              <w:rPr>
                <w:sz w:val="1"/>
                <w:szCs w:val="1"/>
                <w:color w:val="auto"/>
              </w:rPr>
            </w:pPr>
          </w:p>
        </w:tc>
      </w:tr>
      <w:tr>
        <w:trPr>
          <w:trHeight w:val="149"/>
        </w:trPr>
        <w:tc>
          <w:tcPr>
            <w:tcW w:w="246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Number</w:t>
            </w:r>
          </w:p>
        </w:tc>
        <w:tc>
          <w:tcPr>
            <w:tcW w:w="340" w:type="dxa"/>
            <w:vAlign w:val="bottom"/>
          </w:tcPr>
          <w:p>
            <w:pPr>
              <w:spacing w:after="0"/>
              <w:rPr>
                <w:sz w:val="12"/>
                <w:szCs w:val="12"/>
                <w:color w:val="auto"/>
              </w:rPr>
            </w:pPr>
          </w:p>
        </w:tc>
        <w:tc>
          <w:tcPr>
            <w:tcW w:w="106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Outstanding</w:t>
            </w:r>
          </w:p>
        </w:tc>
        <w:tc>
          <w:tcPr>
            <w:tcW w:w="106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Outstanding</w:t>
            </w:r>
          </w:p>
        </w:tc>
        <w:tc>
          <w:tcPr>
            <w:tcW w:w="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Number</w:t>
            </w:r>
          </w:p>
        </w:tc>
        <w:tc>
          <w:tcPr>
            <w:tcW w:w="200" w:type="dxa"/>
            <w:vAlign w:val="bottom"/>
          </w:tcPr>
          <w:p>
            <w:pPr>
              <w:spacing w:after="0"/>
              <w:rPr>
                <w:sz w:val="12"/>
                <w:szCs w:val="12"/>
                <w:color w:val="auto"/>
              </w:rPr>
            </w:pPr>
          </w:p>
        </w:tc>
        <w:tc>
          <w:tcPr>
            <w:tcW w:w="104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Outstanding</w:t>
            </w:r>
          </w:p>
        </w:tc>
        <w:tc>
          <w:tcPr>
            <w:tcW w:w="40" w:type="dxa"/>
            <w:vAlign w:val="bottom"/>
          </w:tcPr>
          <w:p>
            <w:pPr>
              <w:spacing w:after="0"/>
              <w:rPr>
                <w:sz w:val="12"/>
                <w:szCs w:val="12"/>
                <w:color w:val="auto"/>
              </w:rPr>
            </w:pPr>
          </w:p>
        </w:tc>
        <w:tc>
          <w:tcPr>
            <w:tcW w:w="7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Outstanding</w:t>
            </w:r>
          </w:p>
        </w:tc>
        <w:tc>
          <w:tcPr>
            <w:tcW w:w="340" w:type="dxa"/>
            <w:vAlign w:val="bottom"/>
          </w:tcPr>
          <w:p>
            <w:pPr>
              <w:spacing w:after="0"/>
              <w:rPr>
                <w:sz w:val="12"/>
                <w:szCs w:val="12"/>
                <w:color w:val="auto"/>
              </w:rPr>
            </w:pPr>
          </w:p>
        </w:tc>
        <w:tc>
          <w:tcPr>
            <w:tcW w:w="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Number</w:t>
            </w:r>
          </w:p>
        </w:tc>
        <w:tc>
          <w:tcPr>
            <w:tcW w:w="220" w:type="dxa"/>
            <w:vAlign w:val="bottom"/>
          </w:tcPr>
          <w:p>
            <w:pPr>
              <w:spacing w:after="0"/>
              <w:rPr>
                <w:sz w:val="12"/>
                <w:szCs w:val="12"/>
                <w:color w:val="auto"/>
              </w:rPr>
            </w:pPr>
          </w:p>
        </w:tc>
        <w:tc>
          <w:tcPr>
            <w:tcW w:w="104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Outstanding</w:t>
            </w:r>
          </w:p>
        </w:tc>
        <w:tc>
          <w:tcPr>
            <w:tcW w:w="40" w:type="dxa"/>
            <w:vAlign w:val="bottom"/>
          </w:tcPr>
          <w:p>
            <w:pPr>
              <w:spacing w:after="0"/>
              <w:rPr>
                <w:sz w:val="12"/>
                <w:szCs w:val="12"/>
                <w:color w:val="auto"/>
              </w:rPr>
            </w:pPr>
          </w:p>
        </w:tc>
        <w:tc>
          <w:tcPr>
            <w:tcW w:w="84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Outstanding</w:t>
            </w:r>
          </w:p>
        </w:tc>
        <w:tc>
          <w:tcPr>
            <w:tcW w:w="0" w:type="dxa"/>
            <w:vAlign w:val="bottom"/>
          </w:tcPr>
          <w:p>
            <w:pPr>
              <w:spacing w:after="0"/>
              <w:rPr>
                <w:sz w:val="1"/>
                <w:szCs w:val="1"/>
                <w:color w:val="auto"/>
              </w:rPr>
            </w:pPr>
          </w:p>
        </w:tc>
      </w:tr>
      <w:tr>
        <w:trPr>
          <w:trHeight w:val="149"/>
        </w:trPr>
        <w:tc>
          <w:tcPr>
            <w:tcW w:w="246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6"/>
              </w:rPr>
              <w:t>Recorded</w:t>
            </w:r>
          </w:p>
        </w:tc>
        <w:tc>
          <w:tcPr>
            <w:tcW w:w="80" w:type="dxa"/>
            <w:vAlign w:val="bottom"/>
          </w:tcPr>
          <w:p>
            <w:pPr>
              <w:spacing w:after="0"/>
              <w:rPr>
                <w:sz w:val="12"/>
                <w:szCs w:val="12"/>
                <w:color w:val="auto"/>
              </w:rPr>
            </w:pPr>
          </w:p>
        </w:tc>
        <w:tc>
          <w:tcPr>
            <w:tcW w:w="9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3"/>
              </w:rPr>
              <w:t>Recorded</w:t>
            </w:r>
          </w:p>
        </w:tc>
        <w:tc>
          <w:tcPr>
            <w:tcW w:w="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of</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6"/>
              </w:rPr>
              <w:t>Recorded</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Recorded</w:t>
            </w:r>
          </w:p>
        </w:tc>
        <w:tc>
          <w:tcPr>
            <w:tcW w:w="340" w:type="dxa"/>
            <w:vAlign w:val="bottom"/>
          </w:tcPr>
          <w:p>
            <w:pPr>
              <w:spacing w:after="0"/>
              <w:rPr>
                <w:sz w:val="12"/>
                <w:szCs w:val="12"/>
                <w:color w:val="auto"/>
              </w:rPr>
            </w:pPr>
          </w:p>
        </w:tc>
        <w:tc>
          <w:tcPr>
            <w:tcW w:w="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of</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6"/>
              </w:rPr>
              <w:t>Recorded</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Recorded</w:t>
            </w:r>
          </w:p>
        </w:tc>
        <w:tc>
          <w:tcPr>
            <w:tcW w:w="0" w:type="dxa"/>
            <w:vAlign w:val="bottom"/>
          </w:tcPr>
          <w:p>
            <w:pPr>
              <w:spacing w:after="0"/>
              <w:rPr>
                <w:sz w:val="1"/>
                <w:szCs w:val="1"/>
                <w:color w:val="auto"/>
              </w:rPr>
            </w:pPr>
          </w:p>
        </w:tc>
      </w:tr>
      <w:tr>
        <w:trPr>
          <w:trHeight w:val="161"/>
        </w:trPr>
        <w:tc>
          <w:tcPr>
            <w:tcW w:w="246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5"/>
              </w:rPr>
              <w:t>Contracts</w:t>
            </w:r>
          </w:p>
        </w:tc>
        <w:tc>
          <w:tcPr>
            <w:tcW w:w="340" w:type="dxa"/>
            <w:vAlign w:val="bottom"/>
          </w:tcPr>
          <w:p>
            <w:pPr>
              <w:spacing w:after="0"/>
              <w:rPr>
                <w:sz w:val="14"/>
                <w:szCs w:val="14"/>
                <w:color w:val="auto"/>
              </w:rPr>
            </w:pPr>
          </w:p>
        </w:tc>
        <w:tc>
          <w:tcPr>
            <w:tcW w:w="106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6"/>
              </w:rPr>
              <w:t>Investment</w:t>
            </w:r>
          </w:p>
        </w:tc>
        <w:tc>
          <w:tcPr>
            <w:tcW w:w="10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9"/>
              </w:rPr>
              <w:t>Investment</w:t>
            </w:r>
          </w:p>
        </w:tc>
        <w:tc>
          <w:tcPr>
            <w:tcW w:w="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Contracts</w:t>
            </w:r>
          </w:p>
        </w:tc>
        <w:tc>
          <w:tcPr>
            <w:tcW w:w="200" w:type="dxa"/>
            <w:vAlign w:val="bottom"/>
          </w:tcPr>
          <w:p>
            <w:pPr>
              <w:spacing w:after="0"/>
              <w:rPr>
                <w:sz w:val="14"/>
                <w:szCs w:val="14"/>
                <w:color w:val="auto"/>
              </w:rPr>
            </w:pPr>
          </w:p>
        </w:tc>
        <w:tc>
          <w:tcPr>
            <w:tcW w:w="10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6"/>
              </w:rPr>
              <w:t>Investment</w:t>
            </w:r>
          </w:p>
        </w:tc>
        <w:tc>
          <w:tcPr>
            <w:tcW w:w="40" w:type="dxa"/>
            <w:vAlign w:val="bottom"/>
          </w:tcPr>
          <w:p>
            <w:pPr>
              <w:spacing w:after="0"/>
              <w:rPr>
                <w:sz w:val="14"/>
                <w:szCs w:val="14"/>
                <w:color w:val="auto"/>
              </w:rPr>
            </w:pPr>
          </w:p>
        </w:tc>
        <w:tc>
          <w:tcPr>
            <w:tcW w:w="7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Investment</w:t>
            </w:r>
          </w:p>
        </w:tc>
        <w:tc>
          <w:tcPr>
            <w:tcW w:w="340" w:type="dxa"/>
            <w:vAlign w:val="bottom"/>
          </w:tcPr>
          <w:p>
            <w:pPr>
              <w:spacing w:after="0"/>
              <w:rPr>
                <w:sz w:val="14"/>
                <w:szCs w:val="14"/>
                <w:color w:val="auto"/>
              </w:rPr>
            </w:pPr>
          </w:p>
        </w:tc>
        <w:tc>
          <w:tcPr>
            <w:tcW w:w="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Contracts</w:t>
            </w:r>
          </w:p>
        </w:tc>
        <w:tc>
          <w:tcPr>
            <w:tcW w:w="220" w:type="dxa"/>
            <w:vAlign w:val="bottom"/>
          </w:tcPr>
          <w:p>
            <w:pPr>
              <w:spacing w:after="0"/>
              <w:rPr>
                <w:sz w:val="14"/>
                <w:szCs w:val="14"/>
                <w:color w:val="auto"/>
              </w:rPr>
            </w:pPr>
          </w:p>
        </w:tc>
        <w:tc>
          <w:tcPr>
            <w:tcW w:w="10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6"/>
              </w:rPr>
              <w:t>Investment</w:t>
            </w:r>
          </w:p>
        </w:tc>
        <w:tc>
          <w:tcPr>
            <w:tcW w:w="40" w:type="dxa"/>
            <w:vAlign w:val="bottom"/>
          </w:tcPr>
          <w:p>
            <w:pPr>
              <w:spacing w:after="0"/>
              <w:rPr>
                <w:sz w:val="14"/>
                <w:szCs w:val="14"/>
                <w:color w:val="auto"/>
              </w:rPr>
            </w:pPr>
          </w:p>
        </w:tc>
        <w:tc>
          <w:tcPr>
            <w:tcW w:w="8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6"/>
              </w:rPr>
              <w:t>Investment</w:t>
            </w:r>
          </w:p>
        </w:tc>
        <w:tc>
          <w:tcPr>
            <w:tcW w:w="0" w:type="dxa"/>
            <w:vAlign w:val="bottom"/>
          </w:tcPr>
          <w:p>
            <w:pPr>
              <w:spacing w:after="0"/>
              <w:rPr>
                <w:sz w:val="1"/>
                <w:szCs w:val="1"/>
                <w:color w:val="auto"/>
              </w:rPr>
            </w:pPr>
          </w:p>
        </w:tc>
      </w:tr>
      <w:tr>
        <w:trPr>
          <w:trHeight w:val="188"/>
        </w:trPr>
        <w:tc>
          <w:tcPr>
            <w:tcW w:w="2460" w:type="dxa"/>
            <w:vAlign w:val="bottom"/>
            <w:tcBorders>
              <w:top w:val="single" w:sz="8" w:color="CCEEFF"/>
            </w:tcBorders>
            <w:shd w:val="clear" w:color="auto" w:fill="CCEEFF"/>
          </w:tcPr>
          <w:p>
            <w:pPr>
              <w:spacing w:after="0" w:line="188" w:lineRule="exact"/>
              <w:rPr>
                <w:sz w:val="20"/>
                <w:szCs w:val="20"/>
                <w:color w:val="auto"/>
              </w:rPr>
            </w:pPr>
            <w:r>
              <w:rPr>
                <w:rFonts w:ascii="Arial" w:cs="Arial" w:eastAsia="Arial" w:hAnsi="Arial"/>
                <w:sz w:val="18"/>
                <w:szCs w:val="18"/>
                <w:color w:val="auto"/>
              </w:rPr>
              <w:t>Commercial (secured by real</w:t>
            </w:r>
          </w:p>
        </w:tc>
        <w:tc>
          <w:tcPr>
            <w:tcW w:w="58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estate)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84,672</w:t>
            </w: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79,645</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70,380</w:t>
            </w:r>
          </w:p>
        </w:tc>
        <w:tc>
          <w:tcPr>
            <w:tcW w:w="30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69,054</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41,177</w:t>
            </w:r>
          </w:p>
        </w:tc>
        <w:tc>
          <w:tcPr>
            <w:tcW w:w="30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38,177</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460" w:type="dxa"/>
            <w:vAlign w:val="bottom"/>
          </w:tcPr>
          <w:p>
            <w:pPr>
              <w:spacing w:after="0"/>
              <w:rPr>
                <w:sz w:val="20"/>
                <w:szCs w:val="20"/>
                <w:color w:val="auto"/>
              </w:rPr>
            </w:pPr>
            <w:r>
              <w:rPr>
                <w:rFonts w:ascii="Arial" w:cs="Arial" w:eastAsia="Arial" w:hAnsi="Arial"/>
                <w:sz w:val="18"/>
                <w:szCs w:val="18"/>
                <w:color w:val="auto"/>
              </w:rPr>
              <w:t>Commercial &amp; industrial</w:t>
            </w:r>
          </w:p>
        </w:tc>
        <w:tc>
          <w:tcPr>
            <w:tcW w:w="580" w:type="dxa"/>
            <w:vAlign w:val="bottom"/>
          </w:tcPr>
          <w:p>
            <w:pPr>
              <w:jc w:val="right"/>
              <w:spacing w:after="0"/>
              <w:rPr>
                <w:sz w:val="20"/>
                <w:szCs w:val="20"/>
                <w:color w:val="auto"/>
              </w:rPr>
            </w:pPr>
            <w:r>
              <w:rPr>
                <w:rFonts w:ascii="Arial" w:cs="Arial" w:eastAsia="Arial" w:hAnsi="Arial"/>
                <w:sz w:val="18"/>
                <w:szCs w:val="18"/>
                <w:color w:val="auto"/>
              </w:rPr>
              <w:t>30</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7,237</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7,199</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806</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806</w:t>
            </w: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304</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Commercial construction</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37,832</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35,866</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18,053</w:t>
            </w: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18,053</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14,123</w:t>
            </w: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60" w:type="dxa"/>
            <w:vAlign w:val="bottom"/>
            <w:vMerge w:val="restart"/>
          </w:tcPr>
          <w:p>
            <w:pPr>
              <w:ind w:left="440"/>
              <w:spacing w:after="0"/>
              <w:rPr>
                <w:sz w:val="20"/>
                <w:szCs w:val="20"/>
                <w:color w:val="auto"/>
              </w:rPr>
            </w:pPr>
            <w:r>
              <w:rPr>
                <w:rFonts w:ascii="Arial" w:cs="Arial" w:eastAsia="Arial" w:hAnsi="Arial"/>
                <w:sz w:val="18"/>
                <w:szCs w:val="18"/>
                <w:color w:val="auto"/>
              </w:rPr>
              <w:t>Total commercial</w:t>
            </w: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460" w:type="dxa"/>
            <w:vAlign w:val="bottom"/>
            <w:vMerge w:val="continue"/>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156</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129,741</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122,710</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103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89,239</w:t>
            </w: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87,913</w:t>
            </w: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55,604</w:t>
            </w: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52,604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18,226</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17,487</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11,943</w:t>
            </w: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11,379</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2,792</w:t>
            </w: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tcPr>
          <w:p>
            <w:pPr>
              <w:spacing w:after="0"/>
              <w:rPr>
                <w:sz w:val="20"/>
                <w:szCs w:val="20"/>
                <w:color w:val="auto"/>
              </w:rPr>
            </w:pPr>
            <w:r>
              <w:rPr>
                <w:rFonts w:ascii="Arial" w:cs="Arial" w:eastAsia="Arial" w:hAnsi="Arial"/>
                <w:sz w:val="18"/>
                <w:szCs w:val="18"/>
                <w:color w:val="auto"/>
              </w:rPr>
              <w:t>Residential construction</w:t>
            </w:r>
          </w:p>
        </w:tc>
        <w:tc>
          <w:tcPr>
            <w:tcW w:w="580" w:type="dxa"/>
            <w:vAlign w:val="bottom"/>
          </w:tcPr>
          <w:p>
            <w:pPr>
              <w:jc w:val="right"/>
              <w:spacing w:after="0"/>
              <w:rPr>
                <w:sz w:val="20"/>
                <w:szCs w:val="20"/>
                <w:color w:val="auto"/>
              </w:rPr>
            </w:pPr>
            <w:r>
              <w:rPr>
                <w:rFonts w:ascii="Arial" w:cs="Arial" w:eastAsia="Arial" w:hAnsi="Arial"/>
                <w:sz w:val="18"/>
                <w:szCs w:val="18"/>
                <w:color w:val="auto"/>
              </w:rPr>
              <w:t>73</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28,629</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24,772</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54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24,921</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24,145</w:t>
            </w: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21,369</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20,374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Consumer installment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1,363</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60" w:type="dxa"/>
            <w:vAlign w:val="bottom"/>
            <w:vMerge w:val="restart"/>
          </w:tcPr>
          <w:p>
            <w:pPr>
              <w:ind w:left="440"/>
              <w:spacing w:after="0"/>
              <w:rPr>
                <w:sz w:val="20"/>
                <w:szCs w:val="20"/>
                <w:color w:val="auto"/>
              </w:rPr>
            </w:pPr>
            <w:r>
              <w:rPr>
                <w:rFonts w:ascii="Arial" w:cs="Arial" w:eastAsia="Arial" w:hAnsi="Arial"/>
                <w:sz w:val="18"/>
                <w:szCs w:val="18"/>
                <w:color w:val="auto"/>
              </w:rPr>
              <w:t>Total loans</w:t>
            </w: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460" w:type="dxa"/>
            <w:vAlign w:val="bottom"/>
            <w:vMerge w:val="continue"/>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393</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177,967</w:t>
            </w:r>
          </w:p>
        </w:tc>
        <w:tc>
          <w:tcPr>
            <w:tcW w:w="3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166,332</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271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126,401</w:t>
            </w:r>
          </w:p>
        </w:tc>
        <w:tc>
          <w:tcPr>
            <w:tcW w:w="30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123,730</w:t>
            </w: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110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79,860</w:t>
            </w:r>
          </w:p>
        </w:tc>
        <w:tc>
          <w:tcPr>
            <w:tcW w:w="30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75,708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 xml:space="preserve">Loans modified under the terms of a TDR during the three and nine months ended September 30, 2012 and 2011 are presented in the table below. In addition, the following table presents loans modified under the terms of a TDR that became 90 days or more delinquent during the three and nine months ended September 30, 2012 and 2011, respectively, that were initially restructured within one year prior to the three and nine months ended September 30, 2012, respectively </w:t>
      </w:r>
      <w:r>
        <w:rPr>
          <w:rFonts w:ascii="Arial" w:cs="Arial" w:eastAsia="Arial" w:hAnsi="Arial"/>
          <w:sz w:val="18"/>
          <w:szCs w:val="18"/>
          <w:i w:val="1"/>
          <w:iCs w:val="1"/>
          <w:color w:val="auto"/>
        </w:rPr>
        <w:t>(dollars 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3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Pre-</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vMerge w:val="restart"/>
          </w:tcPr>
          <w:p>
            <w:pPr>
              <w:jc w:val="center"/>
              <w:ind w:right="540"/>
              <w:spacing w:after="0"/>
              <w:rPr>
                <w:sz w:val="20"/>
                <w:szCs w:val="20"/>
                <w:color w:val="auto"/>
              </w:rPr>
            </w:pPr>
            <w:r>
              <w:rPr>
                <w:rFonts w:ascii="Arial" w:cs="Arial" w:eastAsia="Arial" w:hAnsi="Arial"/>
                <w:sz w:val="14"/>
                <w:szCs w:val="14"/>
                <w:b w:val="1"/>
                <w:bCs w:val="1"/>
                <w:color w:val="auto"/>
                <w:w w:val="85"/>
              </w:rPr>
              <w:t>Post-</w:t>
            </w:r>
          </w:p>
        </w:tc>
        <w:tc>
          <w:tcPr>
            <w:tcW w:w="192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w w:val="86"/>
              </w:rPr>
              <w:t>Subsequently Defaulted</w:t>
            </w:r>
          </w:p>
        </w:tc>
        <w:tc>
          <w:tcPr>
            <w:tcW w:w="0" w:type="dxa"/>
            <w:vAlign w:val="bottom"/>
          </w:tcPr>
          <w:p>
            <w:pPr>
              <w:spacing w:after="0"/>
              <w:rPr>
                <w:sz w:val="1"/>
                <w:szCs w:val="1"/>
                <w:color w:val="auto"/>
              </w:rPr>
            </w:pPr>
          </w:p>
        </w:tc>
      </w:tr>
      <w:tr>
        <w:trPr>
          <w:trHeight w:val="54"/>
        </w:trPr>
        <w:tc>
          <w:tcPr>
            <w:tcW w:w="2320" w:type="dxa"/>
            <w:vAlign w:val="bottom"/>
          </w:tcPr>
          <w:p>
            <w:pPr>
              <w:spacing w:after="0"/>
              <w:rPr>
                <w:sz w:val="4"/>
                <w:szCs w:val="4"/>
                <w:color w:val="auto"/>
              </w:rPr>
            </w:pPr>
          </w:p>
        </w:tc>
        <w:tc>
          <w:tcPr>
            <w:tcW w:w="1760" w:type="dxa"/>
            <w:vAlign w:val="bottom"/>
          </w:tcPr>
          <w:p>
            <w:pPr>
              <w:spacing w:after="0"/>
              <w:rPr>
                <w:sz w:val="4"/>
                <w:szCs w:val="4"/>
                <w:color w:val="auto"/>
              </w:rPr>
            </w:pPr>
          </w:p>
        </w:tc>
        <w:tc>
          <w:tcPr>
            <w:tcW w:w="1880" w:type="dxa"/>
            <w:vAlign w:val="bottom"/>
          </w:tcPr>
          <w:p>
            <w:pPr>
              <w:spacing w:after="0"/>
              <w:rPr>
                <w:sz w:val="4"/>
                <w:szCs w:val="4"/>
                <w:color w:val="auto"/>
              </w:rPr>
            </w:pPr>
          </w:p>
        </w:tc>
        <w:tc>
          <w:tcPr>
            <w:tcW w:w="6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Modification</w:t>
            </w: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1920" w:type="dxa"/>
            <w:vAlign w:val="bottom"/>
            <w:gridSpan w:val="6"/>
            <w:vMerge w:val="restart"/>
          </w:tcPr>
          <w:p>
            <w:pPr>
              <w:jc w:val="center"/>
              <w:ind w:right="80"/>
              <w:spacing w:after="0"/>
              <w:rPr>
                <w:sz w:val="20"/>
                <w:szCs w:val="20"/>
                <w:color w:val="auto"/>
              </w:rPr>
            </w:pPr>
            <w:r>
              <w:rPr>
                <w:rFonts w:ascii="Arial" w:cs="Arial" w:eastAsia="Arial" w:hAnsi="Arial"/>
                <w:sz w:val="14"/>
                <w:szCs w:val="14"/>
                <w:b w:val="1"/>
                <w:bCs w:val="1"/>
                <w:color w:val="auto"/>
                <w:w w:val="89"/>
              </w:rPr>
              <w:t>During the Three Months</w:t>
            </w:r>
          </w:p>
        </w:tc>
        <w:tc>
          <w:tcPr>
            <w:tcW w:w="0" w:type="dxa"/>
            <w:vAlign w:val="bottom"/>
          </w:tcPr>
          <w:p>
            <w:pPr>
              <w:spacing w:after="0"/>
              <w:rPr>
                <w:sz w:val="1"/>
                <w:szCs w:val="1"/>
                <w:color w:val="auto"/>
              </w:rPr>
            </w:pPr>
          </w:p>
        </w:tc>
      </w:tr>
      <w:tr>
        <w:trPr>
          <w:trHeight w:val="134"/>
        </w:trPr>
        <w:tc>
          <w:tcPr>
            <w:tcW w:w="23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2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rPr>
              <w:t>Modification</w:t>
            </w:r>
          </w:p>
        </w:tc>
        <w:tc>
          <w:tcPr>
            <w:tcW w:w="192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0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Troubled Debt Restructurings for the</w:t>
            </w:r>
          </w:p>
        </w:tc>
        <w:tc>
          <w:tcPr>
            <w:tcW w:w="18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20" w:type="dxa"/>
            <w:vAlign w:val="bottom"/>
            <w:gridSpan w:val="3"/>
          </w:tcPr>
          <w:p>
            <w:pPr>
              <w:jc w:val="center"/>
              <w:ind w:right="260"/>
              <w:spacing w:after="0" w:line="129" w:lineRule="exact"/>
              <w:rPr>
                <w:sz w:val="20"/>
                <w:szCs w:val="20"/>
                <w:color w:val="auto"/>
              </w:rPr>
            </w:pPr>
            <w:r>
              <w:rPr>
                <w:rFonts w:ascii="Arial" w:cs="Arial" w:eastAsia="Arial" w:hAnsi="Arial"/>
                <w:sz w:val="14"/>
                <w:szCs w:val="14"/>
                <w:b w:val="1"/>
                <w:bCs w:val="1"/>
                <w:color w:val="auto"/>
                <w:w w:val="87"/>
              </w:rPr>
              <w:t>Outstanding</w:t>
            </w:r>
          </w:p>
        </w:tc>
        <w:tc>
          <w:tcPr>
            <w:tcW w:w="220" w:type="dxa"/>
            <w:vAlign w:val="bottom"/>
          </w:tcPr>
          <w:p>
            <w:pPr>
              <w:spacing w:after="0"/>
              <w:rPr>
                <w:sz w:val="11"/>
                <w:szCs w:val="11"/>
                <w:color w:val="auto"/>
              </w:rPr>
            </w:pPr>
          </w:p>
        </w:tc>
        <w:tc>
          <w:tcPr>
            <w:tcW w:w="1220" w:type="dxa"/>
            <w:vAlign w:val="bottom"/>
            <w:gridSpan w:val="3"/>
          </w:tcPr>
          <w:p>
            <w:pPr>
              <w:jc w:val="center"/>
              <w:ind w:right="460"/>
              <w:spacing w:after="0" w:line="129" w:lineRule="exact"/>
              <w:rPr>
                <w:sz w:val="20"/>
                <w:szCs w:val="20"/>
                <w:color w:val="auto"/>
              </w:rPr>
            </w:pPr>
            <w:r>
              <w:rPr>
                <w:rFonts w:ascii="Arial" w:cs="Arial" w:eastAsia="Arial" w:hAnsi="Arial"/>
                <w:sz w:val="14"/>
                <w:szCs w:val="14"/>
                <w:b w:val="1"/>
                <w:bCs w:val="1"/>
                <w:color w:val="auto"/>
                <w:w w:val="87"/>
              </w:rPr>
              <w:t>Outstanding</w:t>
            </w:r>
          </w:p>
        </w:tc>
        <w:tc>
          <w:tcPr>
            <w:tcW w:w="1820" w:type="dxa"/>
            <w:vAlign w:val="bottom"/>
            <w:tcBorders>
              <w:bottom w:val="single" w:sz="8" w:color="auto"/>
            </w:tcBorders>
            <w:gridSpan w:val="5"/>
          </w:tcPr>
          <w:p>
            <w:pPr>
              <w:jc w:val="center"/>
              <w:spacing w:after="0" w:line="102" w:lineRule="exact"/>
              <w:rPr>
                <w:sz w:val="20"/>
                <w:szCs w:val="20"/>
                <w:color w:val="auto"/>
              </w:rPr>
            </w:pPr>
            <w:r>
              <w:rPr>
                <w:rFonts w:ascii="Arial" w:cs="Arial" w:eastAsia="Arial" w:hAnsi="Arial"/>
                <w:sz w:val="11"/>
                <w:szCs w:val="11"/>
                <w:b w:val="1"/>
                <w:bCs w:val="1"/>
                <w:color w:val="auto"/>
              </w:rPr>
              <w:t>Ended September 30, 2012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0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Three Months Ended September 30,</w:t>
            </w:r>
          </w:p>
        </w:tc>
        <w:tc>
          <w:tcPr>
            <w:tcW w:w="1880" w:type="dxa"/>
            <w:vAlign w:val="bottom"/>
          </w:tcPr>
          <w:p>
            <w:pPr>
              <w:spacing w:after="0"/>
              <w:rPr>
                <w:sz w:val="12"/>
                <w:szCs w:val="12"/>
                <w:color w:val="auto"/>
              </w:rPr>
            </w:pPr>
          </w:p>
        </w:tc>
        <w:tc>
          <w:tcPr>
            <w:tcW w:w="10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1"/>
              </w:rPr>
              <w:t>Number of</w:t>
            </w:r>
          </w:p>
        </w:tc>
        <w:tc>
          <w:tcPr>
            <w:tcW w:w="100" w:type="dxa"/>
            <w:vAlign w:val="bottom"/>
          </w:tcPr>
          <w:p>
            <w:pPr>
              <w:spacing w:after="0"/>
              <w:rPr>
                <w:sz w:val="12"/>
                <w:szCs w:val="12"/>
                <w:color w:val="auto"/>
              </w:rPr>
            </w:pPr>
          </w:p>
        </w:tc>
        <w:tc>
          <w:tcPr>
            <w:tcW w:w="9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3"/>
              </w:rPr>
              <w:t>Recorded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6"/>
              </w:rPr>
              <w:t>Recorded</w:t>
            </w: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Number of</w:t>
            </w:r>
          </w:p>
        </w:tc>
        <w:tc>
          <w:tcPr>
            <w:tcW w:w="220" w:type="dxa"/>
            <w:vAlign w:val="bottom"/>
          </w:tcPr>
          <w:p>
            <w:pPr>
              <w:spacing w:after="0"/>
              <w:rPr>
                <w:sz w:val="12"/>
                <w:szCs w:val="12"/>
                <w:color w:val="auto"/>
              </w:rPr>
            </w:pPr>
          </w:p>
        </w:tc>
        <w:tc>
          <w:tcPr>
            <w:tcW w:w="8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3"/>
              </w:rPr>
              <w:t>Recorded</w:t>
            </w:r>
          </w:p>
        </w:tc>
        <w:tc>
          <w:tcPr>
            <w:tcW w:w="0" w:type="dxa"/>
            <w:vAlign w:val="bottom"/>
          </w:tcPr>
          <w:p>
            <w:pPr>
              <w:spacing w:after="0"/>
              <w:rPr>
                <w:sz w:val="1"/>
                <w:szCs w:val="1"/>
                <w:color w:val="auto"/>
              </w:rPr>
            </w:pPr>
          </w:p>
        </w:tc>
      </w:tr>
      <w:tr>
        <w:trPr>
          <w:trHeight w:val="149"/>
        </w:trPr>
        <w:tc>
          <w:tcPr>
            <w:tcW w:w="2320" w:type="dxa"/>
            <w:vAlign w:val="bottom"/>
            <w:tcBorders>
              <w:bottom w:val="single" w:sz="8" w:color="auto"/>
            </w:tcBorders>
          </w:tcPr>
          <w:p>
            <w:pPr>
              <w:spacing w:after="0" w:line="129" w:lineRule="exact"/>
              <w:rPr>
                <w:sz w:val="20"/>
                <w:szCs w:val="20"/>
                <w:color w:val="auto"/>
              </w:rPr>
            </w:pPr>
            <w:r>
              <w:rPr>
                <w:rFonts w:ascii="Arial" w:cs="Arial" w:eastAsia="Arial" w:hAnsi="Arial"/>
                <w:sz w:val="14"/>
                <w:szCs w:val="14"/>
                <w:b w:val="1"/>
                <w:bCs w:val="1"/>
                <w:color w:val="auto"/>
              </w:rPr>
              <w:t>2012</w:t>
            </w:r>
          </w:p>
        </w:tc>
        <w:tc>
          <w:tcPr>
            <w:tcW w:w="17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80" w:type="dxa"/>
            <w:vAlign w:val="bottom"/>
            <w:gridSpan w:val="2"/>
          </w:tcPr>
          <w:p>
            <w:pPr>
              <w:jc w:val="center"/>
              <w:ind w:right="440"/>
              <w:spacing w:after="0" w:line="129" w:lineRule="exact"/>
              <w:rPr>
                <w:sz w:val="20"/>
                <w:szCs w:val="20"/>
                <w:color w:val="auto"/>
              </w:rPr>
            </w:pPr>
            <w:r>
              <w:rPr>
                <w:rFonts w:ascii="Arial" w:cs="Arial" w:eastAsia="Arial" w:hAnsi="Arial"/>
                <w:sz w:val="14"/>
                <w:szCs w:val="14"/>
                <w:b w:val="1"/>
                <w:bCs w:val="1"/>
                <w:color w:val="auto"/>
                <w:w w:val="85"/>
              </w:rPr>
              <w:t>Contracts</w:t>
            </w:r>
          </w:p>
        </w:tc>
        <w:tc>
          <w:tcPr>
            <w:tcW w:w="1020" w:type="dxa"/>
            <w:vAlign w:val="bottom"/>
            <w:gridSpan w:val="3"/>
          </w:tcPr>
          <w:p>
            <w:pPr>
              <w:jc w:val="center"/>
              <w:ind w:right="240"/>
              <w:spacing w:after="0" w:line="129" w:lineRule="exact"/>
              <w:rPr>
                <w:sz w:val="20"/>
                <w:szCs w:val="20"/>
                <w:color w:val="auto"/>
              </w:rPr>
            </w:pPr>
            <w:r>
              <w:rPr>
                <w:rFonts w:ascii="Arial" w:cs="Arial" w:eastAsia="Arial" w:hAnsi="Arial"/>
                <w:sz w:val="14"/>
                <w:szCs w:val="14"/>
                <w:b w:val="1"/>
                <w:bCs w:val="1"/>
                <w:color w:val="auto"/>
                <w:w w:val="89"/>
              </w:rPr>
              <w:t>Investment</w:t>
            </w:r>
          </w:p>
        </w:tc>
        <w:tc>
          <w:tcPr>
            <w:tcW w:w="220" w:type="dxa"/>
            <w:vAlign w:val="bottom"/>
          </w:tcPr>
          <w:p>
            <w:pPr>
              <w:spacing w:after="0"/>
              <w:rPr>
                <w:sz w:val="12"/>
                <w:szCs w:val="12"/>
                <w:color w:val="auto"/>
              </w:rPr>
            </w:pPr>
          </w:p>
        </w:tc>
        <w:tc>
          <w:tcPr>
            <w:tcW w:w="1220" w:type="dxa"/>
            <w:vAlign w:val="bottom"/>
            <w:gridSpan w:val="3"/>
          </w:tcPr>
          <w:p>
            <w:pPr>
              <w:jc w:val="center"/>
              <w:ind w:right="460"/>
              <w:spacing w:after="0" w:line="129" w:lineRule="exact"/>
              <w:rPr>
                <w:sz w:val="20"/>
                <w:szCs w:val="20"/>
                <w:color w:val="auto"/>
              </w:rPr>
            </w:pPr>
            <w:r>
              <w:rPr>
                <w:rFonts w:ascii="Arial" w:cs="Arial" w:eastAsia="Arial" w:hAnsi="Arial"/>
                <w:sz w:val="14"/>
                <w:szCs w:val="14"/>
                <w:b w:val="1"/>
                <w:bCs w:val="1"/>
                <w:color w:val="auto"/>
                <w:w w:val="86"/>
              </w:rPr>
              <w:t>Investment</w:t>
            </w:r>
          </w:p>
        </w:tc>
        <w:tc>
          <w:tcPr>
            <w:tcW w:w="88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88"/>
              </w:rPr>
              <w:t>Contracts</w:t>
            </w:r>
          </w:p>
        </w:tc>
        <w:tc>
          <w:tcPr>
            <w:tcW w:w="220" w:type="dxa"/>
            <w:vAlign w:val="bottom"/>
          </w:tcPr>
          <w:p>
            <w:pPr>
              <w:spacing w:after="0"/>
              <w:rPr>
                <w:sz w:val="12"/>
                <w:szCs w:val="12"/>
                <w:color w:val="auto"/>
              </w:rPr>
            </w:pPr>
          </w:p>
        </w:tc>
        <w:tc>
          <w:tcPr>
            <w:tcW w:w="820" w:type="dxa"/>
            <w:vAlign w:val="bottom"/>
            <w:gridSpan w:val="3"/>
          </w:tcPr>
          <w:p>
            <w:pPr>
              <w:jc w:val="center"/>
              <w:ind w:right="80"/>
              <w:spacing w:after="0" w:line="129" w:lineRule="exact"/>
              <w:rPr>
                <w:sz w:val="20"/>
                <w:szCs w:val="20"/>
                <w:color w:val="auto"/>
              </w:rPr>
            </w:pPr>
            <w:r>
              <w:rPr>
                <w:rFonts w:ascii="Arial" w:cs="Arial" w:eastAsia="Arial" w:hAnsi="Arial"/>
                <w:sz w:val="14"/>
                <w:szCs w:val="14"/>
                <w:b w:val="1"/>
                <w:bCs w:val="1"/>
                <w:color w:val="auto"/>
                <w:w w:val="89"/>
              </w:rPr>
              <w:t>Investment</w:t>
            </w:r>
          </w:p>
        </w:tc>
        <w:tc>
          <w:tcPr>
            <w:tcW w:w="0" w:type="dxa"/>
            <w:vAlign w:val="bottom"/>
          </w:tcPr>
          <w:p>
            <w:pPr>
              <w:spacing w:after="0"/>
              <w:rPr>
                <w:sz w:val="1"/>
                <w:szCs w:val="1"/>
                <w:color w:val="auto"/>
              </w:rPr>
            </w:pPr>
          </w:p>
        </w:tc>
      </w:tr>
      <w:tr>
        <w:trPr>
          <w:trHeight w:val="20"/>
        </w:trPr>
        <w:tc>
          <w:tcPr>
            <w:tcW w:w="232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18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Commercial (secured by real estate)</w:t>
            </w:r>
          </w:p>
        </w:tc>
        <w:tc>
          <w:tcPr>
            <w:tcW w:w="18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7,914</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7,836</w:t>
            </w:r>
          </w:p>
        </w:tc>
        <w:tc>
          <w:tcPr>
            <w:tcW w:w="4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6"/>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324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Commercial &amp; industrial</w:t>
            </w:r>
          </w:p>
        </w:tc>
        <w:tc>
          <w:tcPr>
            <w:tcW w:w="2960" w:type="dxa"/>
            <w:vAlign w:val="bottom"/>
            <w:gridSpan w:val="3"/>
          </w:tcPr>
          <w:p>
            <w:pPr>
              <w:jc w:val="right"/>
              <w:ind w:right="44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162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162</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construction</w:t>
            </w:r>
          </w:p>
        </w:tc>
        <w:tc>
          <w:tcPr>
            <w:tcW w:w="18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5,531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5,451</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080" w:type="dxa"/>
            <w:vAlign w:val="bottom"/>
            <w:gridSpan w:val="2"/>
            <w:vMerge w:val="restart"/>
          </w:tcPr>
          <w:p>
            <w:pPr>
              <w:ind w:left="440"/>
              <w:spacing w:after="0"/>
              <w:rPr>
                <w:sz w:val="20"/>
                <w:szCs w:val="20"/>
                <w:color w:val="auto"/>
              </w:rPr>
            </w:pPr>
            <w:r>
              <w:rPr>
                <w:rFonts w:ascii="Arial" w:cs="Arial" w:eastAsia="Arial" w:hAnsi="Arial"/>
                <w:sz w:val="18"/>
                <w:szCs w:val="18"/>
                <w:color w:val="auto"/>
              </w:rPr>
              <w:t>Total commercial</w:t>
            </w:r>
          </w:p>
        </w:tc>
        <w:tc>
          <w:tcPr>
            <w:tcW w:w="18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080" w:type="dxa"/>
            <w:vAlign w:val="bottom"/>
            <w:gridSpan w:val="2"/>
            <w:vMerge w:val="continue"/>
          </w:tcPr>
          <w:p>
            <w:pPr>
              <w:spacing w:after="0"/>
              <w:rPr>
                <w:sz w:val="19"/>
                <w:szCs w:val="19"/>
                <w:color w:val="auto"/>
              </w:rPr>
            </w:pPr>
          </w:p>
        </w:tc>
        <w:tc>
          <w:tcPr>
            <w:tcW w:w="18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13,607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13,449</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Residential mortgage</w:t>
            </w:r>
          </w:p>
        </w:tc>
        <w:tc>
          <w:tcPr>
            <w:tcW w:w="29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2,252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2,102</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Residential construction</w:t>
            </w:r>
          </w:p>
        </w:tc>
        <w:tc>
          <w:tcPr>
            <w:tcW w:w="2960" w:type="dxa"/>
            <w:vAlign w:val="bottom"/>
            <w:gridSpan w:val="3"/>
          </w:tcPr>
          <w:p>
            <w:pPr>
              <w:jc w:val="right"/>
              <w:ind w:right="44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6,569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6,188</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2,953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 installment</w:t>
            </w:r>
          </w:p>
        </w:tc>
        <w:tc>
          <w:tcPr>
            <w:tcW w:w="18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43</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80" w:type="dxa"/>
            <w:vAlign w:val="bottom"/>
            <w:gridSpan w:val="2"/>
            <w:vMerge w:val="restart"/>
          </w:tcPr>
          <w:p>
            <w:pPr>
              <w:ind w:left="440"/>
              <w:spacing w:after="0"/>
              <w:rPr>
                <w:sz w:val="20"/>
                <w:szCs w:val="20"/>
                <w:color w:val="auto"/>
              </w:rPr>
            </w:pPr>
            <w:r>
              <w:rPr>
                <w:rFonts w:ascii="Arial" w:cs="Arial" w:eastAsia="Arial" w:hAnsi="Arial"/>
                <w:sz w:val="18"/>
                <w:szCs w:val="18"/>
                <w:color w:val="auto"/>
              </w:rPr>
              <w:t>Total loans</w:t>
            </w:r>
          </w:p>
        </w:tc>
        <w:tc>
          <w:tcPr>
            <w:tcW w:w="18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080" w:type="dxa"/>
            <w:vAlign w:val="bottom"/>
            <w:gridSpan w:val="2"/>
            <w:vMerge w:val="continue"/>
          </w:tcPr>
          <w:p>
            <w:pPr>
              <w:spacing w:after="0"/>
              <w:rPr>
                <w:sz w:val="19"/>
                <w:szCs w:val="19"/>
                <w:color w:val="auto"/>
              </w:rPr>
            </w:pPr>
          </w:p>
        </w:tc>
        <w:tc>
          <w:tcPr>
            <w:tcW w:w="18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56</w:t>
            </w:r>
          </w:p>
        </w:tc>
        <w:tc>
          <w:tcPr>
            <w:tcW w:w="44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22,472</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21,782</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16</w:t>
            </w:r>
          </w:p>
        </w:tc>
        <w:tc>
          <w:tcPr>
            <w:tcW w:w="400" w:type="dxa"/>
            <w:vAlign w:val="bottom"/>
            <w:gridSpan w:val="2"/>
          </w:tcPr>
          <w:p>
            <w:pPr>
              <w:jc w:val="right"/>
              <w:ind w:right="6"/>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3,326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7"/>
        </w:trPr>
        <w:tc>
          <w:tcPr>
            <w:tcW w:w="23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Pre-</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vMerge w:val="restart"/>
          </w:tcPr>
          <w:p>
            <w:pPr>
              <w:jc w:val="center"/>
              <w:ind w:right="540"/>
              <w:spacing w:after="0"/>
              <w:rPr>
                <w:sz w:val="20"/>
                <w:szCs w:val="20"/>
                <w:color w:val="auto"/>
              </w:rPr>
            </w:pPr>
            <w:r>
              <w:rPr>
                <w:rFonts w:ascii="Arial" w:cs="Arial" w:eastAsia="Arial" w:hAnsi="Arial"/>
                <w:sz w:val="14"/>
                <w:szCs w:val="14"/>
                <w:b w:val="1"/>
                <w:bCs w:val="1"/>
                <w:color w:val="auto"/>
                <w:w w:val="85"/>
              </w:rPr>
              <w:t>Post-</w:t>
            </w:r>
          </w:p>
        </w:tc>
        <w:tc>
          <w:tcPr>
            <w:tcW w:w="192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w w:val="86"/>
              </w:rPr>
              <w:t>Subsequently Defaulted</w:t>
            </w:r>
          </w:p>
        </w:tc>
        <w:tc>
          <w:tcPr>
            <w:tcW w:w="0" w:type="dxa"/>
            <w:vAlign w:val="bottom"/>
          </w:tcPr>
          <w:p>
            <w:pPr>
              <w:spacing w:after="0"/>
              <w:rPr>
                <w:sz w:val="1"/>
                <w:szCs w:val="1"/>
                <w:color w:val="auto"/>
              </w:rPr>
            </w:pPr>
          </w:p>
        </w:tc>
      </w:tr>
      <w:tr>
        <w:trPr>
          <w:trHeight w:val="54"/>
        </w:trPr>
        <w:tc>
          <w:tcPr>
            <w:tcW w:w="2320" w:type="dxa"/>
            <w:vAlign w:val="bottom"/>
          </w:tcPr>
          <w:p>
            <w:pPr>
              <w:spacing w:after="0"/>
              <w:rPr>
                <w:sz w:val="4"/>
                <w:szCs w:val="4"/>
                <w:color w:val="auto"/>
              </w:rPr>
            </w:pPr>
          </w:p>
        </w:tc>
        <w:tc>
          <w:tcPr>
            <w:tcW w:w="1760" w:type="dxa"/>
            <w:vAlign w:val="bottom"/>
          </w:tcPr>
          <w:p>
            <w:pPr>
              <w:spacing w:after="0"/>
              <w:rPr>
                <w:sz w:val="4"/>
                <w:szCs w:val="4"/>
                <w:color w:val="auto"/>
              </w:rPr>
            </w:pPr>
          </w:p>
        </w:tc>
        <w:tc>
          <w:tcPr>
            <w:tcW w:w="1880" w:type="dxa"/>
            <w:vAlign w:val="bottom"/>
          </w:tcPr>
          <w:p>
            <w:pPr>
              <w:spacing w:after="0"/>
              <w:rPr>
                <w:sz w:val="4"/>
                <w:szCs w:val="4"/>
                <w:color w:val="auto"/>
              </w:rPr>
            </w:pPr>
          </w:p>
        </w:tc>
        <w:tc>
          <w:tcPr>
            <w:tcW w:w="6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Modification</w:t>
            </w: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1920" w:type="dxa"/>
            <w:vAlign w:val="bottom"/>
            <w:gridSpan w:val="6"/>
            <w:vMerge w:val="restart"/>
          </w:tcPr>
          <w:p>
            <w:pPr>
              <w:jc w:val="center"/>
              <w:ind w:right="80"/>
              <w:spacing w:after="0"/>
              <w:rPr>
                <w:sz w:val="20"/>
                <w:szCs w:val="20"/>
                <w:color w:val="auto"/>
              </w:rPr>
            </w:pPr>
            <w:r>
              <w:rPr>
                <w:rFonts w:ascii="Arial" w:cs="Arial" w:eastAsia="Arial" w:hAnsi="Arial"/>
                <w:sz w:val="14"/>
                <w:szCs w:val="14"/>
                <w:b w:val="1"/>
                <w:bCs w:val="1"/>
                <w:color w:val="auto"/>
                <w:w w:val="88"/>
              </w:rPr>
              <w:t>During the Nine Months</w:t>
            </w:r>
          </w:p>
        </w:tc>
        <w:tc>
          <w:tcPr>
            <w:tcW w:w="0" w:type="dxa"/>
            <w:vAlign w:val="bottom"/>
          </w:tcPr>
          <w:p>
            <w:pPr>
              <w:spacing w:after="0"/>
              <w:rPr>
                <w:sz w:val="1"/>
                <w:szCs w:val="1"/>
                <w:color w:val="auto"/>
              </w:rPr>
            </w:pPr>
          </w:p>
        </w:tc>
      </w:tr>
      <w:tr>
        <w:trPr>
          <w:trHeight w:val="134"/>
        </w:trPr>
        <w:tc>
          <w:tcPr>
            <w:tcW w:w="23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2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3"/>
          </w:tcPr>
          <w:p>
            <w:pPr>
              <w:jc w:val="center"/>
              <w:ind w:right="480"/>
              <w:spacing w:after="0" w:line="135" w:lineRule="exact"/>
              <w:rPr>
                <w:sz w:val="20"/>
                <w:szCs w:val="20"/>
                <w:color w:val="auto"/>
              </w:rPr>
            </w:pPr>
            <w:r>
              <w:rPr>
                <w:rFonts w:ascii="Arial" w:cs="Arial" w:eastAsia="Arial" w:hAnsi="Arial"/>
                <w:sz w:val="14"/>
                <w:szCs w:val="14"/>
                <w:b w:val="1"/>
                <w:bCs w:val="1"/>
                <w:color w:val="auto"/>
                <w:w w:val="89"/>
              </w:rPr>
              <w:t>Modification</w:t>
            </w:r>
          </w:p>
        </w:tc>
        <w:tc>
          <w:tcPr>
            <w:tcW w:w="192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0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Troubled Debt Restructurings for the</w:t>
            </w:r>
          </w:p>
        </w:tc>
        <w:tc>
          <w:tcPr>
            <w:tcW w:w="18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20" w:type="dxa"/>
            <w:vAlign w:val="bottom"/>
            <w:gridSpan w:val="3"/>
          </w:tcPr>
          <w:p>
            <w:pPr>
              <w:jc w:val="center"/>
              <w:ind w:right="260"/>
              <w:spacing w:after="0" w:line="129" w:lineRule="exact"/>
              <w:rPr>
                <w:sz w:val="20"/>
                <w:szCs w:val="20"/>
                <w:color w:val="auto"/>
              </w:rPr>
            </w:pPr>
            <w:r>
              <w:rPr>
                <w:rFonts w:ascii="Arial" w:cs="Arial" w:eastAsia="Arial" w:hAnsi="Arial"/>
                <w:sz w:val="14"/>
                <w:szCs w:val="14"/>
                <w:b w:val="1"/>
                <w:bCs w:val="1"/>
                <w:color w:val="auto"/>
                <w:w w:val="87"/>
              </w:rPr>
              <w:t>Outstanding</w:t>
            </w:r>
          </w:p>
        </w:tc>
        <w:tc>
          <w:tcPr>
            <w:tcW w:w="220" w:type="dxa"/>
            <w:vAlign w:val="bottom"/>
          </w:tcPr>
          <w:p>
            <w:pPr>
              <w:spacing w:after="0"/>
              <w:rPr>
                <w:sz w:val="11"/>
                <w:szCs w:val="11"/>
                <w:color w:val="auto"/>
              </w:rPr>
            </w:pPr>
          </w:p>
        </w:tc>
        <w:tc>
          <w:tcPr>
            <w:tcW w:w="1220" w:type="dxa"/>
            <w:vAlign w:val="bottom"/>
            <w:gridSpan w:val="3"/>
          </w:tcPr>
          <w:p>
            <w:pPr>
              <w:jc w:val="center"/>
              <w:ind w:right="460"/>
              <w:spacing w:after="0" w:line="129" w:lineRule="exact"/>
              <w:rPr>
                <w:sz w:val="20"/>
                <w:szCs w:val="20"/>
                <w:color w:val="auto"/>
              </w:rPr>
            </w:pPr>
            <w:r>
              <w:rPr>
                <w:rFonts w:ascii="Arial" w:cs="Arial" w:eastAsia="Arial" w:hAnsi="Arial"/>
                <w:sz w:val="14"/>
                <w:szCs w:val="14"/>
                <w:b w:val="1"/>
                <w:bCs w:val="1"/>
                <w:color w:val="auto"/>
                <w:w w:val="87"/>
              </w:rPr>
              <w:t>Outstanding</w:t>
            </w:r>
          </w:p>
        </w:tc>
        <w:tc>
          <w:tcPr>
            <w:tcW w:w="1820" w:type="dxa"/>
            <w:vAlign w:val="bottom"/>
            <w:tcBorders>
              <w:bottom w:val="single" w:sz="8" w:color="auto"/>
            </w:tcBorders>
            <w:gridSpan w:val="5"/>
          </w:tcPr>
          <w:p>
            <w:pPr>
              <w:jc w:val="center"/>
              <w:spacing w:after="0" w:line="102" w:lineRule="exact"/>
              <w:rPr>
                <w:sz w:val="20"/>
                <w:szCs w:val="20"/>
                <w:color w:val="auto"/>
              </w:rPr>
            </w:pPr>
            <w:r>
              <w:rPr>
                <w:rFonts w:ascii="Arial" w:cs="Arial" w:eastAsia="Arial" w:hAnsi="Arial"/>
                <w:sz w:val="11"/>
                <w:szCs w:val="11"/>
                <w:b w:val="1"/>
                <w:bCs w:val="1"/>
                <w:color w:val="auto"/>
              </w:rPr>
              <w:t>Ended September 30, 2012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0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Nine Months Ended September 30,</w:t>
            </w:r>
          </w:p>
        </w:tc>
        <w:tc>
          <w:tcPr>
            <w:tcW w:w="1880" w:type="dxa"/>
            <w:vAlign w:val="bottom"/>
          </w:tcPr>
          <w:p>
            <w:pPr>
              <w:spacing w:after="0"/>
              <w:rPr>
                <w:sz w:val="12"/>
                <w:szCs w:val="12"/>
                <w:color w:val="auto"/>
              </w:rPr>
            </w:pPr>
          </w:p>
        </w:tc>
        <w:tc>
          <w:tcPr>
            <w:tcW w:w="10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1"/>
              </w:rPr>
              <w:t>Number of</w:t>
            </w:r>
          </w:p>
        </w:tc>
        <w:tc>
          <w:tcPr>
            <w:tcW w:w="100" w:type="dxa"/>
            <w:vAlign w:val="bottom"/>
          </w:tcPr>
          <w:p>
            <w:pPr>
              <w:spacing w:after="0"/>
              <w:rPr>
                <w:sz w:val="12"/>
                <w:szCs w:val="12"/>
                <w:color w:val="auto"/>
              </w:rPr>
            </w:pPr>
          </w:p>
        </w:tc>
        <w:tc>
          <w:tcPr>
            <w:tcW w:w="9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3"/>
              </w:rPr>
              <w:t>Recorded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6"/>
              </w:rPr>
              <w:t>Recorded</w:t>
            </w: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Number of</w:t>
            </w:r>
          </w:p>
        </w:tc>
        <w:tc>
          <w:tcPr>
            <w:tcW w:w="220" w:type="dxa"/>
            <w:vAlign w:val="bottom"/>
          </w:tcPr>
          <w:p>
            <w:pPr>
              <w:spacing w:after="0"/>
              <w:rPr>
                <w:sz w:val="12"/>
                <w:szCs w:val="12"/>
                <w:color w:val="auto"/>
              </w:rPr>
            </w:pPr>
          </w:p>
        </w:tc>
        <w:tc>
          <w:tcPr>
            <w:tcW w:w="8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3"/>
              </w:rPr>
              <w:t>Recorded</w:t>
            </w:r>
          </w:p>
        </w:tc>
        <w:tc>
          <w:tcPr>
            <w:tcW w:w="0" w:type="dxa"/>
            <w:vAlign w:val="bottom"/>
          </w:tcPr>
          <w:p>
            <w:pPr>
              <w:spacing w:after="0"/>
              <w:rPr>
                <w:sz w:val="1"/>
                <w:szCs w:val="1"/>
                <w:color w:val="auto"/>
              </w:rPr>
            </w:pPr>
          </w:p>
        </w:tc>
      </w:tr>
      <w:tr>
        <w:trPr>
          <w:trHeight w:val="149"/>
        </w:trPr>
        <w:tc>
          <w:tcPr>
            <w:tcW w:w="2320" w:type="dxa"/>
            <w:vAlign w:val="bottom"/>
            <w:tcBorders>
              <w:bottom w:val="single" w:sz="8" w:color="auto"/>
            </w:tcBorders>
          </w:tcPr>
          <w:p>
            <w:pPr>
              <w:spacing w:after="0" w:line="129" w:lineRule="exact"/>
              <w:rPr>
                <w:sz w:val="20"/>
                <w:szCs w:val="20"/>
                <w:color w:val="auto"/>
              </w:rPr>
            </w:pPr>
            <w:r>
              <w:rPr>
                <w:rFonts w:ascii="Arial" w:cs="Arial" w:eastAsia="Arial" w:hAnsi="Arial"/>
                <w:sz w:val="14"/>
                <w:szCs w:val="14"/>
                <w:b w:val="1"/>
                <w:bCs w:val="1"/>
                <w:color w:val="auto"/>
              </w:rPr>
              <w:t>2012</w:t>
            </w:r>
          </w:p>
        </w:tc>
        <w:tc>
          <w:tcPr>
            <w:tcW w:w="17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80" w:type="dxa"/>
            <w:vAlign w:val="bottom"/>
            <w:gridSpan w:val="2"/>
          </w:tcPr>
          <w:p>
            <w:pPr>
              <w:jc w:val="center"/>
              <w:ind w:right="440"/>
              <w:spacing w:after="0" w:line="129" w:lineRule="exact"/>
              <w:rPr>
                <w:sz w:val="20"/>
                <w:szCs w:val="20"/>
                <w:color w:val="auto"/>
              </w:rPr>
            </w:pPr>
            <w:r>
              <w:rPr>
                <w:rFonts w:ascii="Arial" w:cs="Arial" w:eastAsia="Arial" w:hAnsi="Arial"/>
                <w:sz w:val="14"/>
                <w:szCs w:val="14"/>
                <w:b w:val="1"/>
                <w:bCs w:val="1"/>
                <w:color w:val="auto"/>
                <w:w w:val="85"/>
              </w:rPr>
              <w:t>Contracts</w:t>
            </w:r>
          </w:p>
        </w:tc>
        <w:tc>
          <w:tcPr>
            <w:tcW w:w="1020" w:type="dxa"/>
            <w:vAlign w:val="bottom"/>
            <w:gridSpan w:val="3"/>
          </w:tcPr>
          <w:p>
            <w:pPr>
              <w:jc w:val="center"/>
              <w:ind w:right="240"/>
              <w:spacing w:after="0" w:line="129" w:lineRule="exact"/>
              <w:rPr>
                <w:sz w:val="20"/>
                <w:szCs w:val="20"/>
                <w:color w:val="auto"/>
              </w:rPr>
            </w:pPr>
            <w:r>
              <w:rPr>
                <w:rFonts w:ascii="Arial" w:cs="Arial" w:eastAsia="Arial" w:hAnsi="Arial"/>
                <w:sz w:val="14"/>
                <w:szCs w:val="14"/>
                <w:b w:val="1"/>
                <w:bCs w:val="1"/>
                <w:color w:val="auto"/>
                <w:w w:val="89"/>
              </w:rPr>
              <w:t>Investment</w:t>
            </w:r>
          </w:p>
        </w:tc>
        <w:tc>
          <w:tcPr>
            <w:tcW w:w="220" w:type="dxa"/>
            <w:vAlign w:val="bottom"/>
          </w:tcPr>
          <w:p>
            <w:pPr>
              <w:spacing w:after="0"/>
              <w:rPr>
                <w:sz w:val="12"/>
                <w:szCs w:val="12"/>
                <w:color w:val="auto"/>
              </w:rPr>
            </w:pPr>
          </w:p>
        </w:tc>
        <w:tc>
          <w:tcPr>
            <w:tcW w:w="1220" w:type="dxa"/>
            <w:vAlign w:val="bottom"/>
            <w:gridSpan w:val="3"/>
          </w:tcPr>
          <w:p>
            <w:pPr>
              <w:jc w:val="center"/>
              <w:ind w:right="460"/>
              <w:spacing w:after="0" w:line="129" w:lineRule="exact"/>
              <w:rPr>
                <w:sz w:val="20"/>
                <w:szCs w:val="20"/>
                <w:color w:val="auto"/>
              </w:rPr>
            </w:pPr>
            <w:r>
              <w:rPr>
                <w:rFonts w:ascii="Arial" w:cs="Arial" w:eastAsia="Arial" w:hAnsi="Arial"/>
                <w:sz w:val="14"/>
                <w:szCs w:val="14"/>
                <w:b w:val="1"/>
                <w:bCs w:val="1"/>
                <w:color w:val="auto"/>
                <w:w w:val="86"/>
              </w:rPr>
              <w:t>Investment</w:t>
            </w:r>
          </w:p>
        </w:tc>
        <w:tc>
          <w:tcPr>
            <w:tcW w:w="88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88"/>
              </w:rPr>
              <w:t>Contracts</w:t>
            </w:r>
          </w:p>
        </w:tc>
        <w:tc>
          <w:tcPr>
            <w:tcW w:w="220" w:type="dxa"/>
            <w:vAlign w:val="bottom"/>
          </w:tcPr>
          <w:p>
            <w:pPr>
              <w:spacing w:after="0"/>
              <w:rPr>
                <w:sz w:val="12"/>
                <w:szCs w:val="12"/>
                <w:color w:val="auto"/>
              </w:rPr>
            </w:pPr>
          </w:p>
        </w:tc>
        <w:tc>
          <w:tcPr>
            <w:tcW w:w="820" w:type="dxa"/>
            <w:vAlign w:val="bottom"/>
            <w:gridSpan w:val="3"/>
          </w:tcPr>
          <w:p>
            <w:pPr>
              <w:jc w:val="center"/>
              <w:ind w:right="80"/>
              <w:spacing w:after="0" w:line="129" w:lineRule="exact"/>
              <w:rPr>
                <w:sz w:val="20"/>
                <w:szCs w:val="20"/>
                <w:color w:val="auto"/>
              </w:rPr>
            </w:pPr>
            <w:r>
              <w:rPr>
                <w:rFonts w:ascii="Arial" w:cs="Arial" w:eastAsia="Arial" w:hAnsi="Arial"/>
                <w:sz w:val="14"/>
                <w:szCs w:val="14"/>
                <w:b w:val="1"/>
                <w:bCs w:val="1"/>
                <w:color w:val="auto"/>
                <w:w w:val="89"/>
              </w:rPr>
              <w:t>Investment</w:t>
            </w:r>
          </w:p>
        </w:tc>
        <w:tc>
          <w:tcPr>
            <w:tcW w:w="0" w:type="dxa"/>
            <w:vAlign w:val="bottom"/>
          </w:tcPr>
          <w:p>
            <w:pPr>
              <w:spacing w:after="0"/>
              <w:rPr>
                <w:sz w:val="1"/>
                <w:szCs w:val="1"/>
                <w:color w:val="auto"/>
              </w:rPr>
            </w:pPr>
          </w:p>
        </w:tc>
      </w:tr>
      <w:tr>
        <w:trPr>
          <w:trHeight w:val="20"/>
        </w:trPr>
        <w:tc>
          <w:tcPr>
            <w:tcW w:w="232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18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Commercial (secured by real estate)</w:t>
            </w:r>
          </w:p>
        </w:tc>
        <w:tc>
          <w:tcPr>
            <w:tcW w:w="18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47</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30,828</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29,305</w:t>
            </w:r>
          </w:p>
        </w:tc>
        <w:tc>
          <w:tcPr>
            <w:tcW w:w="4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6"/>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2,631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Commercial &amp; industrial</w:t>
            </w:r>
          </w:p>
        </w:tc>
        <w:tc>
          <w:tcPr>
            <w:tcW w:w="2960" w:type="dxa"/>
            <w:vAlign w:val="bottom"/>
            <w:gridSpan w:val="3"/>
          </w:tcPr>
          <w:p>
            <w:pPr>
              <w:jc w:val="right"/>
              <w:ind w:right="44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3,484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3,484</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construction</w:t>
            </w:r>
          </w:p>
        </w:tc>
        <w:tc>
          <w:tcPr>
            <w:tcW w:w="18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34,014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33,934</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80" w:type="dxa"/>
            <w:vAlign w:val="bottom"/>
            <w:gridSpan w:val="2"/>
            <w:vMerge w:val="restart"/>
          </w:tcPr>
          <w:p>
            <w:pPr>
              <w:ind w:left="440"/>
              <w:spacing w:after="0"/>
              <w:rPr>
                <w:sz w:val="20"/>
                <w:szCs w:val="20"/>
                <w:color w:val="auto"/>
              </w:rPr>
            </w:pPr>
            <w:r>
              <w:rPr>
                <w:rFonts w:ascii="Arial" w:cs="Arial" w:eastAsia="Arial" w:hAnsi="Arial"/>
                <w:sz w:val="18"/>
                <w:szCs w:val="18"/>
                <w:color w:val="auto"/>
              </w:rPr>
              <w:t>Total commercial</w:t>
            </w:r>
          </w:p>
        </w:tc>
        <w:tc>
          <w:tcPr>
            <w:tcW w:w="18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080" w:type="dxa"/>
            <w:vAlign w:val="bottom"/>
            <w:gridSpan w:val="2"/>
            <w:vMerge w:val="continue"/>
          </w:tcPr>
          <w:p>
            <w:pPr>
              <w:spacing w:after="0"/>
              <w:rPr>
                <w:sz w:val="19"/>
                <w:szCs w:val="19"/>
                <w:color w:val="auto"/>
              </w:rPr>
            </w:pPr>
          </w:p>
        </w:tc>
        <w:tc>
          <w:tcPr>
            <w:tcW w:w="18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87</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68,326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66,723</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6,853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Residential mortgage</w:t>
            </w:r>
          </w:p>
        </w:tc>
        <w:tc>
          <w:tcPr>
            <w:tcW w:w="29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12,819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12,487</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Residential construction</w:t>
            </w:r>
          </w:p>
        </w:tc>
        <w:tc>
          <w:tcPr>
            <w:tcW w:w="2960" w:type="dxa"/>
            <w:vAlign w:val="bottom"/>
            <w:gridSpan w:val="3"/>
          </w:tcPr>
          <w:p>
            <w:pPr>
              <w:jc w:val="right"/>
              <w:ind w:right="44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17,958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15,738</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4,550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 installment</w:t>
            </w:r>
          </w:p>
        </w:tc>
        <w:tc>
          <w:tcPr>
            <w:tcW w:w="18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308</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80" w:type="dxa"/>
            <w:vAlign w:val="bottom"/>
            <w:gridSpan w:val="2"/>
            <w:vMerge w:val="restart"/>
          </w:tcPr>
          <w:p>
            <w:pPr>
              <w:ind w:left="440"/>
              <w:spacing w:after="0"/>
              <w:rPr>
                <w:sz w:val="20"/>
                <w:szCs w:val="20"/>
                <w:color w:val="auto"/>
              </w:rPr>
            </w:pPr>
            <w:r>
              <w:rPr>
                <w:rFonts w:ascii="Arial" w:cs="Arial" w:eastAsia="Arial" w:hAnsi="Arial"/>
                <w:sz w:val="18"/>
                <w:szCs w:val="18"/>
                <w:color w:val="auto"/>
              </w:rPr>
              <w:t>Total loans</w:t>
            </w:r>
          </w:p>
        </w:tc>
        <w:tc>
          <w:tcPr>
            <w:tcW w:w="18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080" w:type="dxa"/>
            <w:vAlign w:val="bottom"/>
            <w:gridSpan w:val="2"/>
            <w:vMerge w:val="continue"/>
          </w:tcPr>
          <w:p>
            <w:pPr>
              <w:spacing w:after="0"/>
              <w:rPr>
                <w:sz w:val="19"/>
                <w:szCs w:val="19"/>
                <w:color w:val="auto"/>
              </w:rPr>
            </w:pPr>
          </w:p>
        </w:tc>
        <w:tc>
          <w:tcPr>
            <w:tcW w:w="18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214</w:t>
            </w:r>
          </w:p>
        </w:tc>
        <w:tc>
          <w:tcPr>
            <w:tcW w:w="44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99,417</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95,256</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32</w:t>
            </w:r>
          </w:p>
        </w:tc>
        <w:tc>
          <w:tcPr>
            <w:tcW w:w="400" w:type="dxa"/>
            <w:vAlign w:val="bottom"/>
            <w:gridSpan w:val="2"/>
          </w:tcPr>
          <w:p>
            <w:pPr>
              <w:jc w:val="right"/>
              <w:ind w:right="6"/>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11,858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80" w:type="dxa"/>
            <w:vAlign w:val="bottom"/>
            <w:vMerge w:val="restart"/>
          </w:tcPr>
          <w:p>
            <w:pPr>
              <w:jc w:val="right"/>
              <w:ind w:right="72"/>
              <w:spacing w:after="0"/>
              <w:rPr>
                <w:sz w:val="20"/>
                <w:szCs w:val="20"/>
                <w:color w:val="auto"/>
              </w:rPr>
            </w:pPr>
            <w:r>
              <w:rPr>
                <w:rFonts w:ascii="Arial" w:cs="Arial" w:eastAsia="Arial" w:hAnsi="Arial"/>
                <w:sz w:val="18"/>
                <w:szCs w:val="18"/>
                <w:color w:val="auto"/>
              </w:rPr>
              <w:t>19</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3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88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Ratings</w:t>
      </w:r>
    </w:p>
    <w:p>
      <w:pPr>
        <w:spacing w:after="0" w:line="9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United categorizes loans into risk categories based on relevant information about the ability of borrowers to service their debt such as: current financial information, historical payment experience, credit documentation, public information, and current industry and economic trends, among other factors. United analyzes loans individually by classifying the loans as to credit risk. This analysis is performed on a continuous basis. United uses the following definitions for its risk ratings:</w:t>
      </w:r>
    </w:p>
    <w:p>
      <w:pPr>
        <w:spacing w:after="0" w:line="137"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b w:val="1"/>
          <w:bCs w:val="1"/>
          <w:color w:val="auto"/>
        </w:rPr>
        <w:t xml:space="preserve">Watch. </w:t>
      </w:r>
      <w:r>
        <w:rPr>
          <w:rFonts w:ascii="Arial" w:cs="Arial" w:eastAsia="Arial" w:hAnsi="Arial"/>
          <w:sz w:val="18"/>
          <w:szCs w:val="18"/>
          <w:color w:val="auto"/>
        </w:rPr>
        <w:t>Loans in this category are presently protected from apparent loss; however, weaknesses exist that could cause future impairment, including the</w:t>
      </w:r>
      <w:r>
        <w:rPr>
          <w:rFonts w:ascii="Arial" w:cs="Arial" w:eastAsia="Arial" w:hAnsi="Arial"/>
          <w:sz w:val="18"/>
          <w:szCs w:val="18"/>
          <w:b w:val="1"/>
          <w:bCs w:val="1"/>
          <w:color w:val="auto"/>
        </w:rPr>
        <w:t xml:space="preserve"> </w:t>
      </w:r>
      <w:r>
        <w:rPr>
          <w:rFonts w:ascii="Arial" w:cs="Arial" w:eastAsia="Arial" w:hAnsi="Arial"/>
          <w:sz w:val="18"/>
          <w:szCs w:val="18"/>
          <w:color w:val="auto"/>
        </w:rPr>
        <w:t>deterioration of financial ratios, past due status and questionable management capabilities. These loans require more than the ordinary amount of supervision. Collateral values generally afford adequate coverage, but may not be immediately marketable.</w:t>
      </w:r>
    </w:p>
    <w:p>
      <w:pPr>
        <w:spacing w:after="0" w:line="132" w:lineRule="exact"/>
        <w:rPr>
          <w:sz w:val="20"/>
          <w:szCs w:val="20"/>
          <w:color w:val="auto"/>
        </w:rPr>
      </w:pPr>
    </w:p>
    <w:p>
      <w:pPr>
        <w:jc w:val="both"/>
        <w:ind w:right="40"/>
        <w:spacing w:after="0" w:line="339" w:lineRule="auto"/>
        <w:rPr>
          <w:sz w:val="20"/>
          <w:szCs w:val="20"/>
          <w:color w:val="auto"/>
        </w:rPr>
      </w:pPr>
      <w:r>
        <w:rPr>
          <w:rFonts w:ascii="Arial" w:cs="Arial" w:eastAsia="Arial" w:hAnsi="Arial"/>
          <w:sz w:val="15"/>
          <w:szCs w:val="15"/>
          <w:b w:val="1"/>
          <w:bCs w:val="1"/>
          <w:color w:val="auto"/>
        </w:rPr>
        <w:t xml:space="preserve">Substandard. </w:t>
      </w:r>
      <w:r>
        <w:rPr>
          <w:rFonts w:ascii="Arial" w:cs="Arial" w:eastAsia="Arial" w:hAnsi="Arial"/>
          <w:sz w:val="15"/>
          <w:szCs w:val="15"/>
          <w:color w:val="auto"/>
        </w:rPr>
        <w:t>These loans are inadequately protected by the current net worth and paying capacity of the obligor or by the collateral pledged. Specific and well-defined weaknesses exist that may include poor liquidity and deterioration of financial ratios. The loan may be past due and related deposit accounts experiencing overdrafts. There is the distinct possibility that United will sustain some loss if deficiencies are not corrected. If possible, immediate corrective action is taken.</w:t>
      </w:r>
    </w:p>
    <w:p>
      <w:pPr>
        <w:spacing w:after="0" w:line="79"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b w:val="1"/>
          <w:bCs w:val="1"/>
          <w:color w:val="auto"/>
        </w:rPr>
        <w:t xml:space="preserve">Doubtful. </w:t>
      </w:r>
      <w:r>
        <w:rPr>
          <w:rFonts w:ascii="Arial" w:cs="Arial" w:eastAsia="Arial" w:hAnsi="Arial"/>
          <w:sz w:val="18"/>
          <w:szCs w:val="18"/>
          <w:color w:val="auto"/>
        </w:rPr>
        <w:t>Specific weaknesses characterized as Substandard that are severe enough to make collection in full highly questionable and improbable. There is no</w:t>
      </w:r>
      <w:r>
        <w:rPr>
          <w:rFonts w:ascii="Arial" w:cs="Arial" w:eastAsia="Arial" w:hAnsi="Arial"/>
          <w:sz w:val="18"/>
          <w:szCs w:val="18"/>
          <w:b w:val="1"/>
          <w:bCs w:val="1"/>
          <w:color w:val="auto"/>
        </w:rPr>
        <w:t xml:space="preserve"> </w:t>
      </w:r>
      <w:r>
        <w:rPr>
          <w:rFonts w:ascii="Arial" w:cs="Arial" w:eastAsia="Arial" w:hAnsi="Arial"/>
          <w:sz w:val="18"/>
          <w:szCs w:val="18"/>
          <w:color w:val="auto"/>
        </w:rPr>
        <w:t>reliable secondary source of full repayment.</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Loss. </w:t>
      </w:r>
      <w:r>
        <w:rPr>
          <w:rFonts w:ascii="Arial" w:cs="Arial" w:eastAsia="Arial" w:hAnsi="Arial"/>
          <w:sz w:val="16"/>
          <w:szCs w:val="16"/>
          <w:color w:val="auto"/>
        </w:rPr>
        <w:t>Loans categorized as Loss have the same characteristics as Doubtful however probability of loss is certain. Loans classified as Loss are charged-off.</w:t>
      </w:r>
    </w:p>
    <w:p>
      <w:pPr>
        <w:spacing w:after="0" w:line="20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Loans not meeting the criteria above that are analyzed individually as part of the above described process are considered to be pass rated loans. Loans listed as not rated are generally deposit account overdrafts that have not been assigned a grade.</w:t>
      </w:r>
    </w:p>
    <w:p>
      <w:pPr>
        <w:spacing w:after="0" w:line="132"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 xml:space="preserve">As of September 30, 2012, December 31, 2011 and September 30, 2011, and based on the most recent analysis performed, the risk category of loans by class of loans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 of September 30, 2012</w:t>
            </w:r>
          </w:p>
        </w:tc>
        <w:tc>
          <w:tcPr>
            <w:tcW w:w="1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ind w:left="20"/>
              <w:spacing w:after="0"/>
              <w:rPr>
                <w:sz w:val="20"/>
                <w:szCs w:val="20"/>
                <w:color w:val="auto"/>
              </w:rPr>
            </w:pPr>
            <w:r>
              <w:rPr>
                <w:rFonts w:ascii="Arial" w:cs="Arial" w:eastAsia="Arial" w:hAnsi="Arial"/>
                <w:sz w:val="14"/>
                <w:szCs w:val="14"/>
                <w:b w:val="1"/>
                <w:bCs w:val="1"/>
                <w:color w:val="auto"/>
                <w:w w:val="91"/>
              </w:rPr>
              <w:t>Doubtful /</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060" w:type="dxa"/>
            <w:vAlign w:val="bottom"/>
            <w:gridSpan w:val="3"/>
            <w:vMerge w:val="continue"/>
          </w:tcPr>
          <w:p>
            <w:pPr>
              <w:spacing w:after="0"/>
              <w:rPr>
                <w:sz w:val="12"/>
                <w:szCs w:val="12"/>
                <w:color w:val="auto"/>
              </w:rPr>
            </w:pPr>
          </w:p>
        </w:tc>
        <w:tc>
          <w:tcPr>
            <w:tcW w:w="1520" w:type="dxa"/>
            <w:vAlign w:val="bottom"/>
          </w:tcPr>
          <w:p>
            <w:pPr>
              <w:spacing w:after="0"/>
              <w:rPr>
                <w:sz w:val="12"/>
                <w:szCs w:val="12"/>
                <w:color w:val="auto"/>
              </w:rPr>
            </w:pPr>
          </w:p>
        </w:tc>
        <w:tc>
          <w:tcPr>
            <w:tcW w:w="960" w:type="dxa"/>
            <w:vAlign w:val="bottom"/>
            <w:gridSpan w:val="2"/>
          </w:tcPr>
          <w:p>
            <w:pPr>
              <w:jc w:val="right"/>
              <w:ind w:right="420"/>
              <w:spacing w:after="0" w:line="148" w:lineRule="exact"/>
              <w:rPr>
                <w:sz w:val="20"/>
                <w:szCs w:val="20"/>
                <w:color w:val="auto"/>
              </w:rPr>
            </w:pPr>
            <w:r>
              <w:rPr>
                <w:rFonts w:ascii="Arial" w:cs="Arial" w:eastAsia="Arial" w:hAnsi="Arial"/>
                <w:sz w:val="14"/>
                <w:szCs w:val="14"/>
                <w:b w:val="1"/>
                <w:bCs w:val="1"/>
                <w:color w:val="auto"/>
              </w:rPr>
              <w:t>Pass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ind w:left="40"/>
              <w:spacing w:after="0" w:line="148" w:lineRule="exact"/>
              <w:rPr>
                <w:sz w:val="20"/>
                <w:szCs w:val="20"/>
                <w:color w:val="auto"/>
              </w:rPr>
            </w:pPr>
            <w:r>
              <w:rPr>
                <w:rFonts w:ascii="Arial" w:cs="Arial" w:eastAsia="Arial" w:hAnsi="Arial"/>
                <w:sz w:val="14"/>
                <w:szCs w:val="14"/>
                <w:b w:val="1"/>
                <w:bCs w:val="1"/>
                <w:color w:val="auto"/>
              </w:rPr>
              <w:t>Watch</w:t>
            </w:r>
          </w:p>
        </w:tc>
        <w:tc>
          <w:tcPr>
            <w:tcW w:w="90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Substandard</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ind w:left="60"/>
              <w:spacing w:after="0" w:line="148" w:lineRule="exact"/>
              <w:rPr>
                <w:sz w:val="20"/>
                <w:szCs w:val="20"/>
                <w:color w:val="auto"/>
              </w:rPr>
            </w:pPr>
            <w:r>
              <w:rPr>
                <w:rFonts w:ascii="Arial" w:cs="Arial" w:eastAsia="Arial" w:hAnsi="Arial"/>
                <w:sz w:val="14"/>
                <w:szCs w:val="14"/>
                <w:b w:val="1"/>
                <w:bCs w:val="1"/>
                <w:color w:val="auto"/>
              </w:rPr>
              <w:t>Loss</w:t>
            </w:r>
          </w:p>
        </w:tc>
        <w:tc>
          <w:tcPr>
            <w:tcW w:w="300" w:type="dxa"/>
            <w:vAlign w:val="bottom"/>
          </w:tcPr>
          <w:p>
            <w:pPr>
              <w:spacing w:after="0"/>
              <w:rPr>
                <w:sz w:val="12"/>
                <w:szCs w:val="12"/>
                <w:color w:val="auto"/>
              </w:rPr>
            </w:pPr>
          </w:p>
        </w:tc>
        <w:tc>
          <w:tcPr>
            <w:tcW w:w="60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w w:val="87"/>
              </w:rPr>
              <w:t>Not Rated</w:t>
            </w:r>
          </w:p>
        </w:tc>
        <w:tc>
          <w:tcPr>
            <w:tcW w:w="280" w:type="dxa"/>
            <w:vAlign w:val="bottom"/>
          </w:tcPr>
          <w:p>
            <w:pPr>
              <w:spacing w:after="0"/>
              <w:rPr>
                <w:sz w:val="12"/>
                <w:szCs w:val="12"/>
                <w:color w:val="auto"/>
              </w:rPr>
            </w:pPr>
          </w:p>
        </w:tc>
        <w:tc>
          <w:tcPr>
            <w:tcW w:w="900" w:type="dxa"/>
            <w:vAlign w:val="bottom"/>
            <w:gridSpan w:val="2"/>
          </w:tcPr>
          <w:p>
            <w:pPr>
              <w:ind w:left="260"/>
              <w:spacing w:after="0" w:line="14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00" w:type="dxa"/>
            <w:vAlign w:val="bottom"/>
            <w:tcBorders>
              <w:bottom w:val="single" w:sz="8" w:color="CCEEFF"/>
            </w:tcBorders>
            <w:shd w:val="clear" w:color="auto" w:fill="000000"/>
          </w:tcPr>
          <w:p>
            <w:pPr>
              <w:spacing w:after="0" w:line="20" w:lineRule="exact"/>
              <w:rPr>
                <w:sz w:val="1"/>
                <w:szCs w:val="1"/>
                <w:color w:val="auto"/>
              </w:rPr>
            </w:pPr>
          </w:p>
        </w:tc>
        <w:tc>
          <w:tcPr>
            <w:tcW w:w="2540" w:type="dxa"/>
            <w:vAlign w:val="bottom"/>
            <w:tcBorders>
              <w:left w:val="single" w:sz="8" w:color="auto"/>
              <w:bottom w:val="single" w:sz="8" w:color="CCEEFF"/>
            </w:tcBorders>
          </w:tcPr>
          <w:p>
            <w:pPr>
              <w:spacing w:after="0" w:line="20" w:lineRule="exact"/>
              <w:rPr>
                <w:sz w:val="1"/>
                <w:szCs w:val="1"/>
                <w:color w:val="auto"/>
              </w:rPr>
            </w:pPr>
          </w:p>
        </w:tc>
        <w:tc>
          <w:tcPr>
            <w:tcW w:w="15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0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Commercial (secured by real estate)</w:t>
            </w:r>
          </w:p>
        </w:tc>
        <w:tc>
          <w:tcPr>
            <w:tcW w:w="15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$1,591,322</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75,606</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152,227</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ind w:left="240"/>
              <w:spacing w:after="0" w:line="203"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ind w:left="120"/>
              <w:spacing w:after="0" w:line="203"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$1,819,155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Commercial &amp; industrial</w:t>
            </w:r>
          </w:p>
        </w:tc>
        <w:tc>
          <w:tcPr>
            <w:tcW w:w="2480" w:type="dxa"/>
            <w:vAlign w:val="bottom"/>
            <w:gridSpan w:val="3"/>
          </w:tcPr>
          <w:p>
            <w:pPr>
              <w:jc w:val="right"/>
              <w:ind w:right="160"/>
              <w:spacing w:after="0"/>
              <w:rPr>
                <w:sz w:val="20"/>
                <w:szCs w:val="20"/>
                <w:color w:val="auto"/>
              </w:rPr>
            </w:pPr>
            <w:r>
              <w:rPr>
                <w:rFonts w:ascii="Arial" w:cs="Arial" w:eastAsia="Arial" w:hAnsi="Arial"/>
                <w:sz w:val="18"/>
                <w:szCs w:val="18"/>
                <w:color w:val="auto"/>
              </w:rPr>
              <w:t>403,460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4,179</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51,418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ind w:left="120"/>
              <w:spacing w:after="0"/>
              <w:rPr>
                <w:sz w:val="20"/>
                <w:szCs w:val="20"/>
                <w:color w:val="auto"/>
              </w:rPr>
            </w:pPr>
            <w:r>
              <w:rPr>
                <w:rFonts w:ascii="Arial" w:cs="Arial" w:eastAsia="Arial" w:hAnsi="Arial"/>
                <w:sz w:val="18"/>
                <w:szCs w:val="18"/>
                <w:color w:val="auto"/>
                <w:w w:val="86"/>
              </w:rPr>
              <w:t>940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459,997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construction</w:t>
            </w:r>
          </w:p>
        </w:tc>
        <w:tc>
          <w:tcPr>
            <w:tcW w:w="15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108,909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6,086</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45,770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160,765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gridSpan w:val="2"/>
            <w:vMerge w:val="restart"/>
          </w:tcPr>
          <w:p>
            <w:pPr>
              <w:ind w:left="420"/>
              <w:spacing w:after="0"/>
              <w:rPr>
                <w:sz w:val="20"/>
                <w:szCs w:val="20"/>
                <w:color w:val="auto"/>
              </w:rPr>
            </w:pPr>
            <w:r>
              <w:rPr>
                <w:rFonts w:ascii="Arial" w:cs="Arial" w:eastAsia="Arial" w:hAnsi="Arial"/>
                <w:sz w:val="18"/>
                <w:szCs w:val="18"/>
                <w:color w:val="auto"/>
              </w:rPr>
              <w:t>Total commercial</w:t>
            </w:r>
          </w:p>
        </w:tc>
        <w:tc>
          <w:tcPr>
            <w:tcW w:w="15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4040" w:type="dxa"/>
            <w:vAlign w:val="bottom"/>
            <w:gridSpan w:val="2"/>
            <w:vMerge w:val="continue"/>
          </w:tcPr>
          <w:p>
            <w:pPr>
              <w:spacing w:after="0"/>
              <w:rPr>
                <w:sz w:val="19"/>
                <w:szCs w:val="19"/>
                <w:color w:val="auto"/>
              </w:rPr>
            </w:pPr>
          </w:p>
        </w:tc>
        <w:tc>
          <w:tcPr>
            <w:tcW w:w="152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2,103,691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85,871</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249,415</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ind w:left="120"/>
              <w:spacing w:after="0"/>
              <w:rPr>
                <w:sz w:val="20"/>
                <w:szCs w:val="20"/>
                <w:color w:val="auto"/>
              </w:rPr>
            </w:pPr>
            <w:r>
              <w:rPr>
                <w:rFonts w:ascii="Arial" w:cs="Arial" w:eastAsia="Arial" w:hAnsi="Arial"/>
                <w:sz w:val="18"/>
                <w:szCs w:val="18"/>
                <w:color w:val="auto"/>
                <w:w w:val="86"/>
              </w:rPr>
              <w:t>940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2,439,917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Residential mortgage</w:t>
            </w:r>
          </w:p>
        </w:tc>
        <w:tc>
          <w:tcPr>
            <w:tcW w:w="24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1,051,402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36,640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86,194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1,174,236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Residential construction</w:t>
            </w:r>
          </w:p>
        </w:tc>
        <w:tc>
          <w:tcPr>
            <w:tcW w:w="2480" w:type="dxa"/>
            <w:vAlign w:val="bottom"/>
            <w:gridSpan w:val="3"/>
          </w:tcPr>
          <w:p>
            <w:pPr>
              <w:jc w:val="right"/>
              <w:ind w:right="160"/>
              <w:spacing w:after="0"/>
              <w:rPr>
                <w:sz w:val="20"/>
                <w:szCs w:val="20"/>
                <w:color w:val="auto"/>
              </w:rPr>
            </w:pPr>
            <w:r>
              <w:rPr>
                <w:rFonts w:ascii="Arial" w:cs="Arial" w:eastAsia="Arial" w:hAnsi="Arial"/>
                <w:sz w:val="18"/>
                <w:szCs w:val="18"/>
                <w:color w:val="auto"/>
              </w:rPr>
              <w:t>292,003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38,635</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58,104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ind w:left="1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388,742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 installment</w:t>
            </w:r>
          </w:p>
        </w:tc>
        <w:tc>
          <w:tcPr>
            <w:tcW w:w="15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130,277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134,950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gridSpan w:val="2"/>
            <w:vMerge w:val="restart"/>
          </w:tcPr>
          <w:p>
            <w:pPr>
              <w:ind w:left="420"/>
              <w:spacing w:after="0"/>
              <w:rPr>
                <w:sz w:val="20"/>
                <w:szCs w:val="20"/>
                <w:color w:val="auto"/>
              </w:rPr>
            </w:pPr>
            <w:r>
              <w:rPr>
                <w:rFonts w:ascii="Arial" w:cs="Arial" w:eastAsia="Arial" w:hAnsi="Arial"/>
                <w:sz w:val="18"/>
                <w:szCs w:val="18"/>
                <w:color w:val="auto"/>
              </w:rPr>
              <w:t>Total loans</w:t>
            </w:r>
          </w:p>
        </w:tc>
        <w:tc>
          <w:tcPr>
            <w:tcW w:w="15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4040" w:type="dxa"/>
            <w:vAlign w:val="bottom"/>
            <w:gridSpan w:val="2"/>
            <w:vMerge w:val="continue"/>
          </w:tcPr>
          <w:p>
            <w:pPr>
              <w:spacing w:after="0"/>
              <w:rPr>
                <w:sz w:val="19"/>
                <w:szCs w:val="19"/>
                <w:color w:val="auto"/>
              </w:rPr>
            </w:pPr>
          </w:p>
        </w:tc>
        <w:tc>
          <w:tcPr>
            <w:tcW w:w="152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3,577,373</w:t>
            </w:r>
          </w:p>
        </w:tc>
        <w:tc>
          <w:tcPr>
            <w:tcW w:w="2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162,027</w:t>
            </w:r>
          </w:p>
        </w:tc>
        <w:tc>
          <w:tcPr>
            <w:tcW w:w="30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397,505</w:t>
            </w:r>
          </w:p>
        </w:tc>
        <w:tc>
          <w:tcPr>
            <w:tcW w:w="160" w:type="dxa"/>
            <w:vAlign w:val="bottom"/>
          </w:tcPr>
          <w:p>
            <w:pPr>
              <w:spacing w:after="0"/>
              <w:rPr>
                <w:sz w:val="19"/>
                <w:szCs w:val="19"/>
                <w:color w:val="auto"/>
              </w:rPr>
            </w:pP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00" w:type="dxa"/>
            <w:vAlign w:val="bottom"/>
          </w:tcPr>
          <w:p>
            <w:pPr>
              <w:ind w:left="120"/>
              <w:spacing w:after="0"/>
              <w:rPr>
                <w:sz w:val="20"/>
                <w:szCs w:val="20"/>
                <w:color w:val="auto"/>
              </w:rPr>
            </w:pPr>
            <w:r>
              <w:rPr>
                <w:rFonts w:ascii="Arial" w:cs="Arial" w:eastAsia="Arial" w:hAnsi="Arial"/>
                <w:sz w:val="18"/>
                <w:szCs w:val="18"/>
                <w:color w:val="auto"/>
                <w:w w:val="86"/>
              </w:rPr>
              <w:t>940</w:t>
            </w:r>
          </w:p>
        </w:tc>
        <w:tc>
          <w:tcPr>
            <w:tcW w:w="10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4,137,845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 of December 31, 2011</w:t>
            </w:r>
          </w:p>
        </w:tc>
        <w:tc>
          <w:tcPr>
            <w:tcW w:w="15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4060" w:type="dxa"/>
            <w:vAlign w:val="bottom"/>
            <w:gridSpan w:val="3"/>
            <w:vMerge w:val="continue"/>
          </w:tcPr>
          <w:p>
            <w:pPr>
              <w:spacing w:after="0"/>
              <w:rPr>
                <w:sz w:val="12"/>
                <w:szCs w:val="12"/>
                <w:color w:val="auto"/>
              </w:rPr>
            </w:pPr>
          </w:p>
        </w:tc>
        <w:tc>
          <w:tcPr>
            <w:tcW w:w="15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(secured by real estate)</w:t>
            </w:r>
          </w:p>
        </w:tc>
        <w:tc>
          <w:tcPr>
            <w:tcW w:w="24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$1,561,204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89,830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170,380</w:t>
            </w:r>
          </w:p>
        </w:tc>
        <w:tc>
          <w:tcPr>
            <w:tcW w:w="1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$1,821,414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Commercial &amp; industrial</w:t>
            </w:r>
          </w:p>
        </w:tc>
        <w:tc>
          <w:tcPr>
            <w:tcW w:w="2480" w:type="dxa"/>
            <w:vAlign w:val="bottom"/>
            <w:gridSpan w:val="3"/>
          </w:tcPr>
          <w:p>
            <w:pPr>
              <w:jc w:val="right"/>
              <w:ind w:right="160"/>
              <w:spacing w:after="0"/>
              <w:rPr>
                <w:sz w:val="20"/>
                <w:szCs w:val="20"/>
                <w:color w:val="auto"/>
              </w:rPr>
            </w:pPr>
            <w:r>
              <w:rPr>
                <w:rFonts w:ascii="Arial" w:cs="Arial" w:eastAsia="Arial" w:hAnsi="Arial"/>
                <w:sz w:val="18"/>
                <w:szCs w:val="18"/>
                <w:color w:val="auto"/>
              </w:rPr>
              <w:t>369,343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7,630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50,366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ind w:left="120"/>
              <w:spacing w:after="0"/>
              <w:rPr>
                <w:sz w:val="20"/>
                <w:szCs w:val="20"/>
                <w:color w:val="auto"/>
              </w:rPr>
            </w:pPr>
            <w:r>
              <w:rPr>
                <w:rFonts w:ascii="Arial" w:cs="Arial" w:eastAsia="Arial" w:hAnsi="Arial"/>
                <w:sz w:val="18"/>
                <w:szCs w:val="18"/>
                <w:color w:val="auto"/>
                <w:w w:val="86"/>
              </w:rPr>
              <w:t>910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428,249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construction</w:t>
            </w:r>
          </w:p>
        </w:tc>
        <w:tc>
          <w:tcPr>
            <w:tcW w:w="15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114,817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35,165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164,155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gridSpan w:val="2"/>
            <w:vMerge w:val="restart"/>
          </w:tcPr>
          <w:p>
            <w:pPr>
              <w:ind w:left="420"/>
              <w:spacing w:after="0"/>
              <w:rPr>
                <w:sz w:val="20"/>
                <w:szCs w:val="20"/>
                <w:color w:val="auto"/>
              </w:rPr>
            </w:pPr>
            <w:r>
              <w:rPr>
                <w:rFonts w:ascii="Arial" w:cs="Arial" w:eastAsia="Arial" w:hAnsi="Arial"/>
                <w:sz w:val="18"/>
                <w:szCs w:val="18"/>
                <w:color w:val="auto"/>
              </w:rPr>
              <w:t>Total commercial</w:t>
            </w:r>
          </w:p>
        </w:tc>
        <w:tc>
          <w:tcPr>
            <w:tcW w:w="15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4040" w:type="dxa"/>
            <w:vAlign w:val="bottom"/>
            <w:gridSpan w:val="2"/>
            <w:vMerge w:val="continue"/>
          </w:tcPr>
          <w:p>
            <w:pPr>
              <w:spacing w:after="0"/>
              <w:rPr>
                <w:sz w:val="19"/>
                <w:szCs w:val="19"/>
                <w:color w:val="auto"/>
              </w:rPr>
            </w:pPr>
          </w:p>
        </w:tc>
        <w:tc>
          <w:tcPr>
            <w:tcW w:w="152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2,045,364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111,633</w:t>
            </w:r>
          </w:p>
        </w:tc>
        <w:tc>
          <w:tcPr>
            <w:tcW w:w="12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255,911</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ind w:left="120"/>
              <w:spacing w:after="0"/>
              <w:rPr>
                <w:sz w:val="20"/>
                <w:szCs w:val="20"/>
                <w:color w:val="auto"/>
              </w:rPr>
            </w:pPr>
            <w:r>
              <w:rPr>
                <w:rFonts w:ascii="Arial" w:cs="Arial" w:eastAsia="Arial" w:hAnsi="Arial"/>
                <w:sz w:val="18"/>
                <w:szCs w:val="18"/>
                <w:color w:val="auto"/>
                <w:w w:val="86"/>
              </w:rPr>
              <w:t>910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2,413,818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Residential mortgage</w:t>
            </w:r>
          </w:p>
        </w:tc>
        <w:tc>
          <w:tcPr>
            <w:tcW w:w="24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993,779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42,323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1,134,902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Residential construction</w:t>
            </w:r>
          </w:p>
        </w:tc>
        <w:tc>
          <w:tcPr>
            <w:tcW w:w="2480" w:type="dxa"/>
            <w:vAlign w:val="bottom"/>
            <w:gridSpan w:val="3"/>
          </w:tcPr>
          <w:p>
            <w:pPr>
              <w:jc w:val="right"/>
              <w:ind w:right="160"/>
              <w:spacing w:after="0"/>
              <w:rPr>
                <w:sz w:val="20"/>
                <w:szCs w:val="20"/>
                <w:color w:val="auto"/>
              </w:rPr>
            </w:pPr>
            <w:r>
              <w:rPr>
                <w:rFonts w:ascii="Arial" w:cs="Arial" w:eastAsia="Arial" w:hAnsi="Arial"/>
                <w:sz w:val="18"/>
                <w:szCs w:val="18"/>
                <w:color w:val="auto"/>
              </w:rPr>
              <w:t>312,527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38,386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97,478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ind w:left="1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448,391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 installment</w:t>
            </w:r>
          </w:p>
        </w:tc>
        <w:tc>
          <w:tcPr>
            <w:tcW w:w="15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107,333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1,411</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112,503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gridSpan w:val="2"/>
            <w:vMerge w:val="restart"/>
          </w:tcPr>
          <w:p>
            <w:pPr>
              <w:ind w:left="420"/>
              <w:spacing w:after="0"/>
              <w:rPr>
                <w:sz w:val="20"/>
                <w:szCs w:val="20"/>
                <w:color w:val="auto"/>
              </w:rPr>
            </w:pPr>
            <w:r>
              <w:rPr>
                <w:rFonts w:ascii="Arial" w:cs="Arial" w:eastAsia="Arial" w:hAnsi="Arial"/>
                <w:sz w:val="18"/>
                <w:szCs w:val="18"/>
                <w:color w:val="auto"/>
              </w:rPr>
              <w:t>Total loans</w:t>
            </w:r>
          </w:p>
        </w:tc>
        <w:tc>
          <w:tcPr>
            <w:tcW w:w="15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4040" w:type="dxa"/>
            <w:vAlign w:val="bottom"/>
            <w:gridSpan w:val="2"/>
            <w:vMerge w:val="continue"/>
          </w:tcPr>
          <w:p>
            <w:pPr>
              <w:spacing w:after="0"/>
              <w:rPr>
                <w:sz w:val="19"/>
                <w:szCs w:val="19"/>
                <w:color w:val="auto"/>
              </w:rPr>
            </w:pPr>
          </w:p>
        </w:tc>
        <w:tc>
          <w:tcPr>
            <w:tcW w:w="152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3,459,003</w:t>
            </w:r>
          </w:p>
        </w:tc>
        <w:tc>
          <w:tcPr>
            <w:tcW w:w="2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193,753</w:t>
            </w:r>
          </w:p>
        </w:tc>
        <w:tc>
          <w:tcPr>
            <w:tcW w:w="30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455,948</w:t>
            </w:r>
          </w:p>
        </w:tc>
        <w:tc>
          <w:tcPr>
            <w:tcW w:w="160" w:type="dxa"/>
            <w:vAlign w:val="bottom"/>
          </w:tcPr>
          <w:p>
            <w:pPr>
              <w:spacing w:after="0"/>
              <w:rPr>
                <w:sz w:val="19"/>
                <w:szCs w:val="19"/>
                <w:color w:val="auto"/>
              </w:rPr>
            </w:pP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00" w:type="dxa"/>
            <w:vAlign w:val="bottom"/>
          </w:tcPr>
          <w:p>
            <w:pPr>
              <w:ind w:left="120"/>
              <w:spacing w:after="0"/>
              <w:rPr>
                <w:sz w:val="20"/>
                <w:szCs w:val="20"/>
                <w:color w:val="auto"/>
              </w:rPr>
            </w:pPr>
            <w:r>
              <w:rPr>
                <w:rFonts w:ascii="Arial" w:cs="Arial" w:eastAsia="Arial" w:hAnsi="Arial"/>
                <w:sz w:val="18"/>
                <w:szCs w:val="18"/>
                <w:color w:val="auto"/>
                <w:w w:val="86"/>
              </w:rPr>
              <w:t>910</w:t>
            </w:r>
          </w:p>
        </w:tc>
        <w:tc>
          <w:tcPr>
            <w:tcW w:w="10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4,109,614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 of September 30, 2011</w:t>
            </w:r>
          </w:p>
        </w:tc>
        <w:tc>
          <w:tcPr>
            <w:tcW w:w="15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4060" w:type="dxa"/>
            <w:vAlign w:val="bottom"/>
            <w:gridSpan w:val="3"/>
            <w:vMerge w:val="continue"/>
          </w:tcPr>
          <w:p>
            <w:pPr>
              <w:spacing w:after="0"/>
              <w:rPr>
                <w:sz w:val="12"/>
                <w:szCs w:val="12"/>
                <w:color w:val="auto"/>
              </w:rPr>
            </w:pPr>
          </w:p>
        </w:tc>
        <w:tc>
          <w:tcPr>
            <w:tcW w:w="15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540" w:type="dxa"/>
            <w:vAlign w:val="bottom"/>
            <w:tcBorders>
              <w:left w:val="single" w:sz="8" w:color="auto"/>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(secured by real estate)</w:t>
            </w:r>
          </w:p>
        </w:tc>
        <w:tc>
          <w:tcPr>
            <w:tcW w:w="24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$1,520,604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94,147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156,350</w:t>
            </w:r>
          </w:p>
        </w:tc>
        <w:tc>
          <w:tcPr>
            <w:tcW w:w="1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$1,771,101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Commercial &amp; industrial</w:t>
            </w:r>
          </w:p>
        </w:tc>
        <w:tc>
          <w:tcPr>
            <w:tcW w:w="2480" w:type="dxa"/>
            <w:vAlign w:val="bottom"/>
            <w:gridSpan w:val="3"/>
          </w:tcPr>
          <w:p>
            <w:pPr>
              <w:jc w:val="right"/>
              <w:ind w:right="160"/>
              <w:spacing w:after="0"/>
              <w:rPr>
                <w:sz w:val="20"/>
                <w:szCs w:val="20"/>
                <w:color w:val="auto"/>
              </w:rPr>
            </w:pPr>
            <w:r>
              <w:rPr>
                <w:rFonts w:ascii="Arial" w:cs="Arial" w:eastAsia="Arial" w:hAnsi="Arial"/>
                <w:sz w:val="18"/>
                <w:szCs w:val="18"/>
                <w:color w:val="auto"/>
              </w:rPr>
              <w:t>337,796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6,986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83,381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ind w:left="120"/>
              <w:spacing w:after="0"/>
              <w:rPr>
                <w:sz w:val="20"/>
                <w:szCs w:val="20"/>
                <w:color w:val="auto"/>
              </w:rPr>
            </w:pPr>
            <w:r>
              <w:rPr>
                <w:rFonts w:ascii="Arial" w:cs="Arial" w:eastAsia="Arial" w:hAnsi="Arial"/>
                <w:sz w:val="18"/>
                <w:szCs w:val="18"/>
                <w:color w:val="auto"/>
                <w:w w:val="86"/>
              </w:rPr>
              <w:t>880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429,043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construction</w:t>
            </w:r>
          </w:p>
        </w:tc>
        <w:tc>
          <w:tcPr>
            <w:tcW w:w="15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115,021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15,611</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37,899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168,531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gridSpan w:val="2"/>
            <w:vMerge w:val="restart"/>
          </w:tcPr>
          <w:p>
            <w:pPr>
              <w:ind w:left="420"/>
              <w:spacing w:after="0"/>
              <w:rPr>
                <w:sz w:val="20"/>
                <w:szCs w:val="20"/>
                <w:color w:val="auto"/>
              </w:rPr>
            </w:pPr>
            <w:r>
              <w:rPr>
                <w:rFonts w:ascii="Arial" w:cs="Arial" w:eastAsia="Arial" w:hAnsi="Arial"/>
                <w:sz w:val="18"/>
                <w:szCs w:val="18"/>
                <w:color w:val="auto"/>
              </w:rPr>
              <w:t>Total commercial</w:t>
            </w:r>
          </w:p>
        </w:tc>
        <w:tc>
          <w:tcPr>
            <w:tcW w:w="15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4040" w:type="dxa"/>
            <w:vAlign w:val="bottom"/>
            <w:gridSpan w:val="2"/>
            <w:vMerge w:val="continue"/>
          </w:tcPr>
          <w:p>
            <w:pPr>
              <w:spacing w:after="0"/>
              <w:rPr>
                <w:sz w:val="19"/>
                <w:szCs w:val="19"/>
                <w:color w:val="auto"/>
              </w:rPr>
            </w:pPr>
          </w:p>
        </w:tc>
        <w:tc>
          <w:tcPr>
            <w:tcW w:w="152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1,973,421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116,744</w:t>
            </w: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277,630</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ind w:left="120"/>
              <w:spacing w:after="0"/>
              <w:rPr>
                <w:sz w:val="20"/>
                <w:szCs w:val="20"/>
                <w:color w:val="auto"/>
              </w:rPr>
            </w:pPr>
            <w:r>
              <w:rPr>
                <w:rFonts w:ascii="Arial" w:cs="Arial" w:eastAsia="Arial" w:hAnsi="Arial"/>
                <w:sz w:val="18"/>
                <w:szCs w:val="18"/>
                <w:color w:val="auto"/>
                <w:w w:val="86"/>
              </w:rPr>
              <w:t>880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2,368,675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Residential mortgage</w:t>
            </w:r>
          </w:p>
        </w:tc>
        <w:tc>
          <w:tcPr>
            <w:tcW w:w="24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1,012,423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37,892</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99,363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1,149,678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Residential construction</w:t>
            </w:r>
          </w:p>
        </w:tc>
        <w:tc>
          <w:tcPr>
            <w:tcW w:w="2480" w:type="dxa"/>
            <w:vAlign w:val="bottom"/>
            <w:gridSpan w:val="3"/>
          </w:tcPr>
          <w:p>
            <w:pPr>
              <w:jc w:val="right"/>
              <w:ind w:right="160"/>
              <w:spacing w:after="0"/>
              <w:rPr>
                <w:sz w:val="20"/>
                <w:szCs w:val="20"/>
                <w:color w:val="auto"/>
              </w:rPr>
            </w:pPr>
            <w:r>
              <w:rPr>
                <w:rFonts w:ascii="Arial" w:cs="Arial" w:eastAsia="Arial" w:hAnsi="Arial"/>
                <w:sz w:val="18"/>
                <w:szCs w:val="18"/>
                <w:color w:val="auto"/>
              </w:rPr>
              <w:t>320,567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43,340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110,645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ind w:left="1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474,552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 installment</w:t>
            </w:r>
          </w:p>
        </w:tc>
        <w:tc>
          <w:tcPr>
            <w:tcW w:w="15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112,457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116,970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gridSpan w:val="2"/>
            <w:vMerge w:val="restart"/>
          </w:tcPr>
          <w:p>
            <w:pPr>
              <w:ind w:left="420"/>
              <w:spacing w:after="0"/>
              <w:rPr>
                <w:sz w:val="20"/>
                <w:szCs w:val="20"/>
                <w:color w:val="auto"/>
              </w:rPr>
            </w:pPr>
            <w:r>
              <w:rPr>
                <w:rFonts w:ascii="Arial" w:cs="Arial" w:eastAsia="Arial" w:hAnsi="Arial"/>
                <w:sz w:val="18"/>
                <w:szCs w:val="18"/>
                <w:color w:val="auto"/>
              </w:rPr>
              <w:t>Total loans</w:t>
            </w:r>
          </w:p>
        </w:tc>
        <w:tc>
          <w:tcPr>
            <w:tcW w:w="15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040" w:type="dxa"/>
            <w:vAlign w:val="bottom"/>
            <w:gridSpan w:val="2"/>
            <w:vMerge w:val="continue"/>
          </w:tcPr>
          <w:p>
            <w:pPr>
              <w:spacing w:after="0"/>
              <w:rPr>
                <w:sz w:val="19"/>
                <w:szCs w:val="19"/>
                <w:color w:val="auto"/>
              </w:rPr>
            </w:pPr>
          </w:p>
        </w:tc>
        <w:tc>
          <w:tcPr>
            <w:tcW w:w="152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3,418,868</w:t>
            </w:r>
          </w:p>
        </w:tc>
        <w:tc>
          <w:tcPr>
            <w:tcW w:w="2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198,823</w:t>
            </w:r>
          </w:p>
        </w:tc>
        <w:tc>
          <w:tcPr>
            <w:tcW w:w="30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491,304</w:t>
            </w:r>
          </w:p>
        </w:tc>
        <w:tc>
          <w:tcPr>
            <w:tcW w:w="160" w:type="dxa"/>
            <w:vAlign w:val="bottom"/>
          </w:tcPr>
          <w:p>
            <w:pPr>
              <w:spacing w:after="0"/>
              <w:rPr>
                <w:sz w:val="19"/>
                <w:szCs w:val="19"/>
                <w:color w:val="auto"/>
              </w:rPr>
            </w:pP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00" w:type="dxa"/>
            <w:vAlign w:val="bottom"/>
          </w:tcPr>
          <w:p>
            <w:pPr>
              <w:ind w:left="120"/>
              <w:spacing w:after="0"/>
              <w:rPr>
                <w:sz w:val="20"/>
                <w:szCs w:val="20"/>
                <w:color w:val="auto"/>
              </w:rPr>
            </w:pPr>
            <w:r>
              <w:rPr>
                <w:rFonts w:ascii="Arial" w:cs="Arial" w:eastAsia="Arial" w:hAnsi="Arial"/>
                <w:sz w:val="18"/>
                <w:szCs w:val="18"/>
                <w:color w:val="auto"/>
                <w:w w:val="86"/>
              </w:rPr>
              <w:t>880</w:t>
            </w:r>
          </w:p>
        </w:tc>
        <w:tc>
          <w:tcPr>
            <w:tcW w:w="10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4,109,875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320" w:type="dxa"/>
            <w:vAlign w:val="bottom"/>
            <w:gridSpan w:val="2"/>
          </w:tcPr>
          <w:p>
            <w:pPr>
              <w:jc w:val="right"/>
              <w:ind w:right="494"/>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Foreclosed Property</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Major classifications of foreclosed properties at September 30, 2012, December 31, 2011 and September 30, 2011 are summarized as follows </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pacing w:after="0" w:line="21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166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34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r>
      <w:tr>
        <w:trPr>
          <w:trHeight w:val="161"/>
        </w:trPr>
        <w:tc>
          <w:tcPr>
            <w:tcW w:w="5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2012</w:t>
            </w:r>
          </w:p>
        </w:tc>
        <w:tc>
          <w:tcPr>
            <w:tcW w:w="8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2011</w:t>
            </w:r>
          </w:p>
        </w:tc>
        <w:tc>
          <w:tcPr>
            <w:tcW w:w="48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CCEEFF"/>
            </w:tcBorders>
          </w:tcPr>
          <w:p>
            <w:pPr>
              <w:spacing w:after="0"/>
              <w:rPr>
                <w:sz w:val="14"/>
                <w:szCs w:val="14"/>
                <w:color w:val="auto"/>
              </w:rPr>
            </w:pPr>
          </w:p>
        </w:tc>
      </w:tr>
      <w:tr>
        <w:trPr>
          <w:trHeight w:val="210"/>
        </w:trPr>
        <w:tc>
          <w:tcPr>
            <w:tcW w:w="5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Commercial real estate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9,613</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10,866</w:t>
            </w: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11,873</w:t>
            </w:r>
          </w:p>
        </w:tc>
        <w:tc>
          <w:tcPr>
            <w:tcW w:w="200" w:type="dxa"/>
            <w:vAlign w:val="bottom"/>
            <w:shd w:val="clear" w:color="auto" w:fill="CCEEFF"/>
          </w:tcPr>
          <w:p>
            <w:pPr>
              <w:spacing w:after="0"/>
              <w:rPr>
                <w:sz w:val="18"/>
                <w:szCs w:val="18"/>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Commercial construction</w:t>
            </w: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3,121</w:t>
            </w:r>
          </w:p>
        </w:tc>
        <w:tc>
          <w:tcPr>
            <w:tcW w:w="8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3,336</w:t>
            </w: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5,862</w:t>
            </w:r>
          </w:p>
        </w:tc>
        <w:tc>
          <w:tcPr>
            <w:tcW w:w="200" w:type="dxa"/>
            <w:vAlign w:val="bottom"/>
          </w:tcPr>
          <w:p>
            <w:pPr>
              <w:spacing w:after="0"/>
              <w:rPr>
                <w:sz w:val="19"/>
                <w:szCs w:val="19"/>
                <w:color w:val="auto"/>
              </w:rPr>
            </w:pPr>
          </w:p>
        </w:tc>
      </w:tr>
      <w:tr>
        <w:trPr>
          <w:trHeight w:val="216"/>
        </w:trPr>
        <w:tc>
          <w:tcPr>
            <w:tcW w:w="52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commercial</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12,734</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14,202</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17,735</w:t>
            </w:r>
          </w:p>
        </w:tc>
        <w:tc>
          <w:tcPr>
            <w:tcW w:w="200" w:type="dxa"/>
            <w:vAlign w:val="bottom"/>
            <w:shd w:val="clear" w:color="auto" w:fill="CCEEFF"/>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Residential mortgage</w:t>
            </w:r>
          </w:p>
        </w:tc>
        <w:tc>
          <w:tcPr>
            <w:tcW w:w="180" w:type="dxa"/>
            <w:vAlign w:val="bottom"/>
          </w:tcPr>
          <w:p>
            <w:pPr>
              <w:spacing w:after="0"/>
              <w:rPr>
                <w:sz w:val="18"/>
                <w:szCs w:val="18"/>
                <w:color w:val="auto"/>
              </w:rPr>
            </w:pPr>
          </w:p>
        </w:tc>
        <w:tc>
          <w:tcPr>
            <w:tcW w:w="1480" w:type="dxa"/>
            <w:vAlign w:val="bottom"/>
            <w:gridSpan w:val="2"/>
          </w:tcPr>
          <w:p>
            <w:pPr>
              <w:jc w:val="right"/>
              <w:ind w:right="820"/>
              <w:spacing w:after="0"/>
              <w:rPr>
                <w:sz w:val="20"/>
                <w:szCs w:val="20"/>
                <w:color w:val="auto"/>
              </w:rPr>
            </w:pPr>
            <w:r>
              <w:rPr>
                <w:rFonts w:ascii="Arial" w:cs="Arial" w:eastAsia="Arial" w:hAnsi="Arial"/>
                <w:sz w:val="18"/>
                <w:szCs w:val="18"/>
                <w:color w:val="auto"/>
              </w:rPr>
              <w:t>6,509</w:t>
            </w:r>
          </w:p>
        </w:tc>
        <w:tc>
          <w:tcPr>
            <w:tcW w:w="18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7,840</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9,397</w:t>
            </w:r>
          </w:p>
        </w:tc>
        <w:tc>
          <w:tcPr>
            <w:tcW w:w="200" w:type="dxa"/>
            <w:vAlign w:val="bottom"/>
          </w:tcPr>
          <w:p>
            <w:pPr>
              <w:spacing w:after="0"/>
              <w:rPr>
                <w:sz w:val="18"/>
                <w:szCs w:val="18"/>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Residential construction</w:t>
            </w: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19,043</w:t>
            </w:r>
          </w:p>
        </w:tc>
        <w:tc>
          <w:tcPr>
            <w:tcW w:w="8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29,799</w:t>
            </w: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42,295</w:t>
            </w:r>
          </w:p>
        </w:tc>
        <w:tc>
          <w:tcPr>
            <w:tcW w:w="200" w:type="dxa"/>
            <w:vAlign w:val="bottom"/>
            <w:shd w:val="clear" w:color="auto" w:fill="CCEEFF"/>
          </w:tcPr>
          <w:p>
            <w:pPr>
              <w:spacing w:after="0"/>
              <w:rPr>
                <w:sz w:val="18"/>
                <w:szCs w:val="18"/>
                <w:color w:val="auto"/>
              </w:rPr>
            </w:pPr>
          </w:p>
        </w:tc>
      </w:tr>
      <w:tr>
        <w:trPr>
          <w:trHeight w:val="222"/>
        </w:trPr>
        <w:tc>
          <w:tcPr>
            <w:tcW w:w="5280" w:type="dxa"/>
            <w:vAlign w:val="bottom"/>
          </w:tcPr>
          <w:p>
            <w:pPr>
              <w:ind w:left="440"/>
              <w:spacing w:after="0"/>
              <w:rPr>
                <w:sz w:val="20"/>
                <w:szCs w:val="20"/>
                <w:color w:val="auto"/>
              </w:rPr>
            </w:pPr>
            <w:r>
              <w:rPr>
                <w:rFonts w:ascii="Arial" w:cs="Arial" w:eastAsia="Arial" w:hAnsi="Arial"/>
                <w:sz w:val="18"/>
                <w:szCs w:val="18"/>
                <w:color w:val="auto"/>
              </w:rPr>
              <w:t>Total foreclosed property</w:t>
            </w:r>
          </w:p>
        </w:tc>
        <w:tc>
          <w:tcPr>
            <w:tcW w:w="180" w:type="dxa"/>
            <w:vAlign w:val="bottom"/>
          </w:tcPr>
          <w:p>
            <w:pPr>
              <w:spacing w:after="0"/>
              <w:rPr>
                <w:sz w:val="19"/>
                <w:szCs w:val="19"/>
                <w:color w:val="auto"/>
              </w:rPr>
            </w:pPr>
          </w:p>
        </w:tc>
        <w:tc>
          <w:tcPr>
            <w:tcW w:w="1480" w:type="dxa"/>
            <w:vAlign w:val="bottom"/>
            <w:gridSpan w:val="2"/>
          </w:tcPr>
          <w:p>
            <w:pPr>
              <w:jc w:val="right"/>
              <w:ind w:right="820"/>
              <w:spacing w:after="0"/>
              <w:rPr>
                <w:sz w:val="20"/>
                <w:szCs w:val="20"/>
                <w:color w:val="auto"/>
              </w:rPr>
            </w:pPr>
            <w:r>
              <w:rPr>
                <w:rFonts w:ascii="Arial" w:cs="Arial" w:eastAsia="Arial" w:hAnsi="Arial"/>
                <w:sz w:val="18"/>
                <w:szCs w:val="18"/>
                <w:color w:val="auto"/>
              </w:rPr>
              <w:t>38,286</w:t>
            </w:r>
          </w:p>
        </w:tc>
        <w:tc>
          <w:tcPr>
            <w:tcW w:w="180" w:type="dxa"/>
            <w:vAlign w:val="bottom"/>
          </w:tcPr>
          <w:p>
            <w:pPr>
              <w:spacing w:after="0"/>
              <w:rPr>
                <w:sz w:val="19"/>
                <w:szCs w:val="19"/>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51,841</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69,427</w:t>
            </w:r>
          </w:p>
        </w:tc>
        <w:tc>
          <w:tcPr>
            <w:tcW w:w="200" w:type="dxa"/>
            <w:vAlign w:val="bottom"/>
          </w:tcPr>
          <w:p>
            <w:pPr>
              <w:spacing w:after="0"/>
              <w:rPr>
                <w:sz w:val="19"/>
                <w:szCs w:val="19"/>
                <w:color w:val="auto"/>
              </w:rPr>
            </w:pPr>
          </w:p>
        </w:tc>
      </w:tr>
      <w:tr>
        <w:trPr>
          <w:trHeight w:val="217"/>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Less valuation allowance</w:t>
            </w: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11,328</w:t>
            </w:r>
          </w:p>
        </w:tc>
        <w:tc>
          <w:tcPr>
            <w:tcW w:w="8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18,982</w:t>
            </w: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25,164</w:t>
            </w:r>
          </w:p>
        </w:tc>
        <w:tc>
          <w:tcPr>
            <w:tcW w:w="200" w:type="dxa"/>
            <w:vAlign w:val="bottom"/>
            <w:shd w:val="clear" w:color="auto" w:fill="CCEEFF"/>
          </w:tcPr>
          <w:p>
            <w:pPr>
              <w:spacing w:after="0"/>
              <w:rPr>
                <w:sz w:val="18"/>
                <w:szCs w:val="18"/>
                <w:color w:val="auto"/>
              </w:rPr>
            </w:pPr>
          </w:p>
        </w:tc>
      </w:tr>
      <w:tr>
        <w:trPr>
          <w:trHeight w:val="222"/>
        </w:trPr>
        <w:tc>
          <w:tcPr>
            <w:tcW w:w="5280" w:type="dxa"/>
            <w:vAlign w:val="bottom"/>
          </w:tcPr>
          <w:p>
            <w:pPr>
              <w:ind w:left="440"/>
              <w:spacing w:after="0"/>
              <w:rPr>
                <w:sz w:val="20"/>
                <w:szCs w:val="20"/>
                <w:color w:val="auto"/>
              </w:rPr>
            </w:pPr>
            <w:r>
              <w:rPr>
                <w:rFonts w:ascii="Arial" w:cs="Arial" w:eastAsia="Arial" w:hAnsi="Arial"/>
                <w:sz w:val="18"/>
                <w:szCs w:val="18"/>
                <w:color w:val="auto"/>
              </w:rPr>
              <w:t>Foreclosed property, net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820"/>
              <w:spacing w:after="0"/>
              <w:rPr>
                <w:sz w:val="20"/>
                <w:szCs w:val="20"/>
                <w:color w:val="auto"/>
              </w:rPr>
            </w:pPr>
            <w:r>
              <w:rPr>
                <w:rFonts w:ascii="Arial" w:cs="Arial" w:eastAsia="Arial" w:hAnsi="Arial"/>
                <w:sz w:val="18"/>
                <w:szCs w:val="18"/>
                <w:color w:val="auto"/>
              </w:rPr>
              <w:t>26,958</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32,859</w:t>
            </w:r>
          </w:p>
        </w:tc>
        <w:tc>
          <w:tcPr>
            <w:tcW w:w="5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44,263</w:t>
            </w:r>
          </w:p>
        </w:tc>
        <w:tc>
          <w:tcPr>
            <w:tcW w:w="200" w:type="dxa"/>
            <w:vAlign w:val="bottom"/>
          </w:tcPr>
          <w:p>
            <w:pPr>
              <w:spacing w:after="0"/>
              <w:rPr>
                <w:sz w:val="19"/>
                <w:szCs w:val="19"/>
                <w:color w:val="auto"/>
              </w:rPr>
            </w:pPr>
          </w:p>
        </w:tc>
      </w:tr>
      <w:tr>
        <w:trPr>
          <w:trHeight w:val="20"/>
        </w:trPr>
        <w:tc>
          <w:tcPr>
            <w:tcW w:w="5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1"/>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Balance as a percentage of original loan unpaid principal</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36.4%</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35.9%</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33.4%</w:t>
            </w: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Activity in the valuation allowance for foreclosed property is presented in the following table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40" w:type="dxa"/>
            <w:vAlign w:val="bottom"/>
            <w:gridSpan w:val="7"/>
          </w:tcPr>
          <w:p>
            <w:pPr>
              <w:jc w:val="right"/>
              <w:ind w:right="112"/>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80" w:type="dxa"/>
            <w:vAlign w:val="bottom"/>
            <w:gridSpan w:val="8"/>
          </w:tcPr>
          <w:p>
            <w:pPr>
              <w:jc w:val="right"/>
              <w:ind w:right="4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40" w:type="dxa"/>
            <w:vAlign w:val="bottom"/>
            <w:gridSpan w:val="7"/>
          </w:tcPr>
          <w:p>
            <w:pPr>
              <w:jc w:val="right"/>
              <w:ind w:right="312"/>
              <w:spacing w:after="0"/>
              <w:rPr>
                <w:sz w:val="20"/>
                <w:szCs w:val="20"/>
                <w:color w:val="auto"/>
              </w:rPr>
            </w:pPr>
            <w:r>
              <w:rPr>
                <w:rFonts w:ascii="Arial" w:cs="Arial" w:eastAsia="Arial" w:hAnsi="Arial"/>
                <w:sz w:val="14"/>
                <w:szCs w:val="14"/>
                <w:b w:val="1"/>
                <w:bCs w:val="1"/>
                <w:color w:val="auto"/>
              </w:rPr>
              <w:t>September 30,</w:t>
            </w: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60" w:type="dxa"/>
            <w:vAlign w:val="bottom"/>
            <w:gridSpan w:val="7"/>
          </w:tcPr>
          <w:p>
            <w:pPr>
              <w:jc w:val="right"/>
              <w:ind w:right="5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580" w:type="dxa"/>
            <w:vAlign w:val="bottom"/>
            <w:tcBorders>
              <w:top w:val="single" w:sz="8" w:color="auto"/>
            </w:tcBorders>
          </w:tcPr>
          <w:p>
            <w:pPr>
              <w:jc w:val="right"/>
              <w:ind w:right="84"/>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14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Borders>
              <w:top w:val="single" w:sz="8" w:color="auto"/>
            </w:tcBorders>
            <w:gridSpan w:val="2"/>
          </w:tcPr>
          <w:p>
            <w:pPr>
              <w:jc w:val="right"/>
              <w:ind w:right="127"/>
              <w:spacing w:after="0" w:line="142" w:lineRule="exact"/>
              <w:rPr>
                <w:sz w:val="20"/>
                <w:szCs w:val="20"/>
                <w:color w:val="auto"/>
              </w:rPr>
            </w:pPr>
            <w:r>
              <w:rPr>
                <w:rFonts w:ascii="Arial" w:cs="Arial" w:eastAsia="Arial" w:hAnsi="Arial"/>
                <w:sz w:val="14"/>
                <w:szCs w:val="14"/>
                <w:b w:val="1"/>
                <w:bCs w:val="1"/>
                <w:color w:val="auto"/>
              </w:rPr>
              <w:t>2012</w:t>
            </w:r>
          </w:p>
        </w:tc>
        <w:tc>
          <w:tcPr>
            <w:tcW w:w="1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3"/>
          </w:tcPr>
          <w:p>
            <w:pPr>
              <w:jc w:val="right"/>
              <w:ind w:right="112"/>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51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at beginning of period</w:t>
            </w:r>
          </w:p>
        </w:tc>
        <w:tc>
          <w:tcPr>
            <w:tcW w:w="13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$11,872</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right w:val="single" w:sz="8" w:color="CCEEFF"/>
            </w:tcBorders>
            <w:shd w:val="clear" w:color="auto" w:fill="CCEEFF"/>
          </w:tcPr>
          <w:p>
            <w:pPr>
              <w:spacing w:after="0"/>
              <w:rPr>
                <w:sz w:val="18"/>
                <w:szCs w:val="18"/>
                <w:color w:val="auto"/>
              </w:rPr>
            </w:pPr>
          </w:p>
        </w:tc>
        <w:tc>
          <w:tcPr>
            <w:tcW w:w="5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76"/>
              </w:rPr>
              <w:t>$30,386</w:t>
            </w:r>
          </w:p>
        </w:tc>
        <w:tc>
          <w:tcPr>
            <w:tcW w:w="4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$ 18,982</w:t>
            </w:r>
          </w:p>
        </w:tc>
        <w:tc>
          <w:tcPr>
            <w:tcW w:w="1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1"/>
              </w:rPr>
              <w:t>$ 16,565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Additions charged to expense</w:t>
            </w:r>
          </w:p>
        </w:tc>
        <w:tc>
          <w:tcPr>
            <w:tcW w:w="1940" w:type="dxa"/>
            <w:vAlign w:val="bottom"/>
            <w:gridSpan w:val="3"/>
          </w:tcPr>
          <w:p>
            <w:pPr>
              <w:jc w:val="right"/>
              <w:ind w:right="20"/>
              <w:spacing w:after="0"/>
              <w:rPr>
                <w:sz w:val="20"/>
                <w:szCs w:val="20"/>
                <w:color w:val="auto"/>
              </w:rPr>
            </w:pPr>
            <w:r>
              <w:rPr>
                <w:rFonts w:ascii="Arial" w:cs="Arial" w:eastAsia="Arial" w:hAnsi="Arial"/>
                <w:sz w:val="18"/>
                <w:szCs w:val="18"/>
                <w:color w:val="auto"/>
              </w:rPr>
              <w:t>2,394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1,772</w:t>
            </w: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5,513</w:t>
            </w:r>
          </w:p>
        </w:tc>
        <w:tc>
          <w:tcPr>
            <w:tcW w:w="180" w:type="dxa"/>
            <w:vAlign w:val="bottom"/>
          </w:tcPr>
          <w:p>
            <w:pPr>
              <w:spacing w:after="0"/>
              <w:rPr>
                <w:sz w:val="18"/>
                <w:szCs w:val="18"/>
                <w:color w:val="auto"/>
              </w:rPr>
            </w:pPr>
          </w:p>
        </w:tc>
        <w:tc>
          <w:tcPr>
            <w:tcW w:w="980" w:type="dxa"/>
            <w:vAlign w:val="bottom"/>
            <w:gridSpan w:val="4"/>
          </w:tcPr>
          <w:p>
            <w:pPr>
              <w:jc w:val="right"/>
              <w:ind w:right="20"/>
              <w:spacing w:after="0"/>
              <w:rPr>
                <w:sz w:val="20"/>
                <w:szCs w:val="20"/>
                <w:color w:val="auto"/>
              </w:rPr>
            </w:pPr>
            <w:r>
              <w:rPr>
                <w:rFonts w:ascii="Arial" w:cs="Arial" w:eastAsia="Arial" w:hAnsi="Arial"/>
                <w:sz w:val="18"/>
                <w:szCs w:val="18"/>
                <w:color w:val="auto"/>
              </w:rPr>
              <w:t>53,475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Direct write downs</w:t>
            </w:r>
          </w:p>
        </w:tc>
        <w:tc>
          <w:tcPr>
            <w:tcW w:w="13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(2,938)</w:t>
            </w:r>
          </w:p>
        </w:tc>
        <w:tc>
          <w:tcPr>
            <w:tcW w:w="42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76"/>
              <w:spacing w:after="0"/>
              <w:rPr>
                <w:sz w:val="20"/>
                <w:szCs w:val="20"/>
                <w:color w:val="auto"/>
              </w:rPr>
            </w:pPr>
            <w:r>
              <w:rPr>
                <w:rFonts w:ascii="Arial" w:cs="Arial" w:eastAsia="Arial" w:hAnsi="Arial"/>
                <w:sz w:val="18"/>
                <w:szCs w:val="18"/>
                <w:color w:val="auto"/>
                <w:w w:val="94"/>
              </w:rPr>
              <w:t>(6,994)</w:t>
            </w:r>
          </w:p>
        </w:tc>
        <w:tc>
          <w:tcPr>
            <w:tcW w:w="6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52"/>
              <w:spacing w:after="0"/>
              <w:rPr>
                <w:sz w:val="20"/>
                <w:szCs w:val="20"/>
                <w:color w:val="auto"/>
              </w:rPr>
            </w:pPr>
            <w:r>
              <w:rPr>
                <w:rFonts w:ascii="Arial" w:cs="Arial" w:eastAsia="Arial" w:hAnsi="Arial"/>
                <w:sz w:val="18"/>
                <w:szCs w:val="18"/>
                <w:color w:val="auto"/>
              </w:rPr>
              <w:t>(13,167)</w:t>
            </w:r>
          </w:p>
        </w:tc>
        <w:tc>
          <w:tcPr>
            <w:tcW w:w="106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(44,876)</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140" w:type="dxa"/>
            <w:vAlign w:val="bottom"/>
            <w:vMerge w:val="restart"/>
          </w:tcPr>
          <w:p>
            <w:pPr>
              <w:ind w:left="440"/>
              <w:spacing w:after="0"/>
              <w:rPr>
                <w:sz w:val="20"/>
                <w:szCs w:val="20"/>
                <w:color w:val="auto"/>
              </w:rPr>
            </w:pPr>
            <w:r>
              <w:rPr>
                <w:rFonts w:ascii="Arial" w:cs="Arial" w:eastAsia="Arial" w:hAnsi="Arial"/>
                <w:sz w:val="18"/>
                <w:szCs w:val="18"/>
                <w:color w:val="auto"/>
              </w:rPr>
              <w:t>Balance at end of period</w:t>
            </w:r>
          </w:p>
        </w:tc>
        <w:tc>
          <w:tcPr>
            <w:tcW w:w="13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60" w:type="dxa"/>
            <w:vAlign w:val="bottom"/>
          </w:tcPr>
          <w:p>
            <w:pPr>
              <w:spacing w:after="0"/>
              <w:rPr>
                <w:sz w:val="19"/>
                <w:szCs w:val="19"/>
                <w:color w:val="auto"/>
              </w:rPr>
            </w:pPr>
          </w:p>
        </w:tc>
        <w:tc>
          <w:tcPr>
            <w:tcW w:w="5140" w:type="dxa"/>
            <w:vAlign w:val="bottom"/>
            <w:vMerge w:val="continue"/>
          </w:tcPr>
          <w:p>
            <w:pPr>
              <w:spacing w:after="0"/>
              <w:rPr>
                <w:sz w:val="19"/>
                <w:szCs w:val="19"/>
                <w:color w:val="auto"/>
              </w:rPr>
            </w:pPr>
          </w:p>
        </w:tc>
        <w:tc>
          <w:tcPr>
            <w:tcW w:w="194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11,328</w:t>
            </w:r>
          </w:p>
        </w:tc>
        <w:tc>
          <w:tcPr>
            <w:tcW w:w="100" w:type="dxa"/>
            <w:vAlign w:val="bottom"/>
          </w:tcPr>
          <w:p>
            <w:pPr>
              <w:spacing w:after="0"/>
              <w:rPr>
                <w:sz w:val="19"/>
                <w:szCs w:val="19"/>
                <w:color w:val="auto"/>
              </w:rPr>
            </w:pPr>
          </w:p>
        </w:tc>
        <w:tc>
          <w:tcPr>
            <w:tcW w:w="94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25,164</w:t>
            </w: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gridSpan w:val="4"/>
          </w:tcPr>
          <w:p>
            <w:pPr>
              <w:jc w:val="right"/>
              <w:ind w:right="112"/>
              <w:spacing w:after="0"/>
              <w:rPr>
                <w:sz w:val="20"/>
                <w:szCs w:val="20"/>
                <w:color w:val="auto"/>
              </w:rPr>
            </w:pPr>
            <w:r>
              <w:rPr>
                <w:rFonts w:ascii="Arial" w:cs="Arial" w:eastAsia="Arial" w:hAnsi="Arial"/>
                <w:sz w:val="18"/>
                <w:szCs w:val="18"/>
                <w:color w:val="auto"/>
                <w:w w:val="91"/>
              </w:rPr>
              <w:t>$ 11,328</w:t>
            </w:r>
          </w:p>
        </w:tc>
        <w:tc>
          <w:tcPr>
            <w:tcW w:w="980" w:type="dxa"/>
            <w:vAlign w:val="bottom"/>
            <w:gridSpan w:val="4"/>
          </w:tcPr>
          <w:p>
            <w:pPr>
              <w:jc w:val="right"/>
              <w:ind w:right="20"/>
              <w:spacing w:after="0"/>
              <w:rPr>
                <w:sz w:val="20"/>
                <w:szCs w:val="20"/>
                <w:color w:val="auto"/>
              </w:rPr>
            </w:pPr>
            <w:r>
              <w:rPr>
                <w:rFonts w:ascii="Arial" w:cs="Arial" w:eastAsia="Arial" w:hAnsi="Arial"/>
                <w:sz w:val="18"/>
                <w:szCs w:val="18"/>
                <w:color w:val="auto"/>
              </w:rPr>
              <w:t>$ 25,164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Arial" w:cs="Arial" w:eastAsia="Arial" w:hAnsi="Arial"/>
                <w:sz w:val="18"/>
                <w:szCs w:val="18"/>
                <w:color w:val="auto"/>
              </w:rPr>
              <w:t xml:space="preserve">Expenses related to foreclosed assets include </w:t>
            </w:r>
            <w:r>
              <w:rPr>
                <w:rFonts w:ascii="Arial" w:cs="Arial" w:eastAsia="Arial" w:hAnsi="Arial"/>
                <w:sz w:val="18"/>
                <w:szCs w:val="18"/>
                <w:i w:val="1"/>
                <w:iCs w:val="1"/>
                <w:color w:val="auto"/>
              </w:rPr>
              <w:t>(in thousands)</w:t>
            </w:r>
            <w:r>
              <w:rPr>
                <w:rFonts w:ascii="Arial" w:cs="Arial" w:eastAsia="Arial" w:hAnsi="Arial"/>
                <w:sz w:val="18"/>
                <w:szCs w:val="18"/>
                <w:color w:val="auto"/>
              </w:rPr>
              <w:t>.</w:t>
            </w:r>
          </w:p>
        </w:tc>
        <w:tc>
          <w:tcPr>
            <w:tcW w:w="1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600" w:type="dxa"/>
            <w:vAlign w:val="bottom"/>
            <w:gridSpan w:val="2"/>
            <w:vMerge w:val="continue"/>
          </w:tcPr>
          <w:p>
            <w:pPr>
              <w:spacing w:after="0"/>
              <w:rPr>
                <w:sz w:val="24"/>
                <w:szCs w:val="24"/>
                <w:color w:val="auto"/>
              </w:rPr>
            </w:pPr>
          </w:p>
        </w:tc>
        <w:tc>
          <w:tcPr>
            <w:tcW w:w="1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46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6"/>
          </w:tcPr>
          <w:p>
            <w:pPr>
              <w:ind w:left="20"/>
              <w:spacing w:after="0"/>
              <w:rPr>
                <w:sz w:val="20"/>
                <w:szCs w:val="20"/>
                <w:color w:val="auto"/>
              </w:rPr>
            </w:pPr>
            <w:r>
              <w:rPr>
                <w:rFonts w:ascii="Arial" w:cs="Arial" w:eastAsia="Arial" w:hAnsi="Arial"/>
                <w:sz w:val="14"/>
                <w:szCs w:val="14"/>
                <w:b w:val="1"/>
                <w:bCs w:val="1"/>
                <w:color w:val="auto"/>
                <w:w w:val="99"/>
              </w:rPr>
              <w:t>Three Months Ended</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60" w:type="dxa"/>
            <w:vAlign w:val="bottom"/>
            <w:gridSpan w:val="7"/>
          </w:tcPr>
          <w:p>
            <w:pPr>
              <w:jc w:val="right"/>
              <w:ind w:right="260"/>
              <w:spacing w:after="0"/>
              <w:rPr>
                <w:sz w:val="20"/>
                <w:szCs w:val="20"/>
                <w:color w:val="auto"/>
              </w:rPr>
            </w:pPr>
            <w:r>
              <w:rPr>
                <w:rFonts w:ascii="Arial" w:cs="Arial" w:eastAsia="Arial" w:hAnsi="Arial"/>
                <w:sz w:val="14"/>
                <w:szCs w:val="14"/>
                <w:b w:val="1"/>
                <w:bCs w:val="1"/>
                <w:color w:val="auto"/>
                <w:w w:val="97"/>
              </w:rPr>
              <w:t>Nine Months Ended</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w w:val="83"/>
              </w:rPr>
              <w:t>September 30,</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3"/>
              </w:rPr>
              <w:t>2011</w:t>
            </w:r>
          </w:p>
        </w:tc>
        <w:tc>
          <w:tcPr>
            <w:tcW w:w="60" w:type="dxa"/>
            <w:vAlign w:val="bottom"/>
          </w:tcPr>
          <w:p>
            <w:pPr>
              <w:spacing w:after="0"/>
              <w:rPr>
                <w:sz w:val="12"/>
                <w:szCs w:val="12"/>
                <w:color w:val="auto"/>
              </w:rPr>
            </w:pPr>
          </w:p>
        </w:tc>
        <w:tc>
          <w:tcPr>
            <w:tcW w:w="340" w:type="dxa"/>
            <w:vAlign w:val="bottom"/>
            <w:gridSpan w:val="2"/>
          </w:tcPr>
          <w:p>
            <w:pPr>
              <w:spacing w:after="0"/>
              <w:rPr>
                <w:sz w:val="12"/>
                <w:szCs w:val="12"/>
                <w:color w:val="auto"/>
              </w:rPr>
            </w:pPr>
          </w:p>
        </w:tc>
        <w:tc>
          <w:tcPr>
            <w:tcW w:w="500" w:type="dxa"/>
            <w:vAlign w:val="bottom"/>
            <w:tcBorders>
              <w:top w:val="single" w:sz="8" w:color="auto"/>
            </w:tcBorders>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2012</w:t>
            </w:r>
          </w:p>
        </w:tc>
        <w:tc>
          <w:tcPr>
            <w:tcW w:w="960" w:type="dxa"/>
            <w:vAlign w:val="bottom"/>
            <w:tcBorders>
              <w:top w:val="single" w:sz="8" w:color="auto"/>
            </w:tcBorders>
            <w:gridSpan w:val="3"/>
          </w:tcPr>
          <w:p>
            <w:pPr>
              <w:jc w:val="right"/>
              <w:ind w:right="72"/>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51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loss (gain) on sales</w:t>
            </w:r>
          </w:p>
        </w:tc>
        <w:tc>
          <w:tcPr>
            <w:tcW w:w="1940" w:type="dxa"/>
            <w:vAlign w:val="bottom"/>
            <w:tcBorders>
              <w:top w:val="single" w:sz="8" w:color="CCEEFF"/>
            </w:tcBorders>
            <w:gridSpan w:val="3"/>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(804)</w:t>
            </w:r>
          </w:p>
        </w:tc>
        <w:tc>
          <w:tcPr>
            <w:tcW w:w="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gridSpan w:val="2"/>
            <w:shd w:val="clear" w:color="auto" w:fill="CCEEFF"/>
          </w:tcPr>
          <w:p>
            <w:pPr>
              <w:spacing w:after="0"/>
              <w:rPr>
                <w:sz w:val="18"/>
                <w:szCs w:val="18"/>
                <w:color w:val="auto"/>
              </w:rPr>
            </w:pP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  174</w:t>
            </w:r>
          </w:p>
        </w:tc>
        <w:tc>
          <w:tcPr>
            <w:tcW w:w="380" w:type="dxa"/>
            <w:vAlign w:val="bottom"/>
            <w:tcBorders>
              <w:top w:val="single" w:sz="8" w:color="CCEEFF"/>
            </w:tcBorders>
            <w:gridSpan w:val="2"/>
            <w:shd w:val="clear" w:color="auto" w:fill="CCEEFF"/>
          </w:tcPr>
          <w:p>
            <w:pPr>
              <w:spacing w:after="0"/>
              <w:rPr>
                <w:sz w:val="18"/>
                <w:szCs w:val="18"/>
                <w:color w:val="auto"/>
              </w:rPr>
            </w:pPr>
          </w:p>
        </w:tc>
        <w:tc>
          <w:tcPr>
            <w:tcW w:w="6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$ 7,998</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Provision for unrealized losses</w:t>
            </w:r>
          </w:p>
        </w:tc>
        <w:tc>
          <w:tcPr>
            <w:tcW w:w="1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w w:val="88"/>
              </w:rPr>
              <w:t>2,394</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1,772</w:t>
            </w: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5,513</w:t>
            </w:r>
          </w:p>
        </w:tc>
        <w:tc>
          <w:tcPr>
            <w:tcW w:w="980" w:type="dxa"/>
            <w:vAlign w:val="bottom"/>
            <w:gridSpan w:val="4"/>
          </w:tcPr>
          <w:p>
            <w:pPr>
              <w:jc w:val="right"/>
              <w:ind w:right="20"/>
              <w:spacing w:after="0"/>
              <w:rPr>
                <w:sz w:val="20"/>
                <w:szCs w:val="20"/>
                <w:color w:val="auto"/>
              </w:rPr>
            </w:pPr>
            <w:r>
              <w:rPr>
                <w:rFonts w:ascii="Arial" w:cs="Arial" w:eastAsia="Arial" w:hAnsi="Arial"/>
                <w:sz w:val="18"/>
                <w:szCs w:val="18"/>
                <w:color w:val="auto"/>
              </w:rPr>
              <w:t>53,475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962</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1,845</w:t>
            </w: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3,695</w:t>
            </w:r>
          </w:p>
        </w:tc>
        <w:tc>
          <w:tcPr>
            <w:tcW w:w="9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8,130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140" w:type="dxa"/>
            <w:vAlign w:val="bottom"/>
            <w:vMerge w:val="restart"/>
          </w:tcPr>
          <w:p>
            <w:pPr>
              <w:ind w:left="440"/>
              <w:spacing w:after="0"/>
              <w:rPr>
                <w:sz w:val="20"/>
                <w:szCs w:val="20"/>
                <w:color w:val="auto"/>
              </w:rPr>
            </w:pPr>
            <w:r>
              <w:rPr>
                <w:rFonts w:ascii="Arial" w:cs="Arial" w:eastAsia="Arial" w:hAnsi="Arial"/>
                <w:sz w:val="18"/>
                <w:szCs w:val="18"/>
                <w:color w:val="auto"/>
              </w:rPr>
              <w:t>Total foreclosed property expense</w:t>
            </w:r>
          </w:p>
        </w:tc>
        <w:tc>
          <w:tcPr>
            <w:tcW w:w="1940" w:type="dxa"/>
            <w:vAlign w:val="bottom"/>
            <w:gridSpan w:val="3"/>
          </w:tcPr>
          <w:p>
            <w:pPr>
              <w:spacing w:after="0" w:line="20" w:lineRule="exact"/>
              <w:rPr>
                <w:sz w:val="1"/>
                <w:szCs w:val="1"/>
                <w:color w:val="auto"/>
              </w:rPr>
            </w:pPr>
          </w:p>
        </w:tc>
        <w:tc>
          <w:tcPr>
            <w:tcW w:w="520" w:type="dxa"/>
            <w:vAlign w:val="bottom"/>
            <w:tcBorders>
              <w:right w:val="single" w:sz="8" w:color="auto"/>
            </w:tcBorders>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0" w:type="dxa"/>
            <w:vAlign w:val="bottom"/>
          </w:tcPr>
          <w:p>
            <w:pPr>
              <w:spacing w:after="0"/>
              <w:rPr>
                <w:sz w:val="19"/>
                <w:szCs w:val="19"/>
                <w:color w:val="auto"/>
              </w:rPr>
            </w:pPr>
          </w:p>
        </w:tc>
        <w:tc>
          <w:tcPr>
            <w:tcW w:w="5140" w:type="dxa"/>
            <w:vAlign w:val="bottom"/>
            <w:vMerge w:val="continue"/>
          </w:tcPr>
          <w:p>
            <w:pPr>
              <w:spacing w:after="0"/>
              <w:rPr>
                <w:sz w:val="19"/>
                <w:szCs w:val="19"/>
                <w:color w:val="auto"/>
              </w:rPr>
            </w:pPr>
          </w:p>
        </w:tc>
        <w:tc>
          <w:tcPr>
            <w:tcW w:w="1940" w:type="dxa"/>
            <w:vAlign w:val="bottom"/>
            <w:gridSpan w:val="3"/>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3"/>
              </w:rPr>
              <w:t>$ 3,706</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2,813</w:t>
            </w:r>
          </w:p>
        </w:tc>
        <w:tc>
          <w:tcPr>
            <w:tcW w:w="84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9,382</w:t>
            </w:r>
          </w:p>
        </w:tc>
        <w:tc>
          <w:tcPr>
            <w:tcW w:w="980" w:type="dxa"/>
            <w:vAlign w:val="bottom"/>
            <w:gridSpan w:val="4"/>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69,603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Earnings Per Share</w:t>
      </w:r>
    </w:p>
    <w:p>
      <w:pPr>
        <w:spacing w:after="0" w:line="9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United is required to report on the face of the consolidated statement of operations, earnings (loss) per common share with and without the dilutive effects of potential common stock issuances from instruments such as options, convertible securities and warrants. Basic earnings (loss) per common share is based on the weighted average number of common shares outstanding during the period while the effects of potential common shares outstanding during the period are included in diluted earnings per common share.</w:t>
      </w:r>
    </w:p>
    <w:p>
      <w:pPr>
        <w:spacing w:after="0" w:line="13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80"/>
          </w:cols>
          <w:pgMar w:left="240" w:top="459" w:right="3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 xml:space="preserve">During the three and nine months ended September 30, 2012 and 2011, United accrued dividends on preferred stock, including accretion of discounts, as shown in the following table </w:t>
      </w:r>
      <w:r>
        <w:rPr>
          <w:rFonts w:ascii="Arial" w:cs="Arial" w:eastAsia="Arial" w:hAnsi="Arial"/>
          <w:sz w:val="18"/>
          <w:szCs w:val="18"/>
          <w:i w:val="1"/>
          <w:iCs w:val="1"/>
          <w:color w:val="auto"/>
        </w:rPr>
        <w:t>(in thousands).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6"/>
          </w:tcPr>
          <w:p>
            <w:pPr>
              <w:ind w:left="2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5"/>
          </w:tcPr>
          <w:p>
            <w:pPr>
              <w:ind w:left="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7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5"/>
          </w:tcPr>
          <w:p>
            <w:pPr>
              <w:ind w:left="1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71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9"/>
              </w:rPr>
              <w:t>2011</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2012</w:t>
            </w:r>
          </w:p>
        </w:tc>
        <w:tc>
          <w:tcPr>
            <w:tcW w:w="3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3"/>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Series A - 6% fixed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Series B - 5% fixed until December 6, 2013, 9% thereafter</w:t>
            </w:r>
          </w:p>
        </w:tc>
        <w:tc>
          <w:tcPr>
            <w:tcW w:w="10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2,619</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2,598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7,841</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7,798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Series D - LIBOR plus 9.6875%, resets quarterly</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1,253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60" w:type="dxa"/>
            <w:vAlign w:val="bottom"/>
            <w:vMerge w:val="restart"/>
          </w:tcPr>
          <w:p>
            <w:pPr>
              <w:ind w:left="440"/>
              <w:spacing w:after="0"/>
              <w:rPr>
                <w:sz w:val="20"/>
                <w:szCs w:val="20"/>
                <w:color w:val="auto"/>
              </w:rPr>
            </w:pPr>
            <w:r>
              <w:rPr>
                <w:rFonts w:ascii="Arial" w:cs="Arial" w:eastAsia="Arial" w:hAnsi="Arial"/>
                <w:sz w:val="18"/>
                <w:szCs w:val="18"/>
                <w:color w:val="auto"/>
              </w:rPr>
              <w:t>Total preferred stock dividends</w:t>
            </w: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16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3,041</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3,019</w:t>
            </w:r>
          </w:p>
        </w:tc>
        <w:tc>
          <w:tcPr>
            <w:tcW w:w="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9,103</w:t>
            </w:r>
          </w:p>
        </w:tc>
        <w:tc>
          <w:tcPr>
            <w:tcW w:w="4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8,813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preferred stock dividends are payable quarterly.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B preferred stock was issued at a discount. Dividend amounts shown include discount accretion for each period.</w:t>
      </w:r>
    </w:p>
    <w:p>
      <w:pPr>
        <w:spacing w:after="0" w:line="171"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The preferred stock dividends were subtracted from net income (loss) in order to arrive at net income (loss) available to common shareholders. There were no dilutive securities outstanding for the three and nine months ended September 30, 2012. There is no dilution from potentially dilutive securities for the three and nine months ended September 30, 2011, due to the anti-dilutive effect of the net loss for those periods.</w:t>
      </w:r>
    </w:p>
    <w:p>
      <w:pPr>
        <w:spacing w:after="0" w:line="107" w:lineRule="exact"/>
        <w:rPr>
          <w:sz w:val="20"/>
          <w:szCs w:val="20"/>
          <w:color w:val="auto"/>
        </w:rPr>
      </w:pPr>
    </w:p>
    <w:p>
      <w:pPr>
        <w:ind w:right="780"/>
        <w:spacing w:after="0" w:line="268" w:lineRule="auto"/>
        <w:rPr>
          <w:sz w:val="20"/>
          <w:szCs w:val="20"/>
          <w:color w:val="auto"/>
        </w:rPr>
      </w:pPr>
      <w:r>
        <w:rPr>
          <w:rFonts w:ascii="Arial" w:cs="Arial" w:eastAsia="Arial" w:hAnsi="Arial"/>
          <w:sz w:val="18"/>
          <w:szCs w:val="18"/>
          <w:color w:val="auto"/>
        </w:rPr>
        <w:t xml:space="preserve">The following table sets forth the computation of basic and diluted loss per share for the three and nine months ended September 30, 2012 and 2011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 except per share data)</w:t>
      </w:r>
      <w:r>
        <w:rPr>
          <w:rFonts w:ascii="Arial" w:cs="Arial" w:eastAsia="Arial" w:hAnsi="Arial"/>
          <w:sz w:val="18"/>
          <w:szCs w:val="18"/>
          <w:color w:val="auto"/>
        </w:rPr>
        <w:t>.</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5"/>
          </w:tcPr>
          <w:p>
            <w:pPr>
              <w:jc w:val="right"/>
              <w:ind w:right="338"/>
              <w:spacing w:after="0"/>
              <w:rPr>
                <w:sz w:val="20"/>
                <w:szCs w:val="20"/>
                <w:color w:val="auto"/>
              </w:rPr>
            </w:pPr>
            <w:r>
              <w:rPr>
                <w:rFonts w:ascii="Arial" w:cs="Arial" w:eastAsia="Arial" w:hAnsi="Arial"/>
                <w:sz w:val="14"/>
                <w:szCs w:val="14"/>
                <w:b w:val="1"/>
                <w:bCs w:val="1"/>
                <w:color w:val="auto"/>
                <w:w w:val="93"/>
              </w:rPr>
              <w:t>Three Months Ended</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5"/>
          </w:tcPr>
          <w:p>
            <w:pPr>
              <w:jc w:val="right"/>
              <w:ind w:right="298"/>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52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5"/>
          </w:tcPr>
          <w:p>
            <w:pPr>
              <w:ind w:left="30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5"/>
          </w:tcPr>
          <w:p>
            <w:pPr>
              <w:jc w:val="right"/>
              <w:ind w:right="458"/>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5200" w:type="dxa"/>
            <w:vAlign w:val="bottom"/>
            <w:tcBorders>
              <w:bottom w:val="single" w:sz="8" w:color="CCEEFF"/>
            </w:tcBorders>
          </w:tcPr>
          <w:p>
            <w:pPr>
              <w:spacing w:after="0"/>
              <w:rPr>
                <w:sz w:val="12"/>
                <w:szCs w:val="12"/>
                <w:color w:val="auto"/>
              </w:rPr>
            </w:pPr>
          </w:p>
        </w:tc>
        <w:tc>
          <w:tcPr>
            <w:tcW w:w="14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w w:val="96"/>
              </w:rPr>
              <w:t>2012</w:t>
            </w:r>
          </w:p>
        </w:tc>
        <w:tc>
          <w:tcPr>
            <w:tcW w:w="4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2011</w:t>
            </w:r>
          </w:p>
        </w:tc>
        <w:tc>
          <w:tcPr>
            <w:tcW w:w="2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rPr>
              <w:t>2012</w:t>
            </w:r>
          </w:p>
        </w:tc>
        <w:tc>
          <w:tcPr>
            <w:tcW w:w="3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 (loss) available to common shareholders</w:t>
            </w:r>
          </w:p>
        </w:tc>
        <w:tc>
          <w:tcPr>
            <w:tcW w:w="1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7,527</w:t>
            </w: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(14,358</w:t>
            </w:r>
          </w:p>
        </w:tc>
        <w:tc>
          <w:tcPr>
            <w:tcW w:w="22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w w:val="74"/>
              </w:rPr>
              <w:t>)</w:t>
            </w: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19,492</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(245,460</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Arial" w:cs="Arial" w:eastAsia="Arial" w:hAnsi="Arial"/>
                <w:sz w:val="18"/>
                <w:szCs w:val="18"/>
                <w:b w:val="1"/>
                <w:bCs w:val="1"/>
                <w:color w:val="auto"/>
              </w:rPr>
              <w:t>Weighted average shares outstanding:</w:t>
            </w:r>
          </w:p>
        </w:tc>
        <w:tc>
          <w:tcPr>
            <w:tcW w:w="1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00" w:type="dxa"/>
            <w:vAlign w:val="bottom"/>
            <w:vMerge w:val="continue"/>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3"/>
              </w:rPr>
              <w:t>57,880</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57,599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57,826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33,973</w:t>
            </w:r>
          </w:p>
        </w:tc>
        <w:tc>
          <w:tcPr>
            <w:tcW w:w="0" w:type="dxa"/>
            <w:vAlign w:val="bottom"/>
          </w:tcPr>
          <w:p>
            <w:pPr>
              <w:spacing w:after="0"/>
              <w:rPr>
                <w:sz w:val="1"/>
                <w:szCs w:val="1"/>
                <w:color w:val="auto"/>
              </w:rPr>
            </w:pPr>
          </w:p>
        </w:tc>
      </w:tr>
      <w:tr>
        <w:trPr>
          <w:trHeight w:val="216"/>
        </w:trPr>
        <w:tc>
          <w:tcPr>
            <w:tcW w:w="5200" w:type="dxa"/>
            <w:vAlign w:val="bottom"/>
          </w:tcPr>
          <w:p>
            <w:pPr>
              <w:ind w:left="440"/>
              <w:spacing w:after="0"/>
              <w:rPr>
                <w:sz w:val="20"/>
                <w:szCs w:val="20"/>
                <w:color w:val="auto"/>
              </w:rPr>
            </w:pPr>
            <w:r>
              <w:rPr>
                <w:rFonts w:ascii="Arial" w:cs="Arial" w:eastAsia="Arial" w:hAnsi="Arial"/>
                <w:sz w:val="18"/>
                <w:szCs w:val="18"/>
                <w:color w:val="auto"/>
              </w:rPr>
              <w:t>Effect of dilutive securities</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Convertible securities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18"/>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0" w:type="dxa"/>
            <w:vAlign w:val="bottom"/>
          </w:tcPr>
          <w:p>
            <w:pPr>
              <w:ind w:left="880"/>
              <w:spacing w:after="0"/>
              <w:rPr>
                <w:sz w:val="20"/>
                <w:szCs w:val="20"/>
                <w:color w:val="auto"/>
              </w:rPr>
            </w:pPr>
            <w:r>
              <w:rPr>
                <w:rFonts w:ascii="Arial" w:cs="Arial" w:eastAsia="Arial" w:hAnsi="Arial"/>
                <w:sz w:val="18"/>
                <w:szCs w:val="18"/>
                <w:color w:val="auto"/>
              </w:rPr>
              <w:t>Stock options</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80" w:type="dxa"/>
            <w:vAlign w:val="bottom"/>
            <w:gridSpan w:val="2"/>
          </w:tcPr>
          <w:p>
            <w:pPr>
              <w:jc w:val="right"/>
              <w:ind w:right="218"/>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Warrants</w:t>
            </w:r>
          </w:p>
        </w:tc>
        <w:tc>
          <w:tcPr>
            <w:tcW w:w="1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00" w:type="dxa"/>
            <w:vAlign w:val="bottom"/>
          </w:tcPr>
          <w:p>
            <w:pPr>
              <w:ind w:left="440"/>
              <w:spacing w:after="0"/>
              <w:rPr>
                <w:sz w:val="20"/>
                <w:szCs w:val="20"/>
                <w:color w:val="auto"/>
              </w:rPr>
            </w:pPr>
            <w:r>
              <w:rPr>
                <w:rFonts w:ascii="Arial" w:cs="Arial" w:eastAsia="Arial" w:hAnsi="Arial"/>
                <w:sz w:val="18"/>
                <w:szCs w:val="18"/>
                <w:color w:val="auto"/>
              </w:rPr>
              <w:t>Diluted</w:t>
            </w: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w w:val="83"/>
              </w:rPr>
              <w:t>57,880</w:t>
            </w:r>
          </w:p>
        </w:tc>
        <w:tc>
          <w:tcPr>
            <w:tcW w:w="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57,599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57,826</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8"/>
              <w:spacing w:after="0"/>
              <w:rPr>
                <w:sz w:val="20"/>
                <w:szCs w:val="20"/>
                <w:color w:val="auto"/>
              </w:rPr>
            </w:pPr>
            <w:r>
              <w:rPr>
                <w:rFonts w:ascii="Arial" w:cs="Arial" w:eastAsia="Arial" w:hAnsi="Arial"/>
                <w:sz w:val="18"/>
                <w:szCs w:val="18"/>
                <w:color w:val="auto"/>
              </w:rPr>
              <w:t>33,973</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(loss) per common share:</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440"/>
              <w:spacing w:after="0"/>
              <w:rPr>
                <w:sz w:val="20"/>
                <w:szCs w:val="20"/>
                <w:color w:val="auto"/>
              </w:rPr>
            </w:pPr>
            <w:r>
              <w:rPr>
                <w:rFonts w:ascii="Arial" w:cs="Arial" w:eastAsia="Arial" w:hAnsi="Arial"/>
                <w:sz w:val="18"/>
                <w:szCs w:val="18"/>
                <w:color w:val="auto"/>
              </w:rPr>
              <w:t>Basic</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.13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78"/>
              <w:spacing w:after="0"/>
              <w:rPr>
                <w:sz w:val="20"/>
                <w:szCs w:val="20"/>
                <w:color w:val="auto"/>
              </w:rPr>
            </w:pPr>
            <w:r>
              <w:rPr>
                <w:rFonts w:ascii="Arial" w:cs="Arial" w:eastAsia="Arial" w:hAnsi="Arial"/>
                <w:sz w:val="18"/>
                <w:szCs w:val="18"/>
                <w:color w:val="auto"/>
              </w:rPr>
              <w:t>(.25)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.34</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(7.23)</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Diluted</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(.25)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spacing w:after="0" w:line="312" w:lineRule="auto"/>
        <w:rPr>
          <w:sz w:val="20"/>
          <w:szCs w:val="20"/>
          <w:color w:val="auto"/>
        </w:rPr>
      </w:pPr>
      <w:r>
        <w:rPr>
          <w:rFonts w:ascii="Arial" w:cs="Arial" w:eastAsia="Arial" w:hAnsi="Arial"/>
          <w:sz w:val="15"/>
          <w:szCs w:val="15"/>
          <w:color w:val="auto"/>
        </w:rPr>
        <w:t>At September 30, 2012, United had the following potentially dilutive stock options and warrants outstanding: a warrant to purchase 219,909 common shares at $61.40 per share issued to the U.S. Treasury in conjunction with the issuance of United’s fixed rate cumulative preferred perpetual stock, Series B; 129,670 common shares issuable upon exercise of warrants attached to trust preferred securities with an exercise price of $100 per share; 486,405 common shares issuable upon exercise of stock options granted to employees with a weighted average exercise price of $97.80; 488,850 shares issuable upon completion of vesting of restricted stock awards; 1,411,765 common shares issuable upon exercise of warrants exercisable at a price equivalent to $21.25 per share granted to Fletcher International Ltd. (“Fletcher”) in connection with a 2010 asset purchase and sale agreement; and 1,551,126 common shares issuable upon exercise of warrants owned by Elm Ridge Off Shore Master Fund, Ltd. and Elm Ridge Value Partners, L.P. (collectively, the “Elm Ridge Parties”), exercisable at $12.50 per share.</w:t>
      </w:r>
    </w:p>
    <w:p>
      <w:pPr>
        <w:spacing w:after="0" w:line="10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During the third quarter, the rights of Fletcher to purchase $65 million in convertible preferred stock expired. Such preferred stock would have been convertible at $26.25 per share into 2,476,191 common shares and, if those rights to preferred stock had been exercised, would have also resulted into the issuance of warrants that were indirectly convertible into 1,162,791 common shares at a price equivalent to $30.10 per share. As previously disclosed on United’s Current Report on Form 8-K filed on July 6, 2012 and Quarterly Report on Form 10-Q for the second quarter of 2012, FILB Co-Investments LLC (“FILB”) has sued United based on claims arising from purported contractual rights that FILB claims were assigned to it by Fletcher. FILB alleges that, among other things, the investment period with respect to FILB’s purportedly assigned right to purchase United’s preferred stock is continuing due to an alleged “registration failure” under the Fletcher stock purchase agreement. United believes the lawsuit is meritless for several reasons, and is defending it aggressively.</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Derivatives and Hedging Activities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 Objective of Using Derivatives</w:t>
      </w:r>
    </w:p>
    <w:p>
      <w:pPr>
        <w:spacing w:after="0" w:line="96"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United is exposed to certain risks arising from both its business operations and economic conditions. United principally manages its exposures to a wide variety of business and operational risks through management of its core business activities. United manages interest rate risk primarily by managing the amount, sources, and duration of its investment securities portfolio and wholesale funding and through the use of derivative financial instruments. Specifically, United enters into derivative financial instruments to manage exposures that arise from business activities that result in the receipt or payment of future known and uncertain cash amounts, the value of which are determined by interest rates. United’s derivative financial instruments are used to manage differences in the amount, timing, and duration of United’s known or expected cash receipts and its known or expected cash payments principally related to United’s loans, wholesale borrowings and deposits.</w:t>
      </w:r>
    </w:p>
    <w:p>
      <w:pPr>
        <w:spacing w:after="0" w:line="147"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In conjunction with the FASB’s fair value measurement guidance, United made an accounting policy election to measure the credit risk of its derivative financial instruments that are subject to master netting agreements on a net basis by counterparty portfolio.</w:t>
      </w:r>
    </w:p>
    <w:p>
      <w:pPr>
        <w:spacing w:after="0" w:line="132" w:lineRule="exact"/>
        <w:rPr>
          <w:sz w:val="20"/>
          <w:szCs w:val="20"/>
          <w:color w:val="auto"/>
        </w:rPr>
      </w:pPr>
    </w:p>
    <w:p>
      <w:pPr>
        <w:ind w:right="760"/>
        <w:spacing w:after="0" w:line="268" w:lineRule="auto"/>
        <w:rPr>
          <w:sz w:val="20"/>
          <w:szCs w:val="20"/>
          <w:color w:val="auto"/>
        </w:rPr>
      </w:pPr>
      <w:r>
        <w:rPr>
          <w:rFonts w:ascii="Arial" w:cs="Arial" w:eastAsia="Arial" w:hAnsi="Arial"/>
          <w:sz w:val="18"/>
          <w:szCs w:val="18"/>
          <w:color w:val="auto"/>
        </w:rPr>
        <w:t xml:space="preserve">The table below presents the fair value of United’s derivative financial instruments as well as their classification on the consolidated balance sheet as of September 30, 2012, December 31, 2011 and September 30, 2011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 accounted for as hedges under ASC 815</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3"/>
              </w:rPr>
              <w:t>Balance Sheet</w:t>
            </w: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92"/>
              </w:rPr>
              <w:t>Fair Value</w:t>
            </w:r>
          </w:p>
        </w:tc>
        <w:tc>
          <w:tcPr>
            <w:tcW w:w="5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Interest Rate Products</w:t>
            </w:r>
          </w:p>
        </w:tc>
        <w:tc>
          <w:tcPr>
            <w:tcW w:w="48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5"/>
          </w:tcPr>
          <w:p>
            <w:pPr>
              <w:spacing w:after="0" w:line="129" w:lineRule="exact"/>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1"/>
                <w:szCs w:val="11"/>
                <w:color w:val="auto"/>
              </w:rPr>
            </w:pPr>
          </w:p>
        </w:tc>
        <w:tc>
          <w:tcPr>
            <w:tcW w:w="780" w:type="dxa"/>
            <w:vAlign w:val="bottom"/>
            <w:gridSpan w:val="3"/>
          </w:tcPr>
          <w:p>
            <w:pPr>
              <w:jc w:val="center"/>
              <w:spacing w:after="0" w:line="129" w:lineRule="exact"/>
              <w:rPr>
                <w:sz w:val="20"/>
                <w:szCs w:val="20"/>
                <w:color w:val="auto"/>
              </w:rPr>
            </w:pPr>
            <w:r>
              <w:rPr>
                <w:rFonts w:ascii="Arial" w:cs="Arial" w:eastAsia="Arial" w:hAnsi="Arial"/>
                <w:sz w:val="14"/>
                <w:szCs w:val="14"/>
                <w:b w:val="1"/>
                <w:bCs w:val="1"/>
                <w:color w:val="auto"/>
                <w:w w:val="85"/>
              </w:rPr>
              <w:t>December 31,</w:t>
            </w:r>
          </w:p>
        </w:tc>
        <w:tc>
          <w:tcPr>
            <w:tcW w:w="560" w:type="dxa"/>
            <w:vAlign w:val="bottom"/>
          </w:tcPr>
          <w:p>
            <w:pPr>
              <w:spacing w:after="0"/>
              <w:rPr>
                <w:sz w:val="11"/>
                <w:szCs w:val="11"/>
                <w:color w:val="auto"/>
              </w:rPr>
            </w:pPr>
          </w:p>
        </w:tc>
        <w:tc>
          <w:tcPr>
            <w:tcW w:w="8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5720" w:type="dxa"/>
            <w:vAlign w:val="bottom"/>
            <w:gridSpan w:val="2"/>
            <w:vMerge w:val="continue"/>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jc w:val="center"/>
              <w:spacing w:after="0" w:line="114" w:lineRule="exact"/>
              <w:rPr>
                <w:sz w:val="20"/>
                <w:szCs w:val="20"/>
                <w:color w:val="auto"/>
              </w:rPr>
            </w:pPr>
            <w:r>
              <w:rPr>
                <w:rFonts w:ascii="Arial" w:cs="Arial" w:eastAsia="Arial" w:hAnsi="Arial"/>
                <w:sz w:val="12"/>
                <w:szCs w:val="12"/>
                <w:b w:val="1"/>
                <w:bCs w:val="1"/>
                <w:color w:val="auto"/>
              </w:rPr>
              <w:t>Location</w:t>
            </w: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ind w:right="60"/>
              <w:spacing w:after="0" w:line="114" w:lineRule="exact"/>
              <w:rPr>
                <w:sz w:val="20"/>
                <w:szCs w:val="20"/>
                <w:color w:val="auto"/>
              </w:rPr>
            </w:pPr>
            <w:r>
              <w:rPr>
                <w:rFonts w:ascii="Arial" w:cs="Arial" w:eastAsia="Arial" w:hAnsi="Arial"/>
                <w:sz w:val="12"/>
                <w:szCs w:val="12"/>
                <w:b w:val="1"/>
                <w:bCs w:val="1"/>
                <w:color w:val="auto"/>
              </w:rPr>
              <w:t>2012</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center"/>
              <w:spacing w:after="0" w:line="114" w:lineRule="exact"/>
              <w:rPr>
                <w:sz w:val="20"/>
                <w:szCs w:val="20"/>
                <w:color w:val="auto"/>
              </w:rPr>
            </w:pPr>
            <w:r>
              <w:rPr>
                <w:rFonts w:ascii="Arial" w:cs="Arial" w:eastAsia="Arial" w:hAnsi="Arial"/>
                <w:sz w:val="12"/>
                <w:szCs w:val="12"/>
                <w:b w:val="1"/>
                <w:bCs w:val="1"/>
                <w:color w:val="auto"/>
                <w:w w:val="97"/>
              </w:rPr>
              <w:t>2011</w:t>
            </w: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ind w:left="100"/>
              <w:spacing w:after="0" w:line="114" w:lineRule="exact"/>
              <w:rPr>
                <w:sz w:val="20"/>
                <w:szCs w:val="20"/>
                <w:color w:val="auto"/>
              </w:rPr>
            </w:pPr>
            <w:r>
              <w:rPr>
                <w:rFonts w:ascii="Arial" w:cs="Arial" w:eastAsia="Arial" w:hAnsi="Arial"/>
                <w:sz w:val="12"/>
                <w:szCs w:val="12"/>
                <w:b w:val="1"/>
                <w:bCs w:val="1"/>
                <w:color w:val="auto"/>
              </w:rPr>
              <w:t>2011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400" w:type="dxa"/>
            <w:vAlign w:val="bottom"/>
            <w:tcBorders>
              <w:top w:val="single" w:sz="8" w:color="auto"/>
              <w:bottom w:val="single" w:sz="8" w:color="CCEEFF"/>
            </w:tcBorders>
          </w:tcPr>
          <w:p>
            <w:pPr>
              <w:spacing w:after="0" w:line="20" w:lineRule="exact"/>
              <w:rPr>
                <w:sz w:val="1"/>
                <w:szCs w:val="1"/>
                <w:color w:val="auto"/>
              </w:rPr>
            </w:pPr>
          </w:p>
        </w:tc>
        <w:tc>
          <w:tcPr>
            <w:tcW w:w="43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7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Asset derivatives</w:t>
            </w:r>
          </w:p>
        </w:tc>
        <w:tc>
          <w:tcPr>
            <w:tcW w:w="4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Other assets</w:t>
            </w: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182</w:t>
            </w: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gridSpan w:val="2"/>
            <w:shd w:val="clear" w:color="auto" w:fill="CCEEFF"/>
          </w:tcPr>
          <w:p>
            <w:pPr>
              <w:ind w:left="440"/>
              <w:spacing w:after="0" w:line="196"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20" w:type="dxa"/>
            <w:vAlign w:val="bottom"/>
            <w:gridSpan w:val="2"/>
            <w:vMerge w:val="restart"/>
          </w:tcPr>
          <w:p>
            <w:pPr>
              <w:spacing w:after="0"/>
              <w:rPr>
                <w:sz w:val="20"/>
                <w:szCs w:val="20"/>
                <w:color w:val="auto"/>
              </w:rPr>
            </w:pPr>
            <w:r>
              <w:rPr>
                <w:rFonts w:ascii="Arial" w:cs="Arial" w:eastAsia="Arial" w:hAnsi="Arial"/>
                <w:sz w:val="18"/>
                <w:szCs w:val="18"/>
                <w:color w:val="auto"/>
              </w:rPr>
              <w:t>Liability derivatives</w:t>
            </w:r>
          </w:p>
        </w:tc>
        <w:tc>
          <w:tcPr>
            <w:tcW w:w="480" w:type="dxa"/>
            <w:vAlign w:val="bottom"/>
          </w:tcPr>
          <w:p>
            <w:pPr>
              <w:spacing w:after="0" w:line="20" w:lineRule="exact"/>
              <w:rPr>
                <w:sz w:val="1"/>
                <w:szCs w:val="1"/>
                <w:color w:val="auto"/>
              </w:rPr>
            </w:pPr>
          </w:p>
        </w:tc>
        <w:tc>
          <w:tcPr>
            <w:tcW w:w="1120" w:type="dxa"/>
            <w:vAlign w:val="bottom"/>
            <w:gridSpan w:val="2"/>
            <w:vMerge w:val="restart"/>
          </w:tcPr>
          <w:p>
            <w:pPr>
              <w:jc w:val="center"/>
              <w:ind w:right="20"/>
              <w:spacing w:after="0"/>
              <w:rPr>
                <w:sz w:val="20"/>
                <w:szCs w:val="20"/>
                <w:color w:val="auto"/>
              </w:rPr>
            </w:pPr>
            <w:r>
              <w:rPr>
                <w:rFonts w:ascii="Arial" w:cs="Arial" w:eastAsia="Arial" w:hAnsi="Arial"/>
                <w:sz w:val="18"/>
                <w:szCs w:val="18"/>
                <w:color w:val="auto"/>
                <w:w w:val="93"/>
              </w:rPr>
              <w:t>Other liabilities</w:t>
            </w: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720" w:type="dxa"/>
            <w:vAlign w:val="bottom"/>
            <w:gridSpan w:val="2"/>
            <w:vMerge w:val="continue"/>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560" w:type="dxa"/>
            <w:vAlign w:val="bottom"/>
            <w:gridSpan w:val="4"/>
          </w:tcPr>
          <w:p>
            <w:pPr>
              <w:ind w:left="460"/>
              <w:spacing w:after="0"/>
              <w:rPr>
                <w:sz w:val="20"/>
                <w:szCs w:val="20"/>
                <w:color w:val="auto"/>
              </w:rPr>
            </w:pPr>
            <w:r>
              <w:rPr>
                <w:rFonts w:ascii="Arial" w:cs="Arial" w:eastAsia="Arial" w:hAnsi="Arial"/>
                <w:sz w:val="18"/>
                <w:szCs w:val="18"/>
                <w:color w:val="auto"/>
                <w:w w:val="79"/>
              </w:rPr>
              <w:t>$</w:t>
            </w:r>
          </w:p>
        </w:tc>
        <w:tc>
          <w:tcPr>
            <w:tcW w:w="1200" w:type="dxa"/>
            <w:vAlign w:val="bottom"/>
            <w:gridSpan w:val="4"/>
          </w:tcPr>
          <w:p>
            <w:pPr>
              <w:ind w:left="320"/>
              <w:spacing w:after="0"/>
              <w:rPr>
                <w:sz w:val="20"/>
                <w:szCs w:val="20"/>
                <w:color w:val="auto"/>
              </w:rPr>
            </w:pPr>
            <w:r>
              <w:rPr>
                <w:rFonts w:ascii="Arial" w:cs="Arial" w:eastAsia="Arial" w:hAnsi="Arial"/>
                <w:sz w:val="18"/>
                <w:szCs w:val="18"/>
                <w:color w:val="auto"/>
              </w:rPr>
              <w:t>9,758</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440"/>
              <w:spacing w:after="0"/>
              <w:rPr>
                <w:sz w:val="20"/>
                <w:szCs w:val="20"/>
                <w:color w:val="auto"/>
              </w:rPr>
            </w:pPr>
            <w:r>
              <w:rPr>
                <w:rFonts w:ascii="Arial" w:cs="Arial" w:eastAsia="Arial" w:hAnsi="Arial"/>
                <w:sz w:val="18"/>
                <w:szCs w:val="18"/>
                <w:color w:val="auto"/>
                <w:w w:val="79"/>
              </w:rPr>
              <w:t>422</w:t>
            </w:r>
          </w:p>
        </w:tc>
        <w:tc>
          <w:tcPr>
            <w:tcW w:w="7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7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Derivatives not accounted for as hedges under ASC 815</w:t>
            </w:r>
          </w:p>
        </w:tc>
        <w:tc>
          <w:tcPr>
            <w:tcW w:w="4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720" w:type="dxa"/>
            <w:vAlign w:val="bottom"/>
            <w:gridSpan w:val="2"/>
            <w:vMerge w:val="continue"/>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40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600" w:type="dxa"/>
            <w:vAlign w:val="bottom"/>
            <w:gridSpan w:val="3"/>
            <w:vMerge w:val="restart"/>
          </w:tcPr>
          <w:p>
            <w:pPr>
              <w:jc w:val="right"/>
              <w:ind w:right="500"/>
              <w:spacing w:after="0"/>
              <w:rPr>
                <w:sz w:val="20"/>
                <w:szCs w:val="20"/>
                <w:color w:val="auto"/>
              </w:rPr>
            </w:pPr>
            <w:r>
              <w:rPr>
                <w:rFonts w:ascii="Arial" w:cs="Arial" w:eastAsia="Arial" w:hAnsi="Arial"/>
                <w:sz w:val="14"/>
                <w:szCs w:val="14"/>
                <w:b w:val="1"/>
                <w:bCs w:val="1"/>
                <w:color w:val="auto"/>
              </w:rPr>
              <w:t>Balance Sheet</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Fair Value</w:t>
            </w:r>
          </w:p>
        </w:tc>
        <w:tc>
          <w:tcPr>
            <w:tcW w:w="5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5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Interest Rate Products</w:t>
            </w:r>
          </w:p>
        </w:tc>
        <w:tc>
          <w:tcPr>
            <w:tcW w:w="1600" w:type="dxa"/>
            <w:vAlign w:val="bottom"/>
            <w:gridSpan w:val="3"/>
            <w:vMerge w:val="continue"/>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20" w:type="dxa"/>
            <w:vAlign w:val="bottom"/>
            <w:gridSpan w:val="6"/>
          </w:tcPr>
          <w:p>
            <w:pPr>
              <w:spacing w:after="0" w:line="116" w:lineRule="exact"/>
              <w:rPr>
                <w:sz w:val="20"/>
                <w:szCs w:val="20"/>
                <w:color w:val="auto"/>
              </w:rPr>
            </w:pPr>
            <w:r>
              <w:rPr>
                <w:rFonts w:ascii="Arial" w:cs="Arial" w:eastAsia="Arial" w:hAnsi="Arial"/>
                <w:sz w:val="12"/>
                <w:szCs w:val="12"/>
                <w:b w:val="1"/>
                <w:bCs w:val="1"/>
                <w:color w:val="auto"/>
              </w:rPr>
              <w:t>September 30,</w:t>
            </w:r>
          </w:p>
        </w:tc>
        <w:tc>
          <w:tcPr>
            <w:tcW w:w="860" w:type="dxa"/>
            <w:vAlign w:val="bottom"/>
            <w:gridSpan w:val="4"/>
          </w:tcPr>
          <w:p>
            <w:pPr>
              <w:spacing w:after="0" w:line="116" w:lineRule="exact"/>
              <w:rPr>
                <w:sz w:val="20"/>
                <w:szCs w:val="20"/>
                <w:color w:val="auto"/>
              </w:rPr>
            </w:pPr>
            <w:r>
              <w:rPr>
                <w:rFonts w:ascii="Arial" w:cs="Arial" w:eastAsia="Arial" w:hAnsi="Arial"/>
                <w:sz w:val="12"/>
                <w:szCs w:val="12"/>
                <w:b w:val="1"/>
                <w:bCs w:val="1"/>
                <w:color w:val="auto"/>
              </w:rPr>
              <w:t>December 31,</w:t>
            </w:r>
          </w:p>
        </w:tc>
        <w:tc>
          <w:tcPr>
            <w:tcW w:w="560" w:type="dxa"/>
            <w:vAlign w:val="bottom"/>
          </w:tcPr>
          <w:p>
            <w:pPr>
              <w:spacing w:after="0"/>
              <w:rPr>
                <w:sz w:val="10"/>
                <w:szCs w:val="10"/>
                <w:color w:val="auto"/>
              </w:rPr>
            </w:pPr>
          </w:p>
        </w:tc>
        <w:tc>
          <w:tcPr>
            <w:tcW w:w="820" w:type="dxa"/>
            <w:vAlign w:val="bottom"/>
            <w:gridSpan w:val="2"/>
          </w:tcPr>
          <w:p>
            <w:pPr>
              <w:spacing w:after="0" w:line="116" w:lineRule="exact"/>
              <w:rPr>
                <w:sz w:val="20"/>
                <w:szCs w:val="20"/>
                <w:color w:val="auto"/>
              </w:rPr>
            </w:pPr>
            <w:r>
              <w:rPr>
                <w:rFonts w:ascii="Arial" w:cs="Arial" w:eastAsia="Arial" w:hAnsi="Arial"/>
                <w:sz w:val="12"/>
                <w:szCs w:val="12"/>
                <w:b w:val="1"/>
                <w:bCs w:val="1"/>
                <w:color w:val="auto"/>
                <w:w w:val="97"/>
              </w:rPr>
              <w:t>September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720" w:type="dxa"/>
            <w:vAlign w:val="bottom"/>
            <w:gridSpan w:val="2"/>
            <w:vMerge w:val="continue"/>
          </w:tcPr>
          <w:p>
            <w:pPr>
              <w:spacing w:after="0"/>
              <w:rPr>
                <w:sz w:val="12"/>
                <w:szCs w:val="12"/>
                <w:color w:val="auto"/>
              </w:rPr>
            </w:pPr>
          </w:p>
        </w:tc>
        <w:tc>
          <w:tcPr>
            <w:tcW w:w="1600" w:type="dxa"/>
            <w:vAlign w:val="bottom"/>
            <w:gridSpan w:val="3"/>
          </w:tcPr>
          <w:p>
            <w:pPr>
              <w:ind w:left="440"/>
              <w:spacing w:after="0" w:line="128" w:lineRule="exact"/>
              <w:rPr>
                <w:sz w:val="20"/>
                <w:szCs w:val="20"/>
                <w:color w:val="auto"/>
              </w:rPr>
            </w:pPr>
            <w:r>
              <w:rPr>
                <w:rFonts w:ascii="Arial" w:cs="Arial" w:eastAsia="Arial" w:hAnsi="Arial"/>
                <w:sz w:val="14"/>
                <w:szCs w:val="14"/>
                <w:b w:val="1"/>
                <w:bCs w:val="1"/>
                <w:color w:val="auto"/>
              </w:rPr>
              <w:t>Location</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200"/>
              <w:spacing w:after="0" w:line="128" w:lineRule="exact"/>
              <w:rPr>
                <w:sz w:val="20"/>
                <w:szCs w:val="20"/>
                <w:color w:val="auto"/>
              </w:rPr>
            </w:pPr>
            <w:r>
              <w:rPr>
                <w:rFonts w:ascii="Arial" w:cs="Arial" w:eastAsia="Arial" w:hAnsi="Arial"/>
                <w:sz w:val="14"/>
                <w:szCs w:val="14"/>
                <w:b w:val="1"/>
                <w:bCs w:val="1"/>
                <w:color w:val="auto"/>
                <w:w w:val="89"/>
              </w:rPr>
              <w:t>2012</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ind w:left="120"/>
              <w:spacing w:after="0" w:line="128" w:lineRule="exact"/>
              <w:rPr>
                <w:sz w:val="20"/>
                <w:szCs w:val="20"/>
                <w:color w:val="auto"/>
              </w:rPr>
            </w:pPr>
            <w:r>
              <w:rPr>
                <w:rFonts w:ascii="Arial" w:cs="Arial" w:eastAsia="Arial" w:hAnsi="Arial"/>
                <w:sz w:val="14"/>
                <w:szCs w:val="14"/>
                <w:b w:val="1"/>
                <w:bCs w:val="1"/>
                <w:color w:val="auto"/>
              </w:rPr>
              <w:t>2011</w:t>
            </w: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ind w:left="100"/>
              <w:spacing w:after="0" w:line="128"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400" w:type="dxa"/>
            <w:vAlign w:val="bottom"/>
            <w:tcBorders>
              <w:top w:val="single" w:sz="8" w:color="auto"/>
              <w:bottom w:val="single" w:sz="8" w:color="CCEEFF"/>
            </w:tcBorders>
          </w:tcPr>
          <w:p>
            <w:pPr>
              <w:spacing w:after="0" w:line="20" w:lineRule="exact"/>
              <w:rPr>
                <w:sz w:val="1"/>
                <w:szCs w:val="1"/>
                <w:color w:val="auto"/>
              </w:rPr>
            </w:pPr>
          </w:p>
        </w:tc>
        <w:tc>
          <w:tcPr>
            <w:tcW w:w="43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7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Asset derivatives</w:t>
            </w:r>
          </w:p>
        </w:tc>
        <w:tc>
          <w:tcPr>
            <w:tcW w:w="1400" w:type="dxa"/>
            <w:vAlign w:val="bottom"/>
            <w:gridSpan w:val="2"/>
            <w:shd w:val="clear" w:color="auto" w:fill="CCEEFF"/>
          </w:tcPr>
          <w:p>
            <w:pPr>
              <w:jc w:val="right"/>
              <w:ind w:right="464"/>
              <w:spacing w:after="0" w:line="196" w:lineRule="exact"/>
              <w:rPr>
                <w:sz w:val="20"/>
                <w:szCs w:val="20"/>
                <w:color w:val="auto"/>
              </w:rPr>
            </w:pPr>
            <w:r>
              <w:rPr>
                <w:rFonts w:ascii="Arial" w:cs="Arial" w:eastAsia="Arial" w:hAnsi="Arial"/>
                <w:sz w:val="18"/>
                <w:szCs w:val="18"/>
                <w:color w:val="auto"/>
                <w:w w:val="82"/>
              </w:rPr>
              <w:t>Other assets</w:t>
            </w:r>
          </w:p>
        </w:tc>
        <w:tc>
          <w:tcPr>
            <w:tcW w:w="200" w:type="dxa"/>
            <w:vAlign w:val="bottom"/>
            <w:shd w:val="clear" w:color="auto" w:fill="CCEEFF"/>
          </w:tcPr>
          <w:p>
            <w:pPr>
              <w:spacing w:after="0"/>
              <w:rPr>
                <w:sz w:val="17"/>
                <w:szCs w:val="17"/>
                <w:color w:val="auto"/>
              </w:rPr>
            </w:pPr>
          </w:p>
        </w:tc>
        <w:tc>
          <w:tcPr>
            <w:tcW w:w="340" w:type="dxa"/>
            <w:vAlign w:val="bottom"/>
            <w:gridSpan w:val="2"/>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ind w:left="320"/>
              <w:spacing w:after="0" w:line="196" w:lineRule="exact"/>
              <w:rPr>
                <w:sz w:val="20"/>
                <w:szCs w:val="20"/>
                <w:color w:val="auto"/>
              </w:rPr>
            </w:pPr>
            <w:r>
              <w:rPr>
                <w:rFonts w:ascii="Arial" w:cs="Arial" w:eastAsia="Arial" w:hAnsi="Arial"/>
                <w:sz w:val="18"/>
                <w:szCs w:val="18"/>
                <w:color w:val="auto"/>
                <w:w w:val="79"/>
              </w:rPr>
              <w:t>596</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tcBorders>
              <w:bottom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20" w:type="dxa"/>
            <w:vAlign w:val="bottom"/>
            <w:gridSpan w:val="2"/>
            <w:vMerge w:val="restart"/>
          </w:tcPr>
          <w:p>
            <w:pPr>
              <w:spacing w:after="0"/>
              <w:rPr>
                <w:sz w:val="20"/>
                <w:szCs w:val="20"/>
                <w:color w:val="auto"/>
              </w:rPr>
            </w:pPr>
            <w:r>
              <w:rPr>
                <w:rFonts w:ascii="Arial" w:cs="Arial" w:eastAsia="Arial" w:hAnsi="Arial"/>
                <w:sz w:val="18"/>
                <w:szCs w:val="18"/>
                <w:color w:val="auto"/>
              </w:rPr>
              <w:t>Liability derivatives</w:t>
            </w:r>
          </w:p>
        </w:tc>
        <w:tc>
          <w:tcPr>
            <w:tcW w:w="1600" w:type="dxa"/>
            <w:vAlign w:val="bottom"/>
            <w:gridSpan w:val="3"/>
            <w:vMerge w:val="restart"/>
          </w:tcPr>
          <w:p>
            <w:pPr>
              <w:jc w:val="right"/>
              <w:ind w:right="500"/>
              <w:spacing w:after="0"/>
              <w:rPr>
                <w:sz w:val="20"/>
                <w:szCs w:val="20"/>
                <w:color w:val="auto"/>
              </w:rPr>
            </w:pPr>
            <w:r>
              <w:rPr>
                <w:rFonts w:ascii="Arial" w:cs="Arial" w:eastAsia="Arial" w:hAnsi="Arial"/>
                <w:sz w:val="18"/>
                <w:szCs w:val="18"/>
                <w:color w:val="auto"/>
                <w:w w:val="91"/>
              </w:rPr>
              <w:t>Other liabilities</w:t>
            </w: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bottom w:val="single" w:sz="8" w:color="auto"/>
            </w:tcBorders>
            <w:gridSpan w:val="2"/>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720" w:type="dxa"/>
            <w:vAlign w:val="bottom"/>
            <w:gridSpan w:val="2"/>
            <w:vMerge w:val="continue"/>
          </w:tcPr>
          <w:p>
            <w:pPr>
              <w:spacing w:after="0"/>
              <w:rPr>
                <w:sz w:val="18"/>
                <w:szCs w:val="18"/>
                <w:color w:val="auto"/>
              </w:rPr>
            </w:pPr>
          </w:p>
        </w:tc>
        <w:tc>
          <w:tcPr>
            <w:tcW w:w="1600" w:type="dxa"/>
            <w:vAlign w:val="bottom"/>
            <w:gridSpan w:val="3"/>
            <w:vMerge w:val="continue"/>
          </w:tcPr>
          <w:p>
            <w:pPr>
              <w:spacing w:after="0"/>
              <w:rPr>
                <w:sz w:val="18"/>
                <w:szCs w:val="18"/>
                <w:color w:val="auto"/>
              </w:rPr>
            </w:pPr>
          </w:p>
        </w:tc>
        <w:tc>
          <w:tcPr>
            <w:tcW w:w="46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0" w:type="dxa"/>
            <w:vAlign w:val="bottom"/>
            <w:gridSpan w:val="2"/>
          </w:tcPr>
          <w:p>
            <w:pPr>
              <w:ind w:left="320"/>
              <w:spacing w:after="0"/>
              <w:rPr>
                <w:sz w:val="20"/>
                <w:szCs w:val="20"/>
                <w:color w:val="auto"/>
              </w:rPr>
            </w:pPr>
            <w:r>
              <w:rPr>
                <w:rFonts w:ascii="Arial" w:cs="Arial" w:eastAsia="Arial" w:hAnsi="Arial"/>
                <w:sz w:val="18"/>
                <w:szCs w:val="18"/>
                <w:color w:val="auto"/>
                <w:w w:val="86"/>
              </w:rPr>
              <w:t>605</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 xml:space="preserve">Derivative contracts that are not accounted for as hedges under ASC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xml:space="preserve"> are between United and certain commercial loan customers with offsetting positions to dealers under a back-to-back swap program.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Hedges of Interest Rate Risk</w:t>
      </w:r>
    </w:p>
    <w:p>
      <w:pPr>
        <w:spacing w:after="0" w:line="9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United’s objectives in using interest rate derivatives are to add stability to net interest revenue and to manage its exposure to interest rate movements. To accomplish this objective, United primarily uses interest rate swaps as part of its interest rate risk management strategy. At September 30, 2012, United’s interest rate swaps designated as cash flow hedges involve the payment of fixed-rate amounts to a counterparty in exchange for United receiving variable-rate payments over the life of the agreements without exchange of the underlying notional amount. United’s current cash flow hedges are for the purpose of converting variable rate deposits and wholesale borrowings to a fixed rate to protect the company in a rising rate environment. The swaps are forward starting and do not become effective until 2014. At September 30, 2012, United had five swap contracts outstanding with a total notional amount of $400 million that were designated as cash flow hedges. United had no active derivative contracts outstanding at December 31, 2011 or September 30, 2011 that were designated as cash flow hedges of interest rate risk.</w:t>
      </w:r>
    </w:p>
    <w:p>
      <w:pPr>
        <w:spacing w:after="0" w:line="118"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effective portion of changes in the fair value of derivatives designated, and that qualify as cash flow hedges is recorded in accumulated other comprehensive income and is subsequently reclassified into earnings in the period that the hedged forecasted transaction affects earnings. Amounts reported in accumulated other comprehensive income related to derivatives will be reclassified to interest expense when the swaps become effective in 2014 as interest payments are made on United’s LIBOR based variable-rate wholesale borrowings and indexed deposit accounts. At September 30, 2012, a portion of the amount included in other comprehensive income represents deferred gains from terminated cash flow hedges where the forecasted hedging transaction is expected to remain effective over the remaining unexpired term of the original contract. Such gains are being deferred and recognized</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over the remaining life of the contract on a straight line basis. During the three and nine months ended September 30, 2012, United accelerated the reclassification of $114,000 and $238,000, respectively, in gains from terminated positions as a result of the forecasted transactions becoming probable not to occur. During the next twelve months, United estimates that an additional $1.54 million of the deferred gains on terminated cash flow hedging positions will be reclassified as an increase to interest revenue.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Hedges of Interest Rate Risk</w:t>
      </w:r>
    </w:p>
    <w:p>
      <w:pPr>
        <w:spacing w:after="0" w:line="96"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United is exposed to changes in the fair value of certain of its fixed rate obligations due to changes in interest rates. United uses interest rate swaps to manage its exposure to changes in fair value on these instruments attributable to changes in interest rates. Interest rate swaps designated as fair value hedges involve the receipt of fixed-rate amounts from a counterparty in exchange for United making variable rate payments over the life of the agreements without the exchange of the underlying notional amount. At September 30, 2012, United had nine interest rate swaps with an aggregate notional amount of $122 million that were designated as fair value hedges of interest rate risk. As of September 30, 2011, United had no active derivatives designated as fair value hedges of interest rate risk.</w:t>
      </w:r>
    </w:p>
    <w:p>
      <w:pPr>
        <w:spacing w:after="0" w:line="144"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For derivatives designated and that qualify as fair value hedges, the gain or loss on the derivative as well as the offsetting loss or gain on the hedged item attributable to the hedged risk are recognized in earnings. United includes the gain or loss on the hedged items in the same line item as the offsetting loss or gain on the related derivatives. During the three and nine months ended September 30, 2012, United recognized net gains of $766,000 and $577,000, respectively, related to ineffectiveness of the fair value hedging relationships. United also recognized a net reduction of interest expense of $745,000 and $1.57 million for the three and nine months ended September 30, 2012, related to United’s fair value hedges, which includes net settlements on the derivatives. There were no active fair value hedges during the first nine months of 2011.</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Tabular Disclosure of the Effect of Derivative Instruments on the Income Statement</w:t>
      </w:r>
    </w:p>
    <w:p>
      <w:pPr>
        <w:spacing w:after="0" w:line="9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tables below present the effect of United’s derivative financial instruments on the consolidated statement of operations for the three and nine months ended September 30, 2012 and 2011.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Derivatives in Fair Value Hedging Relationships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ectPr>
          <w:pgSz w:w="11900" w:h="16838" w:orient="portrait"/>
          <w:cols w:equalWidth="0" w:num="1">
            <w:col w:w="11400"/>
          </w:cols>
          <w:pgMar w:left="240" w:top="459" w:right="259" w:bottom="1440" w:gutter="0" w:footer="0" w:header="0"/>
        </w:sectPr>
      </w:pPr>
    </w:p>
    <w:p>
      <w:pPr>
        <w:spacing w:after="0" w:line="213" w:lineRule="exact"/>
        <w:rPr>
          <w:sz w:val="20"/>
          <w:szCs w:val="20"/>
          <w:color w:val="auto"/>
        </w:rPr>
      </w:pPr>
    </w:p>
    <w:p>
      <w:pPr>
        <w:ind w:left="460"/>
        <w:spacing w:after="0"/>
        <w:rPr>
          <w:sz w:val="20"/>
          <w:szCs w:val="20"/>
          <w:color w:val="auto"/>
        </w:rPr>
      </w:pPr>
      <w:r>
        <w:rPr>
          <w:rFonts w:ascii="Arial" w:cs="Arial" w:eastAsia="Arial" w:hAnsi="Arial"/>
          <w:sz w:val="12"/>
          <w:szCs w:val="12"/>
          <w:b w:val="1"/>
          <w:bCs w:val="1"/>
          <w:color w:val="auto"/>
        </w:rPr>
        <w:t>Location of Gain (Loss)</w:t>
      </w:r>
    </w:p>
    <w:p>
      <w:pPr>
        <w:spacing w:after="0" w:line="25" w:lineRule="exact"/>
        <w:rPr>
          <w:sz w:val="20"/>
          <w:szCs w:val="20"/>
          <w:color w:val="auto"/>
        </w:rPr>
      </w:pPr>
    </w:p>
    <w:p>
      <w:pPr>
        <w:ind w:left="460"/>
        <w:spacing w:after="0"/>
        <w:rPr>
          <w:sz w:val="20"/>
          <w:szCs w:val="20"/>
          <w:color w:val="auto"/>
        </w:rPr>
      </w:pPr>
      <w:r>
        <w:rPr>
          <w:rFonts w:ascii="Arial" w:cs="Arial" w:eastAsia="Arial" w:hAnsi="Arial"/>
          <w:sz w:val="12"/>
          <w:szCs w:val="12"/>
          <w:b w:val="1"/>
          <w:bCs w:val="1"/>
          <w:color w:val="auto"/>
        </w:rPr>
        <w:t>Recognized in Income</w:t>
      </w:r>
    </w:p>
    <w:p>
      <w:pPr>
        <w:ind w:left="460"/>
        <w:spacing w:after="0" w:line="235" w:lineRule="auto"/>
        <w:rPr>
          <w:sz w:val="20"/>
          <w:szCs w:val="20"/>
          <w:color w:val="auto"/>
        </w:rPr>
      </w:pPr>
      <w:r>
        <w:rPr>
          <w:rFonts w:ascii="Arial" w:cs="Arial" w:eastAsia="Arial" w:hAnsi="Arial"/>
          <w:sz w:val="14"/>
          <w:szCs w:val="14"/>
          <w:b w:val="1"/>
          <w:bCs w:val="1"/>
          <w:color w:val="auto"/>
        </w:rPr>
        <w:t>on Derivative</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26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w w:val="87"/>
              </w:rPr>
              <w:t>Amount of Gain (Loss) Recognized in</w:t>
            </w:r>
          </w:p>
        </w:tc>
        <w:tc>
          <w:tcPr>
            <w:tcW w:w="2640" w:type="dxa"/>
            <w:vAlign w:val="bottom"/>
            <w:gridSpan w:val="2"/>
          </w:tcPr>
          <w:p>
            <w:pPr>
              <w:jc w:val="right"/>
              <w:ind w:right="172"/>
              <w:spacing w:after="0"/>
              <w:rPr>
                <w:sz w:val="20"/>
                <w:szCs w:val="20"/>
                <w:color w:val="auto"/>
              </w:rPr>
            </w:pPr>
            <w:r>
              <w:rPr>
                <w:rFonts w:ascii="Arial" w:cs="Arial" w:eastAsia="Arial" w:hAnsi="Arial"/>
                <w:sz w:val="14"/>
                <w:szCs w:val="14"/>
                <w:b w:val="1"/>
                <w:bCs w:val="1"/>
                <w:color w:val="auto"/>
                <w:w w:val="95"/>
              </w:rPr>
              <w:t>Amount of Gain (Loss) Recognized in</w:t>
            </w:r>
          </w:p>
        </w:tc>
      </w:tr>
      <w:tr>
        <w:trPr>
          <w:trHeight w:val="161"/>
        </w:trPr>
        <w:tc>
          <w:tcPr>
            <w:tcW w:w="680" w:type="dxa"/>
            <w:vAlign w:val="bottom"/>
          </w:tcPr>
          <w:p>
            <w:pPr>
              <w:spacing w:after="0"/>
              <w:rPr>
                <w:sz w:val="14"/>
                <w:szCs w:val="14"/>
                <w:color w:val="auto"/>
              </w:rPr>
            </w:pPr>
          </w:p>
        </w:tc>
        <w:tc>
          <w:tcPr>
            <w:tcW w:w="2580" w:type="dxa"/>
            <w:vAlign w:val="bottom"/>
            <w:gridSpan w:val="2"/>
          </w:tcPr>
          <w:p>
            <w:pPr>
              <w:jc w:val="center"/>
              <w:ind w:right="1340"/>
              <w:spacing w:after="0"/>
              <w:rPr>
                <w:sz w:val="20"/>
                <w:szCs w:val="20"/>
                <w:color w:val="auto"/>
              </w:rPr>
            </w:pPr>
            <w:r>
              <w:rPr>
                <w:rFonts w:ascii="Arial" w:cs="Arial" w:eastAsia="Arial" w:hAnsi="Arial"/>
                <w:sz w:val="14"/>
                <w:szCs w:val="14"/>
                <w:b w:val="1"/>
                <w:bCs w:val="1"/>
                <w:color w:val="auto"/>
                <w:w w:val="88"/>
              </w:rPr>
              <w:t>Income on Derivative</w:t>
            </w:r>
          </w:p>
        </w:tc>
        <w:tc>
          <w:tcPr>
            <w:tcW w:w="2080" w:type="dxa"/>
            <w:vAlign w:val="bottom"/>
          </w:tcPr>
          <w:p>
            <w:pPr>
              <w:jc w:val="right"/>
              <w:spacing w:after="0"/>
              <w:rPr>
                <w:sz w:val="20"/>
                <w:szCs w:val="20"/>
                <w:color w:val="auto"/>
              </w:rPr>
            </w:pPr>
            <w:r>
              <w:rPr>
                <w:rFonts w:ascii="Arial" w:cs="Arial" w:eastAsia="Arial" w:hAnsi="Arial"/>
                <w:sz w:val="14"/>
                <w:szCs w:val="14"/>
                <w:b w:val="1"/>
                <w:bCs w:val="1"/>
                <w:color w:val="auto"/>
              </w:rPr>
              <w:t>Income on Hedged Item</w:t>
            </w:r>
          </w:p>
        </w:tc>
        <w:tc>
          <w:tcPr>
            <w:tcW w:w="560" w:type="dxa"/>
            <w:vAlign w:val="bottom"/>
          </w:tcPr>
          <w:p>
            <w:pPr>
              <w:spacing w:after="0"/>
              <w:rPr>
                <w:sz w:val="14"/>
                <w:szCs w:val="14"/>
                <w:color w:val="auto"/>
              </w:rPr>
            </w:pPr>
          </w:p>
        </w:tc>
      </w:tr>
      <w:tr>
        <w:trPr>
          <w:trHeight w:val="129"/>
        </w:trPr>
        <w:tc>
          <w:tcPr>
            <w:tcW w:w="6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2012</w:t>
            </w:r>
          </w:p>
        </w:tc>
        <w:tc>
          <w:tcPr>
            <w:tcW w:w="1940" w:type="dxa"/>
            <w:vAlign w:val="bottom"/>
            <w:tcBorders>
              <w:top w:val="single" w:sz="8" w:color="auto"/>
            </w:tcBorders>
          </w:tcPr>
          <w:p>
            <w:pPr>
              <w:jc w:val="right"/>
              <w:ind w:right="212"/>
              <w:spacing w:after="0" w:line="129" w:lineRule="exact"/>
              <w:rPr>
                <w:sz w:val="20"/>
                <w:szCs w:val="20"/>
                <w:color w:val="auto"/>
              </w:rPr>
            </w:pPr>
            <w:r>
              <w:rPr>
                <w:rFonts w:ascii="Arial" w:cs="Arial" w:eastAsia="Arial" w:hAnsi="Arial"/>
                <w:sz w:val="14"/>
                <w:szCs w:val="14"/>
                <w:b w:val="1"/>
                <w:bCs w:val="1"/>
                <w:color w:val="auto"/>
              </w:rPr>
              <w:t>2011</w:t>
            </w:r>
          </w:p>
        </w:tc>
        <w:tc>
          <w:tcPr>
            <w:tcW w:w="640" w:type="dxa"/>
            <w:vAlign w:val="bottom"/>
          </w:tcPr>
          <w:p>
            <w:pPr>
              <w:spacing w:after="0"/>
              <w:rPr>
                <w:sz w:val="11"/>
                <w:szCs w:val="11"/>
                <w:color w:val="auto"/>
              </w:rPr>
            </w:pPr>
          </w:p>
        </w:tc>
        <w:tc>
          <w:tcPr>
            <w:tcW w:w="2080" w:type="dxa"/>
            <w:vAlign w:val="bottom"/>
            <w:tcBorders>
              <w:top w:val="single" w:sz="8" w:color="auto"/>
            </w:tcBorders>
          </w:tcPr>
          <w:p>
            <w:pPr>
              <w:jc w:val="right"/>
              <w:ind w:right="1312"/>
              <w:spacing w:after="0" w:line="129" w:lineRule="exact"/>
              <w:rPr>
                <w:sz w:val="20"/>
                <w:szCs w:val="20"/>
                <w:color w:val="auto"/>
              </w:rPr>
            </w:pPr>
            <w:r>
              <w:rPr>
                <w:rFonts w:ascii="Arial" w:cs="Arial" w:eastAsia="Arial" w:hAnsi="Arial"/>
                <w:sz w:val="14"/>
                <w:szCs w:val="14"/>
                <w:b w:val="1"/>
                <w:bCs w:val="1"/>
                <w:color w:val="auto"/>
              </w:rPr>
              <w:t>2012</w:t>
            </w:r>
          </w:p>
        </w:tc>
        <w:tc>
          <w:tcPr>
            <w:tcW w:w="560" w:type="dxa"/>
            <w:vAlign w:val="bottom"/>
            <w:tcBorders>
              <w:top w:val="single" w:sz="8" w:color="auto"/>
            </w:tcBorders>
          </w:tcPr>
          <w:p>
            <w:pPr>
              <w:jc w:val="right"/>
              <w:ind w:right="172"/>
              <w:spacing w:after="0" w:line="129" w:lineRule="exact"/>
              <w:rPr>
                <w:sz w:val="20"/>
                <w:szCs w:val="20"/>
                <w:color w:val="auto"/>
              </w:rPr>
            </w:pPr>
            <w:r>
              <w:rPr>
                <w:rFonts w:ascii="Arial" w:cs="Arial" w:eastAsia="Arial" w:hAnsi="Arial"/>
                <w:sz w:val="14"/>
                <w:szCs w:val="14"/>
                <w:b w:val="1"/>
                <w:bCs w:val="1"/>
                <w:color w:val="auto"/>
                <w:w w:val="96"/>
              </w:rPr>
              <w:t>2011</w:t>
            </w:r>
          </w:p>
        </w:tc>
      </w:tr>
    </w:tbl>
    <w:p>
      <w:pPr>
        <w:spacing w:after="0" w:line="20" w:lineRule="exact"/>
        <w:rPr>
          <w:sz w:val="20"/>
          <w:szCs w:val="20"/>
          <w:color w:val="auto"/>
        </w:rPr>
      </w:pPr>
    </w:p>
    <w:p>
      <w:pPr>
        <w:sectPr>
          <w:pgSz w:w="11900" w:h="16838" w:orient="portrait"/>
          <w:cols w:equalWidth="0" w:num="2">
            <w:col w:w="4240" w:space="720"/>
            <w:col w:w="6440"/>
          </w:cols>
          <w:pgMar w:left="240" w:top="459" w:right="259" w:bottom="1440" w:gutter="0" w:footer="0" w:header="0"/>
          <w:type w:val="continuous"/>
        </w:sectPr>
      </w:pPr>
    </w:p>
    <w:tbl>
      <w:tblPr>
        <w:tblLayout w:type="fixed"/>
        <w:tblInd w:w="460" w:type="dxa"/>
        <w:tblCellMar>
          <w:top w:w="0" w:type="dxa"/>
          <w:left w:w="0" w:type="dxa"/>
          <w:bottom w:w="0" w:type="dxa"/>
          <w:right w:w="0" w:type="dxa"/>
        </w:tblCellMar>
      </w:tblPr>
      <w:tr>
        <w:trPr>
          <w:trHeight w:val="20"/>
        </w:trPr>
        <w:tc>
          <w:tcPr>
            <w:tcW w:w="1460" w:type="dxa"/>
            <w:vAlign w:val="bottom"/>
            <w:tcBorders>
              <w:bottom w:val="single" w:sz="8" w:color="CCEEFF"/>
            </w:tcBorders>
            <w:shd w:val="clear" w:color="auto" w:fill="000000"/>
          </w:tcPr>
          <w:p>
            <w:pPr>
              <w:spacing w:after="0" w:line="20" w:lineRule="exact"/>
              <w:rPr>
                <w:sz w:val="1"/>
                <w:szCs w:val="1"/>
                <w:color w:val="auto"/>
              </w:rPr>
            </w:pPr>
          </w:p>
        </w:tc>
        <w:tc>
          <w:tcPr>
            <w:tcW w:w="30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183"/>
        </w:trPr>
        <w:tc>
          <w:tcPr>
            <w:tcW w:w="4500" w:type="dxa"/>
            <w:vAlign w:val="bottom"/>
            <w:gridSpan w:val="2"/>
            <w:shd w:val="clear" w:color="auto" w:fill="CCEEFF"/>
          </w:tcPr>
          <w:p>
            <w:pPr>
              <w:spacing w:after="0" w:line="183" w:lineRule="exact"/>
              <w:rPr>
                <w:sz w:val="20"/>
                <w:szCs w:val="20"/>
                <w:color w:val="auto"/>
              </w:rPr>
            </w:pPr>
            <w:r>
              <w:rPr>
                <w:rFonts w:ascii="Arial" w:cs="Arial" w:eastAsia="Arial" w:hAnsi="Arial"/>
                <w:sz w:val="18"/>
                <w:szCs w:val="18"/>
                <w:b w:val="1"/>
                <w:bCs w:val="1"/>
                <w:color w:val="auto"/>
              </w:rPr>
              <w:t>Three Months Ended September 30,</w:t>
            </w:r>
          </w:p>
        </w:tc>
        <w:tc>
          <w:tcPr>
            <w:tcW w:w="3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Other fee revenue</w:t>
            </w: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922</w:t>
            </w:r>
          </w:p>
        </w:tc>
        <w:tc>
          <w:tcPr>
            <w:tcW w:w="780" w:type="dxa"/>
            <w:vAlign w:val="bottom"/>
          </w:tcPr>
          <w:p>
            <w:pPr>
              <w:spacing w:after="0"/>
              <w:rPr>
                <w:sz w:val="18"/>
                <w:szCs w:val="18"/>
                <w:color w:val="auto"/>
              </w:rPr>
            </w:pP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700"/>
              <w:spacing w:after="0"/>
              <w:rPr>
                <w:sz w:val="20"/>
                <w:szCs w:val="20"/>
                <w:color w:val="auto"/>
              </w:rPr>
            </w:pPr>
            <w:r>
              <w:rPr>
                <w:rFonts w:ascii="Arial" w:cs="Arial" w:eastAsia="Arial" w:hAnsi="Arial"/>
                <w:sz w:val="18"/>
                <w:szCs w:val="18"/>
                <w:color w:val="auto"/>
              </w:rPr>
              <w:t>(156)</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ind w:left="200"/>
              <w:spacing w:after="0"/>
              <w:rPr>
                <w:sz w:val="20"/>
                <w:szCs w:val="20"/>
                <w:color w:val="auto"/>
              </w:rPr>
            </w:pPr>
            <w:r>
              <w:rPr>
                <w:rFonts w:ascii="Arial" w:cs="Arial" w:eastAsia="Arial" w:hAnsi="Arial"/>
                <w:sz w:val="18"/>
                <w:szCs w:val="18"/>
                <w:color w:val="auto"/>
              </w:rPr>
              <w:t>—</w:t>
            </w:r>
          </w:p>
        </w:tc>
      </w:tr>
      <w:tr>
        <w:trPr>
          <w:trHeight w:val="20"/>
        </w:trPr>
        <w:tc>
          <w:tcPr>
            <w:tcW w:w="14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Nine Months Ended September 30,</w:t>
            </w: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Other fee revenue</w:t>
            </w: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1,745</w:t>
            </w:r>
          </w:p>
        </w:tc>
        <w:tc>
          <w:tcPr>
            <w:tcW w:w="780" w:type="dxa"/>
            <w:vAlign w:val="bottom"/>
          </w:tcPr>
          <w:p>
            <w:pPr>
              <w:spacing w:after="0"/>
              <w:rPr>
                <w:sz w:val="18"/>
                <w:szCs w:val="18"/>
                <w:color w:val="auto"/>
              </w:rPr>
            </w:pP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700"/>
              <w:spacing w:after="0"/>
              <w:rPr>
                <w:sz w:val="20"/>
                <w:szCs w:val="20"/>
                <w:color w:val="auto"/>
              </w:rPr>
            </w:pPr>
            <w:r>
              <w:rPr>
                <w:rFonts w:ascii="Arial" w:cs="Arial" w:eastAsia="Arial" w:hAnsi="Arial"/>
                <w:sz w:val="18"/>
                <w:szCs w:val="18"/>
                <w:color w:val="auto"/>
              </w:rPr>
              <w:t>(1,168)</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ind w:left="200"/>
              <w:spacing w:after="0"/>
              <w:rPr>
                <w:sz w:val="20"/>
                <w:szCs w:val="20"/>
                <w:color w:val="auto"/>
              </w:rPr>
            </w:pPr>
            <w:r>
              <w:rPr>
                <w:rFonts w:ascii="Arial" w:cs="Arial" w:eastAsia="Arial" w:hAnsi="Arial"/>
                <w:sz w:val="18"/>
                <w:szCs w:val="18"/>
                <w:color w:val="auto"/>
              </w:rPr>
              <w:t>—</w:t>
            </w:r>
          </w:p>
        </w:tc>
      </w:tr>
      <w:tr>
        <w:trPr>
          <w:trHeight w:val="20"/>
        </w:trPr>
        <w:tc>
          <w:tcPr>
            <w:tcW w:w="14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459" w:right="259" w:bottom="1440" w:gutter="0" w:footer="0" w:header="0"/>
          <w:type w:val="continuous"/>
        </w:sectPr>
      </w:pP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Derivatives in Cash Flow Hedging Relationships </w:t>
      </w:r>
      <w:r>
        <w:rPr>
          <w:rFonts w:ascii="Arial" w:cs="Arial" w:eastAsia="Arial" w:hAnsi="Arial"/>
          <w:sz w:val="18"/>
          <w:szCs w:val="18"/>
          <w:i w:val="1"/>
          <w:i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5"/>
          </w:tcPr>
          <w:p>
            <w:pPr>
              <w:jc w:val="center"/>
              <w:ind w:right="19"/>
              <w:spacing w:after="0"/>
              <w:rPr>
                <w:sz w:val="20"/>
                <w:szCs w:val="20"/>
                <w:color w:val="auto"/>
              </w:rPr>
            </w:pPr>
            <w:r>
              <w:rPr>
                <w:rFonts w:ascii="Arial" w:cs="Arial" w:eastAsia="Arial" w:hAnsi="Arial"/>
                <w:sz w:val="14"/>
                <w:szCs w:val="14"/>
                <w:b w:val="1"/>
                <w:bCs w:val="1"/>
                <w:color w:val="auto"/>
                <w:w w:val="86"/>
              </w:rPr>
              <w:t>Amount of Gain (Loss) Recognized</w:t>
            </w: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2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89"/>
              </w:rPr>
              <w:t>in Other Comprehensive Income</w:t>
            </w:r>
          </w:p>
        </w:tc>
        <w:tc>
          <w:tcPr>
            <w:tcW w:w="0" w:type="dxa"/>
            <w:vAlign w:val="bottom"/>
          </w:tcPr>
          <w:p>
            <w:pPr>
              <w:spacing w:after="0"/>
              <w:rPr>
                <w:sz w:val="1"/>
                <w:szCs w:val="1"/>
                <w:color w:val="auto"/>
              </w:rPr>
            </w:pPr>
          </w:p>
        </w:tc>
      </w:tr>
      <w:tr>
        <w:trPr>
          <w:trHeight w:val="161"/>
        </w:trPr>
        <w:tc>
          <w:tcPr>
            <w:tcW w:w="3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88"/>
              </w:rPr>
              <w:t>on Derivative (Effective Portion)</w:t>
            </w:r>
          </w:p>
        </w:tc>
        <w:tc>
          <w:tcPr>
            <w:tcW w:w="0" w:type="dxa"/>
            <w:vAlign w:val="bottom"/>
          </w:tcPr>
          <w:p>
            <w:pPr>
              <w:spacing w:after="0"/>
              <w:rPr>
                <w:sz w:val="1"/>
                <w:szCs w:val="1"/>
                <w:color w:val="auto"/>
              </w:rPr>
            </w:pPr>
          </w:p>
        </w:tc>
      </w:tr>
      <w:tr>
        <w:trPr>
          <w:trHeight w:val="156"/>
        </w:trPr>
        <w:tc>
          <w:tcPr>
            <w:tcW w:w="3660" w:type="dxa"/>
            <w:vAlign w:val="bottom"/>
            <w:vMerge w:val="restart"/>
          </w:tcPr>
          <w:p>
            <w:pPr>
              <w:spacing w:after="0"/>
              <w:rPr>
                <w:sz w:val="20"/>
                <w:szCs w:val="20"/>
                <w:color w:val="auto"/>
              </w:rPr>
            </w:pPr>
            <w:r>
              <w:rPr>
                <w:rFonts w:ascii="Arial" w:cs="Arial" w:eastAsia="Arial" w:hAnsi="Arial"/>
                <w:sz w:val="18"/>
                <w:szCs w:val="18"/>
                <w:b w:val="1"/>
                <w:bCs w:val="1"/>
                <w:color w:val="auto"/>
              </w:rPr>
              <w:t>Three Months Ended September 30,</w:t>
            </w:r>
          </w:p>
        </w:tc>
        <w:tc>
          <w:tcPr>
            <w:tcW w:w="9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66"/>
              <w:spacing w:after="0" w:line="155" w:lineRule="exact"/>
              <w:rPr>
                <w:sz w:val="20"/>
                <w:szCs w:val="20"/>
                <w:color w:val="auto"/>
              </w:rPr>
            </w:pPr>
            <w:r>
              <w:rPr>
                <w:rFonts w:ascii="Arial" w:cs="Arial" w:eastAsia="Arial" w:hAnsi="Arial"/>
                <w:sz w:val="14"/>
                <w:szCs w:val="14"/>
                <w:b w:val="1"/>
                <w:bCs w:val="1"/>
                <w:color w:val="auto"/>
              </w:rPr>
              <w:t>2012</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99"/>
              <w:spacing w:after="0" w:line="155" w:lineRule="exact"/>
              <w:rPr>
                <w:sz w:val="20"/>
                <w:szCs w:val="20"/>
                <w:color w:val="auto"/>
              </w:rPr>
            </w:pPr>
            <w:r>
              <w:rPr>
                <w:rFonts w:ascii="Arial" w:cs="Arial" w:eastAsia="Arial" w:hAnsi="Arial"/>
                <w:sz w:val="14"/>
                <w:szCs w:val="14"/>
                <w:b w:val="1"/>
                <w:bCs w:val="1"/>
                <w:color w:val="auto"/>
                <w:w w:val="96"/>
              </w:rPr>
              <w:t>2011</w:t>
            </w:r>
          </w:p>
        </w:tc>
        <w:tc>
          <w:tcPr>
            <w:tcW w:w="0" w:type="dxa"/>
            <w:vAlign w:val="bottom"/>
          </w:tcPr>
          <w:p>
            <w:pPr>
              <w:spacing w:after="0"/>
              <w:rPr>
                <w:sz w:val="1"/>
                <w:szCs w:val="1"/>
                <w:color w:val="auto"/>
              </w:rPr>
            </w:pPr>
          </w:p>
        </w:tc>
      </w:tr>
      <w:tr>
        <w:trPr>
          <w:trHeight w:val="194"/>
        </w:trPr>
        <w:tc>
          <w:tcPr>
            <w:tcW w:w="3660" w:type="dxa"/>
            <w:vAlign w:val="bottom"/>
            <w:vMerge w:val="continue"/>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5"/>
        </w:trPr>
        <w:tc>
          <w:tcPr>
            <w:tcW w:w="3660" w:type="dxa"/>
            <w:vAlign w:val="bottom"/>
          </w:tcPr>
          <w:p>
            <w:pPr>
              <w:spacing w:after="0"/>
              <w:rPr>
                <w:sz w:val="20"/>
                <w:szCs w:val="20"/>
                <w:color w:val="auto"/>
              </w:rPr>
            </w:pPr>
            <w:r>
              <w:rPr>
                <w:rFonts w:ascii="Arial" w:cs="Arial" w:eastAsia="Arial" w:hAnsi="Arial"/>
                <w:sz w:val="18"/>
                <w:szCs w:val="18"/>
                <w:color w:val="auto"/>
              </w:rPr>
              <w:t>Interest rate products</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(3,943)</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660" w:type="dxa"/>
            <w:vAlign w:val="bottom"/>
            <w:vMerge w:val="restart"/>
          </w:tcPr>
          <w:p>
            <w:pPr>
              <w:spacing w:after="0"/>
              <w:rPr>
                <w:sz w:val="20"/>
                <w:szCs w:val="20"/>
                <w:color w:val="auto"/>
              </w:rPr>
            </w:pPr>
            <w:r>
              <w:rPr>
                <w:rFonts w:ascii="Arial" w:cs="Arial" w:eastAsia="Arial" w:hAnsi="Arial"/>
                <w:sz w:val="18"/>
                <w:szCs w:val="18"/>
                <w:b w:val="1"/>
                <w:bCs w:val="1"/>
                <w:color w:val="auto"/>
              </w:rPr>
              <w:t>Nine Months Ended September 30,</w:t>
            </w:r>
          </w:p>
        </w:tc>
        <w:tc>
          <w:tcPr>
            <w:tcW w:w="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60" w:type="dxa"/>
            <w:vAlign w:val="bottom"/>
            <w:vMerge w:val="continue"/>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75"/>
        </w:trPr>
        <w:tc>
          <w:tcPr>
            <w:tcW w:w="3660" w:type="dxa"/>
            <w:vAlign w:val="bottom"/>
          </w:tcPr>
          <w:p>
            <w:pPr>
              <w:spacing w:after="0"/>
              <w:rPr>
                <w:sz w:val="20"/>
                <w:szCs w:val="20"/>
                <w:color w:val="auto"/>
              </w:rPr>
            </w:pPr>
            <w:r>
              <w:rPr>
                <w:rFonts w:ascii="Arial" w:cs="Arial" w:eastAsia="Arial" w:hAnsi="Arial"/>
                <w:sz w:val="18"/>
                <w:szCs w:val="18"/>
                <w:color w:val="auto"/>
              </w:rPr>
              <w:t>Interest rate products</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(8,798)</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vMerge w:val="restart"/>
          </w:tcPr>
          <w:p>
            <w:pPr>
              <w:jc w:val="center"/>
              <w:ind w:right="292"/>
              <w:spacing w:after="0"/>
              <w:rPr>
                <w:sz w:val="20"/>
                <w:szCs w:val="20"/>
                <w:color w:val="auto"/>
              </w:rPr>
            </w:pPr>
            <w:r>
              <w:rPr>
                <w:rFonts w:ascii="Arial" w:cs="Arial" w:eastAsia="Arial" w:hAnsi="Arial"/>
                <w:sz w:val="18"/>
                <w:szCs w:val="18"/>
                <w:color w:val="auto"/>
                <w:w w:val="89"/>
              </w:rPr>
              <w:t>24</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-1430020</wp:posOffset>
            </wp:positionV>
            <wp:extent cx="724662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-1155700</wp:posOffset>
            </wp:positionV>
            <wp:extent cx="724662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-829945</wp:posOffset>
            </wp:positionV>
            <wp:extent cx="724662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-555625</wp:posOffset>
            </wp:positionV>
            <wp:extent cx="724662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8"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Gain (Loss) Reclassified from Accumulated Other</w:t>
      </w:r>
    </w:p>
    <w:p>
      <w:pPr>
        <w:spacing w:after="0" w:line="1"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Comprehensive Income into Income (Effective Portion)</w:t>
      </w:r>
    </w:p>
    <w:tbl>
      <w:tblPr>
        <w:tblLayout w:type="fixed"/>
        <w:tblInd w:w="0" w:type="dxa"/>
        <w:tblCellMar>
          <w:top w:w="0" w:type="dxa"/>
          <w:left w:w="0" w:type="dxa"/>
          <w:bottom w:w="0" w:type="dxa"/>
          <w:right w:w="0" w:type="dxa"/>
        </w:tblCellMar>
      </w:tblPr>
      <w:tr>
        <w:trPr>
          <w:trHeight w:val="156"/>
        </w:trPr>
        <w:tc>
          <w:tcPr>
            <w:tcW w:w="2180" w:type="dxa"/>
            <w:vAlign w:val="bottom"/>
            <w:tcBorders>
              <w:top w:val="single" w:sz="8" w:color="auto"/>
              <w:bottom w:val="single" w:sz="8" w:color="auto"/>
            </w:tcBorders>
          </w:tcPr>
          <w:p>
            <w:pPr>
              <w:ind w:left="840"/>
              <w:spacing w:after="0" w:line="156" w:lineRule="exact"/>
              <w:rPr>
                <w:sz w:val="20"/>
                <w:szCs w:val="20"/>
                <w:color w:val="auto"/>
              </w:rPr>
            </w:pPr>
            <w:r>
              <w:rPr>
                <w:rFonts w:ascii="Arial" w:cs="Arial" w:eastAsia="Arial" w:hAnsi="Arial"/>
                <w:sz w:val="14"/>
                <w:szCs w:val="14"/>
                <w:b w:val="1"/>
                <w:bCs w:val="1"/>
                <w:color w:val="auto"/>
              </w:rPr>
              <w:t>Location</w:t>
            </w:r>
          </w:p>
        </w:tc>
        <w:tc>
          <w:tcPr>
            <w:tcW w:w="280" w:type="dxa"/>
            <w:vAlign w:val="bottom"/>
            <w:tcBorders>
              <w:top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ind w:right="75"/>
              <w:spacing w:after="0" w:line="156" w:lineRule="exact"/>
              <w:rPr>
                <w:sz w:val="20"/>
                <w:szCs w:val="20"/>
                <w:color w:val="auto"/>
              </w:rPr>
            </w:pPr>
            <w:r>
              <w:rPr>
                <w:rFonts w:ascii="Arial" w:cs="Arial" w:eastAsia="Arial" w:hAnsi="Arial"/>
                <w:sz w:val="14"/>
                <w:szCs w:val="14"/>
                <w:b w:val="1"/>
                <w:bCs w:val="1"/>
                <w:color w:val="auto"/>
                <w:w w:val="89"/>
              </w:rPr>
              <w:t>2012</w:t>
            </w:r>
          </w:p>
        </w:tc>
        <w:tc>
          <w:tcPr>
            <w:tcW w:w="380" w:type="dxa"/>
            <w:vAlign w:val="bottom"/>
            <w:tcBorders>
              <w:top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ind w:right="135"/>
              <w:spacing w:after="0" w:line="156" w:lineRule="exact"/>
              <w:rPr>
                <w:sz w:val="20"/>
                <w:szCs w:val="20"/>
                <w:color w:val="auto"/>
              </w:rPr>
            </w:pPr>
            <w:r>
              <w:rPr>
                <w:rFonts w:ascii="Arial" w:cs="Arial" w:eastAsia="Arial" w:hAnsi="Arial"/>
                <w:sz w:val="14"/>
                <w:szCs w:val="14"/>
                <w:b w:val="1"/>
                <w:bCs w:val="1"/>
                <w:color w:val="auto"/>
                <w:w w:val="96"/>
              </w:rPr>
              <w:t>2011</w:t>
            </w:r>
          </w:p>
        </w:tc>
      </w:tr>
      <w:tr>
        <w:trPr>
          <w:trHeight w:val="404"/>
        </w:trPr>
        <w:tc>
          <w:tcPr>
            <w:tcW w:w="2460" w:type="dxa"/>
            <w:vAlign w:val="bottom"/>
            <w:gridSpan w:val="2"/>
          </w:tcPr>
          <w:p>
            <w:pPr>
              <w:spacing w:after="0"/>
              <w:rPr>
                <w:sz w:val="20"/>
                <w:szCs w:val="20"/>
                <w:color w:val="auto"/>
              </w:rPr>
            </w:pPr>
            <w:r>
              <w:rPr>
                <w:rFonts w:ascii="Arial" w:cs="Arial" w:eastAsia="Arial" w:hAnsi="Arial"/>
                <w:sz w:val="18"/>
                <w:szCs w:val="18"/>
                <w:color w:val="auto"/>
              </w:rPr>
              <w:t>Interest revenue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649</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2,373</w:t>
            </w:r>
          </w:p>
        </w:tc>
      </w:tr>
      <w:tr>
        <w:trPr>
          <w:trHeight w:val="222"/>
        </w:trPr>
        <w:tc>
          <w:tcPr>
            <w:tcW w:w="2460" w:type="dxa"/>
            <w:vAlign w:val="bottom"/>
            <w:gridSpan w:val="2"/>
          </w:tcPr>
          <w:p>
            <w:pPr>
              <w:spacing w:after="0"/>
              <w:rPr>
                <w:sz w:val="20"/>
                <w:szCs w:val="20"/>
                <w:color w:val="auto"/>
              </w:rPr>
            </w:pPr>
            <w:r>
              <w:rPr>
                <w:rFonts w:ascii="Arial" w:cs="Arial" w:eastAsia="Arial" w:hAnsi="Arial"/>
                <w:sz w:val="18"/>
                <w:szCs w:val="18"/>
                <w:color w:val="auto"/>
              </w:rPr>
              <w:t>Other income</w:t>
            </w: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3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w:t>
            </w:r>
          </w:p>
        </w:tc>
      </w:tr>
      <w:tr>
        <w:trPr>
          <w:trHeight w:val="224"/>
        </w:trPr>
        <w:tc>
          <w:tcPr>
            <w:tcW w:w="2460" w:type="dxa"/>
            <w:vAlign w:val="bottom"/>
            <w:gridSpan w:val="2"/>
          </w:tcPr>
          <w:p>
            <w:pPr>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763</w:t>
            </w:r>
          </w:p>
        </w:tc>
        <w:tc>
          <w:tcPr>
            <w:tcW w:w="3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2,948</w:t>
            </w:r>
          </w:p>
        </w:tc>
      </w:tr>
      <w:tr>
        <w:trPr>
          <w:trHeight w:val="20"/>
        </w:trPr>
        <w:tc>
          <w:tcPr>
            <w:tcW w:w="2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419"/>
        </w:trPr>
        <w:tc>
          <w:tcPr>
            <w:tcW w:w="2460" w:type="dxa"/>
            <w:vAlign w:val="bottom"/>
            <w:gridSpan w:val="2"/>
          </w:tcPr>
          <w:p>
            <w:pPr>
              <w:spacing w:after="0"/>
              <w:rPr>
                <w:sz w:val="20"/>
                <w:szCs w:val="20"/>
                <w:color w:val="auto"/>
              </w:rPr>
            </w:pPr>
            <w:r>
              <w:rPr>
                <w:rFonts w:ascii="Arial" w:cs="Arial" w:eastAsia="Arial" w:hAnsi="Arial"/>
                <w:sz w:val="18"/>
                <w:szCs w:val="18"/>
                <w:color w:val="auto"/>
              </w:rPr>
              <w:t>Interest revenue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2,839</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7,885</w:t>
            </w:r>
          </w:p>
        </w:tc>
      </w:tr>
      <w:tr>
        <w:trPr>
          <w:trHeight w:val="222"/>
        </w:trPr>
        <w:tc>
          <w:tcPr>
            <w:tcW w:w="2460" w:type="dxa"/>
            <w:vAlign w:val="bottom"/>
            <w:gridSpan w:val="2"/>
          </w:tcPr>
          <w:p>
            <w:pPr>
              <w:spacing w:after="0"/>
              <w:rPr>
                <w:sz w:val="20"/>
                <w:szCs w:val="20"/>
                <w:color w:val="auto"/>
              </w:rPr>
            </w:pPr>
            <w:r>
              <w:rPr>
                <w:rFonts w:ascii="Arial" w:cs="Arial" w:eastAsia="Arial" w:hAnsi="Arial"/>
                <w:sz w:val="18"/>
                <w:szCs w:val="18"/>
                <w:color w:val="auto"/>
              </w:rPr>
              <w:t>Other income</w:t>
            </w: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3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4,687</w:t>
            </w:r>
          </w:p>
        </w:tc>
      </w:tr>
      <w:tr>
        <w:trPr>
          <w:trHeight w:val="224"/>
        </w:trPr>
        <w:tc>
          <w:tcPr>
            <w:tcW w:w="2460" w:type="dxa"/>
            <w:vAlign w:val="bottom"/>
            <w:gridSpan w:val="2"/>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3,077</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12,572</w:t>
            </w:r>
          </w:p>
        </w:tc>
      </w:tr>
      <w:tr>
        <w:trPr>
          <w:trHeight w:val="20"/>
        </w:trPr>
        <w:tc>
          <w:tcPr>
            <w:tcW w:w="2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r>
    </w:tbl>
    <w:p>
      <w:pPr>
        <w:sectPr>
          <w:pgSz w:w="11900" w:h="16838" w:orient="portrait"/>
          <w:cols w:equalWidth="0" w:num="2">
            <w:col w:w="6820" w:space="380"/>
            <w:col w:w="4200"/>
          </w:cols>
          <w:pgMar w:left="240" w:top="459" w:right="259" w:bottom="1440" w:gutter="0" w:footer="0" w:header="0"/>
          <w:type w:val="continuous"/>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Credit-risk-related Contingent Features</w:t>
      </w:r>
    </w:p>
    <w:p>
      <w:pPr>
        <w:spacing w:after="0" w:line="96" w:lineRule="exact"/>
        <w:rPr>
          <w:sz w:val="20"/>
          <w:szCs w:val="20"/>
          <w:color w:val="auto"/>
        </w:rPr>
      </w:pPr>
    </w:p>
    <w:p>
      <w:pPr>
        <w:ind w:right="300"/>
        <w:spacing w:after="0" w:line="306" w:lineRule="auto"/>
        <w:rPr>
          <w:sz w:val="20"/>
          <w:szCs w:val="20"/>
          <w:color w:val="auto"/>
        </w:rPr>
      </w:pPr>
      <w:r>
        <w:rPr>
          <w:rFonts w:ascii="Arial" w:cs="Arial" w:eastAsia="Arial" w:hAnsi="Arial"/>
          <w:sz w:val="16"/>
          <w:szCs w:val="16"/>
          <w:color w:val="auto"/>
        </w:rPr>
        <w:t>United manages its credit exposure on derivatives transactions by entering into a bilateral credit support agreement with each counterparty. The credit support agreements require collateralization of exposures beyond specified minimum threshold amounts. The details of these agreements, including the minimum thresholds, vary by counterparty. As of September 30, 2012, collateral totaling $11.1 million was pledged toward derivatives in a liability position.</w:t>
      </w:r>
    </w:p>
    <w:p>
      <w:pPr>
        <w:spacing w:after="0" w:line="10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United’s agreements with each of its derivative counterparties contain a provision where if either party defaults on any of its indebtedness, then it could also be declared in default on its derivative obligations. The agreements with derivatives counterparties also include provisions that if not met, could result in United being declared in default. United has agreements with certain of its derivative counterparties that contain a provision where if United fails to maintain its status as a well-capitalized institution or is subject to a prompt corrective action directive, the counterparty could terminate the derivative positions and United would be required to settle its obligations under the agreements.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Stock-Based Compensation</w:t>
      </w:r>
    </w:p>
    <w:p>
      <w:pPr>
        <w:spacing w:after="0" w:line="9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United has an equity compensation plan that allows for grants of incentive stock options, nonqualified stock options, restricted stock and restricted stock unit awards (also referred to as “nonvested stock” awards), stock awards, performance share awards or stock appreciation rights. Options granted under the plan can have an exercise price no less than the fair market value of the underlying stock at the date of grant. The general terms of the plan include a vesting period (usually four years) with an exercisable period not to exceed ten years. Certain option and restricted stock and restricted stock unit awards provide for accelerated vesting if there is a change in control (as defined in the plan). As of September 30, 2012, 1,203,000 additional awards could be granted under the plan. Through September 30, 2012, incentive stock options, nonqualified stock options, restricted stock and restricted stock unit awards, base salary stock grants and performance share awards have been granted under the plan.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stock option activity for the first nine months of 2012.</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0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76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88"/>
              </w:rPr>
              <w:t>Weighted-</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0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76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6"/>
              </w:rPr>
              <w:t>Average</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88"/>
              </w:rPr>
              <w:t>Weighted-</w:t>
            </w:r>
          </w:p>
        </w:tc>
        <w:tc>
          <w:tcPr>
            <w:tcW w:w="176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9"/>
              </w:rPr>
              <w:t>Remaining</w:t>
            </w:r>
          </w:p>
        </w:tc>
        <w:tc>
          <w:tcPr>
            <w:tcW w:w="8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9"/>
        </w:trPr>
        <w:tc>
          <w:tcPr>
            <w:tcW w:w="500" w:type="dxa"/>
            <w:vAlign w:val="bottom"/>
            <w:vMerge w:val="restart"/>
          </w:tcPr>
          <w:p>
            <w:pPr>
              <w:spacing w:after="0"/>
              <w:rPr>
                <w:sz w:val="20"/>
                <w:szCs w:val="20"/>
                <w:color w:val="auto"/>
              </w:rPr>
            </w:pPr>
            <w:r>
              <w:rPr>
                <w:rFonts w:ascii="Arial" w:cs="Arial" w:eastAsia="Arial" w:hAnsi="Arial"/>
                <w:sz w:val="14"/>
                <w:szCs w:val="14"/>
                <w:b w:val="1"/>
                <w:bCs w:val="1"/>
                <w:color w:val="auto"/>
                <w:w w:val="90"/>
              </w:rPr>
              <w:t>Options</w:t>
            </w:r>
          </w:p>
        </w:tc>
        <w:tc>
          <w:tcPr>
            <w:tcW w:w="4360" w:type="dxa"/>
            <w:vAlign w:val="bottom"/>
            <w:vMerge w:val="restart"/>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00" w:type="dxa"/>
            <w:vAlign w:val="bottom"/>
            <w:gridSpan w:val="3"/>
          </w:tcPr>
          <w:p>
            <w:pPr>
              <w:jc w:val="center"/>
              <w:ind w:right="700"/>
              <w:spacing w:after="0" w:line="149" w:lineRule="exact"/>
              <w:rPr>
                <w:sz w:val="20"/>
                <w:szCs w:val="20"/>
                <w:color w:val="auto"/>
              </w:rPr>
            </w:pPr>
            <w:r>
              <w:rPr>
                <w:rFonts w:ascii="Arial" w:cs="Arial" w:eastAsia="Arial" w:hAnsi="Arial"/>
                <w:sz w:val="14"/>
                <w:szCs w:val="14"/>
                <w:b w:val="1"/>
                <w:bCs w:val="1"/>
                <w:color w:val="auto"/>
                <w:w w:val="85"/>
              </w:rPr>
              <w:t>Average Exercise</w:t>
            </w:r>
          </w:p>
        </w:tc>
        <w:tc>
          <w:tcPr>
            <w:tcW w:w="176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9"/>
              </w:rPr>
              <w:t>Contractual Term</w:t>
            </w:r>
          </w:p>
        </w:tc>
        <w:tc>
          <w:tcPr>
            <w:tcW w:w="100" w:type="dxa"/>
            <w:vAlign w:val="bottom"/>
          </w:tcPr>
          <w:p>
            <w:pPr>
              <w:spacing w:after="0"/>
              <w:rPr>
                <w:sz w:val="12"/>
                <w:szCs w:val="12"/>
                <w:color w:val="auto"/>
              </w:rPr>
            </w:pPr>
          </w:p>
        </w:tc>
        <w:tc>
          <w:tcPr>
            <w:tcW w:w="7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Intrinisic</w:t>
            </w:r>
          </w:p>
        </w:tc>
        <w:tc>
          <w:tcPr>
            <w:tcW w:w="0" w:type="dxa"/>
            <w:vAlign w:val="bottom"/>
          </w:tcPr>
          <w:p>
            <w:pPr>
              <w:spacing w:after="0"/>
              <w:rPr>
                <w:sz w:val="1"/>
                <w:szCs w:val="1"/>
                <w:color w:val="auto"/>
              </w:rPr>
            </w:pPr>
          </w:p>
        </w:tc>
      </w:tr>
      <w:tr>
        <w:trPr>
          <w:trHeight w:val="168"/>
        </w:trPr>
        <w:tc>
          <w:tcPr>
            <w:tcW w:w="500" w:type="dxa"/>
            <w:vAlign w:val="bottom"/>
            <w:tcBorders>
              <w:bottom w:val="single" w:sz="8" w:color="auto"/>
            </w:tcBorders>
            <w:vMerge w:val="continue"/>
          </w:tcPr>
          <w:p>
            <w:pPr>
              <w:spacing w:after="0"/>
              <w:rPr>
                <w:sz w:val="14"/>
                <w:szCs w:val="14"/>
                <w:color w:val="auto"/>
              </w:rPr>
            </w:pPr>
          </w:p>
        </w:tc>
        <w:tc>
          <w:tcPr>
            <w:tcW w:w="4360" w:type="dxa"/>
            <w:vAlign w:val="bottom"/>
            <w:vMerge w:val="continue"/>
          </w:tcPr>
          <w:p>
            <w:pPr>
              <w:spacing w:after="0"/>
              <w:rPr>
                <w:sz w:val="14"/>
                <w:szCs w:val="14"/>
                <w:color w:val="auto"/>
              </w:rPr>
            </w:pPr>
          </w:p>
        </w:tc>
        <w:tc>
          <w:tcPr>
            <w:tcW w:w="1040" w:type="dxa"/>
            <w:vAlign w:val="bottom"/>
            <w:gridSpan w:val="2"/>
          </w:tcPr>
          <w:p>
            <w:pPr>
              <w:jc w:val="right"/>
              <w:ind w:right="520"/>
              <w:spacing w:after="0" w:line="148" w:lineRule="exact"/>
              <w:rPr>
                <w:sz w:val="20"/>
                <w:szCs w:val="20"/>
                <w:color w:val="auto"/>
              </w:rPr>
            </w:pPr>
            <w:r>
              <w:rPr>
                <w:rFonts w:ascii="Arial" w:cs="Arial" w:eastAsia="Arial" w:hAnsi="Arial"/>
                <w:sz w:val="14"/>
                <w:szCs w:val="14"/>
                <w:b w:val="1"/>
                <w:bCs w:val="1"/>
                <w:color w:val="auto"/>
              </w:rPr>
              <w:t>Shares</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tcPr>
          <w:p>
            <w:pPr>
              <w:jc w:val="center"/>
              <w:ind w:right="860"/>
              <w:spacing w:after="0" w:line="148" w:lineRule="exact"/>
              <w:rPr>
                <w:sz w:val="20"/>
                <w:szCs w:val="20"/>
                <w:color w:val="auto"/>
              </w:rPr>
            </w:pPr>
            <w:r>
              <w:rPr>
                <w:rFonts w:ascii="Arial" w:cs="Arial" w:eastAsia="Arial" w:hAnsi="Arial"/>
                <w:sz w:val="14"/>
                <w:szCs w:val="14"/>
                <w:b w:val="1"/>
                <w:bCs w:val="1"/>
                <w:color w:val="auto"/>
                <w:w w:val="87"/>
              </w:rPr>
              <w:t>Price</w:t>
            </w:r>
          </w:p>
        </w:tc>
        <w:tc>
          <w:tcPr>
            <w:tcW w:w="1760" w:type="dxa"/>
            <w:vAlign w:val="bottom"/>
            <w:gridSpan w:val="2"/>
          </w:tcPr>
          <w:p>
            <w:pPr>
              <w:jc w:val="center"/>
              <w:ind w:right="720"/>
              <w:spacing w:after="0" w:line="148" w:lineRule="exact"/>
              <w:rPr>
                <w:sz w:val="20"/>
                <w:szCs w:val="20"/>
                <w:color w:val="auto"/>
              </w:rPr>
            </w:pPr>
            <w:r>
              <w:rPr>
                <w:rFonts w:ascii="Arial" w:cs="Arial" w:eastAsia="Arial" w:hAnsi="Arial"/>
                <w:sz w:val="14"/>
                <w:szCs w:val="14"/>
                <w:b w:val="1"/>
                <w:bCs w:val="1"/>
                <w:color w:val="auto"/>
                <w:w w:val="84"/>
              </w:rPr>
              <w:t>(Years)</w:t>
            </w:r>
          </w:p>
        </w:tc>
        <w:tc>
          <w:tcPr>
            <w:tcW w:w="820" w:type="dxa"/>
            <w:vAlign w:val="bottom"/>
            <w:gridSpan w:val="3"/>
          </w:tcPr>
          <w:p>
            <w:pPr>
              <w:jc w:val="center"/>
              <w:ind w:right="100"/>
              <w:spacing w:after="0" w:line="148" w:lineRule="exact"/>
              <w:rPr>
                <w:sz w:val="20"/>
                <w:szCs w:val="20"/>
                <w:color w:val="auto"/>
              </w:rPr>
            </w:pPr>
            <w:r>
              <w:rPr>
                <w:rFonts w:ascii="Arial" w:cs="Arial" w:eastAsia="Arial" w:hAnsi="Arial"/>
                <w:sz w:val="14"/>
                <w:szCs w:val="14"/>
                <w:b w:val="1"/>
                <w:bCs w:val="1"/>
                <w:color w:val="auto"/>
                <w:w w:val="88"/>
              </w:rPr>
              <w:t xml:space="preserve">Value </w:t>
            </w:r>
            <w:r>
              <w:rPr>
                <w:rFonts w:ascii="Arial" w:cs="Arial" w:eastAsia="Arial" w:hAnsi="Arial"/>
                <w:sz w:val="14"/>
                <w:szCs w:val="14"/>
                <w:b w:val="1"/>
                <w:bCs w:val="1"/>
                <w:u w:val="single" w:color="auto"/>
                <w:color w:val="auto"/>
                <w:w w:val="88"/>
              </w:rPr>
              <w:t>($</w:t>
            </w:r>
            <w:r>
              <w:rPr>
                <w:rFonts w:ascii="Arial" w:cs="Arial" w:eastAsia="Arial" w:hAnsi="Arial"/>
                <w:sz w:val="14"/>
                <w:szCs w:val="14"/>
                <w:b w:val="1"/>
                <w:bCs w:val="1"/>
                <w:color w:val="auto"/>
                <w:w w:val="88"/>
              </w:rPr>
              <w:t>000)</w:t>
            </w:r>
          </w:p>
        </w:tc>
        <w:tc>
          <w:tcPr>
            <w:tcW w:w="0" w:type="dxa"/>
            <w:vAlign w:val="bottom"/>
          </w:tcPr>
          <w:p>
            <w:pPr>
              <w:spacing w:after="0"/>
              <w:rPr>
                <w:sz w:val="1"/>
                <w:szCs w:val="1"/>
                <w:color w:val="auto"/>
              </w:rPr>
            </w:pPr>
          </w:p>
        </w:tc>
      </w:tr>
      <w:tr>
        <w:trPr>
          <w:trHeight w:val="203"/>
        </w:trPr>
        <w:tc>
          <w:tcPr>
            <w:tcW w:w="48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Outstanding at December 31, 2011</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583,647</w:t>
            </w:r>
          </w:p>
        </w:tc>
        <w:tc>
          <w:tcPr>
            <w:tcW w:w="4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94.48</w:t>
            </w:r>
          </w:p>
        </w:tc>
        <w:tc>
          <w:tcPr>
            <w:tcW w:w="7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60" w:type="dxa"/>
            <w:vAlign w:val="bottom"/>
            <w:gridSpan w:val="2"/>
          </w:tcPr>
          <w:p>
            <w:pPr>
              <w:spacing w:after="0"/>
              <w:rPr>
                <w:sz w:val="20"/>
                <w:szCs w:val="20"/>
                <w:color w:val="auto"/>
              </w:rPr>
            </w:pPr>
            <w:r>
              <w:rPr>
                <w:rFonts w:ascii="Arial" w:cs="Arial" w:eastAsia="Arial" w:hAnsi="Arial"/>
                <w:sz w:val="18"/>
                <w:szCs w:val="18"/>
                <w:color w:val="auto"/>
              </w:rPr>
              <w:t>Forfeited</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(2,562)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47.63</w:t>
            </w:r>
          </w:p>
        </w:tc>
        <w:tc>
          <w:tcPr>
            <w:tcW w:w="7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Expired</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(94,680)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78.73</w:t>
            </w:r>
          </w:p>
        </w:tc>
        <w:tc>
          <w:tcPr>
            <w:tcW w:w="7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860" w:type="dxa"/>
            <w:vAlign w:val="bottom"/>
            <w:gridSpan w:val="2"/>
          </w:tcPr>
          <w:p>
            <w:pPr>
              <w:spacing w:after="0"/>
              <w:rPr>
                <w:sz w:val="20"/>
                <w:szCs w:val="20"/>
                <w:color w:val="auto"/>
              </w:rPr>
            </w:pPr>
            <w:r>
              <w:rPr>
                <w:rFonts w:ascii="Arial" w:cs="Arial" w:eastAsia="Arial" w:hAnsi="Arial"/>
                <w:sz w:val="18"/>
                <w:szCs w:val="18"/>
                <w:color w:val="auto"/>
              </w:rPr>
              <w:t>Outstanding at September 30, 2012</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486,405</w:t>
            </w: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97.80</w:t>
            </w:r>
          </w:p>
        </w:tc>
        <w:tc>
          <w:tcPr>
            <w:tcW w:w="700" w:type="dxa"/>
            <w:vAlign w:val="bottom"/>
          </w:tcPr>
          <w:p>
            <w:pPr>
              <w:spacing w:after="0"/>
              <w:rPr>
                <w:sz w:val="19"/>
                <w:szCs w:val="19"/>
                <w:color w:val="auto"/>
              </w:rPr>
            </w:pPr>
          </w:p>
        </w:tc>
        <w:tc>
          <w:tcPr>
            <w:tcW w:w="1760" w:type="dxa"/>
            <w:vAlign w:val="bottom"/>
            <w:gridSpan w:val="2"/>
          </w:tcPr>
          <w:p>
            <w:pPr>
              <w:jc w:val="right"/>
              <w:ind w:right="720"/>
              <w:spacing w:after="0"/>
              <w:rPr>
                <w:sz w:val="20"/>
                <w:szCs w:val="20"/>
                <w:color w:val="auto"/>
              </w:rPr>
            </w:pPr>
            <w:r>
              <w:rPr>
                <w:rFonts w:ascii="Arial" w:cs="Arial" w:eastAsia="Arial" w:hAnsi="Arial"/>
                <w:sz w:val="18"/>
                <w:szCs w:val="18"/>
                <w:color w:val="auto"/>
              </w:rPr>
              <w:t>3.8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Exercisable at September 30, 2012</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465,090</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101.18</w:t>
            </w:r>
          </w:p>
        </w:tc>
        <w:tc>
          <w:tcPr>
            <w:tcW w:w="7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fair value of each option is estimated on the date of grant using the Black-Scholes model. No stock options were granted during the nine month periods ended September 30, 2012. Recent decreases in United’s stock price have rendered most of its outstanding options severely out of the money and potentially worthless to the grantee Therefore historical exercise patterns do not provide a reasonable basis for determining the expected life of new option grants. United therefore uses the formula provided by the SEC in Staff Accounting Bulletin No. 107 to determine the expected life of options.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assumptions used to determined the fair value of stock options are presented in the table below.</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98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70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8"/>
              </w:rPr>
              <w:t>Nine Months Ended</w:t>
            </w:r>
          </w:p>
        </w:tc>
      </w:tr>
      <w:tr>
        <w:trPr>
          <w:trHeight w:val="161"/>
        </w:trPr>
        <w:tc>
          <w:tcPr>
            <w:tcW w:w="298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70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5"/>
              </w:rPr>
              <w:t>September 30,</w:t>
            </w:r>
          </w:p>
        </w:tc>
      </w:tr>
      <w:tr>
        <w:trPr>
          <w:trHeight w:val="142"/>
        </w:trPr>
        <w:tc>
          <w:tcPr>
            <w:tcW w:w="2980" w:type="dxa"/>
            <w:vAlign w:val="bottom"/>
            <w:tcBorders>
              <w:bottom w:val="single" w:sz="8" w:color="CCEEFF"/>
            </w:tcBorders>
          </w:tcPr>
          <w:p>
            <w:pPr>
              <w:spacing w:after="0"/>
              <w:rPr>
                <w:sz w:val="12"/>
                <w:szCs w:val="12"/>
                <w:color w:val="auto"/>
              </w:rPr>
            </w:pPr>
          </w:p>
        </w:tc>
        <w:tc>
          <w:tcPr>
            <w:tcW w:w="4000" w:type="dxa"/>
            <w:vAlign w:val="bottom"/>
            <w:tcBorders>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2012</w:t>
            </w:r>
          </w:p>
        </w:tc>
        <w:tc>
          <w:tcPr>
            <w:tcW w:w="500" w:type="dxa"/>
            <w:vAlign w:val="bottom"/>
            <w:tcBorders>
              <w:top w:val="single" w:sz="8" w:color="auto"/>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CCEEFF"/>
            </w:tcBorders>
          </w:tcPr>
          <w:p>
            <w:pPr>
              <w:spacing w:after="0"/>
              <w:rPr>
                <w:sz w:val="12"/>
                <w:szCs w:val="12"/>
                <w:color w:val="auto"/>
              </w:rPr>
            </w:pPr>
          </w:p>
        </w:tc>
      </w:tr>
      <w:tr>
        <w:trPr>
          <w:trHeight w:val="210"/>
        </w:trPr>
        <w:tc>
          <w:tcPr>
            <w:tcW w:w="2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volatility</w:t>
            </w:r>
          </w:p>
        </w:tc>
        <w:tc>
          <w:tcPr>
            <w:tcW w:w="4000" w:type="dxa"/>
            <w:vAlign w:val="bottom"/>
            <w:shd w:val="clear" w:color="auto" w:fill="CCEEFF"/>
          </w:tcPr>
          <w:p>
            <w:pPr>
              <w:spacing w:after="0"/>
              <w:rPr>
                <w:sz w:val="18"/>
                <w:szCs w:val="18"/>
                <w:color w:val="auto"/>
              </w:rPr>
            </w:pPr>
          </w:p>
        </w:tc>
        <w:tc>
          <w:tcPr>
            <w:tcW w:w="3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5"/>
              </w:rPr>
              <w:t>NA</w:t>
            </w:r>
          </w:p>
        </w:tc>
        <w:tc>
          <w:tcPr>
            <w:tcW w:w="5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33.00%</w:t>
            </w: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4000" w:type="dxa"/>
            <w:vAlign w:val="bottom"/>
          </w:tcPr>
          <w:p>
            <w:pPr>
              <w:spacing w:after="0"/>
              <w:rPr>
                <w:sz w:val="18"/>
                <w:szCs w:val="18"/>
                <w:color w:val="auto"/>
              </w:rPr>
            </w:pPr>
          </w:p>
        </w:tc>
        <w:tc>
          <w:tcPr>
            <w:tcW w:w="880" w:type="dxa"/>
            <w:vAlign w:val="bottom"/>
            <w:gridSpan w:val="2"/>
          </w:tcPr>
          <w:p>
            <w:pPr>
              <w:ind w:left="120"/>
              <w:spacing w:after="0"/>
              <w:rPr>
                <w:sz w:val="20"/>
                <w:szCs w:val="20"/>
                <w:color w:val="auto"/>
              </w:rPr>
            </w:pPr>
            <w:r>
              <w:rPr>
                <w:rFonts w:ascii="Arial" w:cs="Arial" w:eastAsia="Arial" w:hAnsi="Arial"/>
                <w:sz w:val="18"/>
                <w:szCs w:val="18"/>
                <w:color w:val="auto"/>
              </w:rPr>
              <w:t>NA</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0.00%</w:t>
            </w: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40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NA</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00" w:type="dxa"/>
            <w:vAlign w:val="bottom"/>
            <w:shd w:val="clear" w:color="auto" w:fill="CCEEFF"/>
          </w:tcPr>
          <w:p>
            <w:pPr>
              <w:spacing w:after="0"/>
              <w:rPr>
                <w:sz w:val="18"/>
                <w:szCs w:val="18"/>
                <w:color w:val="auto"/>
              </w:rPr>
            </w:pPr>
          </w:p>
        </w:tc>
      </w:tr>
      <w:tr>
        <w:trPr>
          <w:trHeight w:val="222"/>
        </w:trPr>
        <w:tc>
          <w:tcPr>
            <w:tcW w:w="2980" w:type="dxa"/>
            <w:vAlign w:val="bottom"/>
          </w:tcPr>
          <w:p>
            <w:pPr>
              <w:spacing w:after="0"/>
              <w:rPr>
                <w:sz w:val="20"/>
                <w:szCs w:val="20"/>
                <w:color w:val="auto"/>
              </w:rPr>
            </w:pPr>
            <w:r>
              <w:rPr>
                <w:rFonts w:ascii="Arial" w:cs="Arial" w:eastAsia="Arial" w:hAnsi="Arial"/>
                <w:sz w:val="18"/>
                <w:szCs w:val="18"/>
                <w:color w:val="auto"/>
              </w:rPr>
              <w:t>Risk-free rate</w:t>
            </w:r>
          </w:p>
        </w:tc>
        <w:tc>
          <w:tcPr>
            <w:tcW w:w="4000" w:type="dxa"/>
            <w:vAlign w:val="bottom"/>
          </w:tcPr>
          <w:p>
            <w:pPr>
              <w:spacing w:after="0"/>
              <w:rPr>
                <w:sz w:val="19"/>
                <w:szCs w:val="19"/>
                <w:color w:val="auto"/>
              </w:rPr>
            </w:pPr>
          </w:p>
        </w:tc>
        <w:tc>
          <w:tcPr>
            <w:tcW w:w="880" w:type="dxa"/>
            <w:vAlign w:val="bottom"/>
            <w:gridSpan w:val="2"/>
          </w:tcPr>
          <w:p>
            <w:pPr>
              <w:ind w:left="120"/>
              <w:spacing w:after="0"/>
              <w:rPr>
                <w:sz w:val="20"/>
                <w:szCs w:val="20"/>
                <w:color w:val="auto"/>
              </w:rPr>
            </w:pPr>
            <w:r>
              <w:rPr>
                <w:rFonts w:ascii="Arial" w:cs="Arial" w:eastAsia="Arial" w:hAnsi="Arial"/>
                <w:sz w:val="18"/>
                <w:szCs w:val="18"/>
                <w:color w:val="auto"/>
              </w:rPr>
              <w:t>NA</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2.05%</w:t>
            </w:r>
          </w:p>
        </w:tc>
      </w:tr>
      <w:tr>
        <w:trPr>
          <w:trHeight w:val="356"/>
        </w:trPr>
        <w:tc>
          <w:tcPr>
            <w:tcW w:w="2980" w:type="dxa"/>
            <w:vAlign w:val="bottom"/>
          </w:tcPr>
          <w:p>
            <w:pPr>
              <w:spacing w:after="0"/>
              <w:rPr>
                <w:sz w:val="24"/>
                <w:szCs w:val="24"/>
                <w:color w:val="auto"/>
              </w:rPr>
            </w:pPr>
          </w:p>
        </w:tc>
        <w:tc>
          <w:tcPr>
            <w:tcW w:w="4000" w:type="dxa"/>
            <w:vAlign w:val="bottom"/>
          </w:tcPr>
          <w:p>
            <w:pPr>
              <w:jc w:val="right"/>
              <w:ind w:right="2472"/>
              <w:spacing w:after="0"/>
              <w:rPr>
                <w:sz w:val="20"/>
                <w:szCs w:val="20"/>
                <w:color w:val="auto"/>
              </w:rPr>
            </w:pPr>
            <w:r>
              <w:rPr>
                <w:rFonts w:ascii="Arial" w:cs="Arial" w:eastAsia="Arial" w:hAnsi="Arial"/>
                <w:sz w:val="18"/>
                <w:szCs w:val="18"/>
                <w:color w:val="auto"/>
              </w:rPr>
              <w:t>25</w:t>
            </w: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1"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Compensation expense relating to stock options of $190,000 and $651,000 was included in earnings for the nine months ended September 30, 2012 and 2011, respectively. Deferred tax benefits of $74,000 and $253,000, respectively, were included in the determination of income tax expense for the nine month periods ended September 30, 2012 and 2011. The amount of compensation expense for both periods was determined based on the fair value of the options at the time of grant, multiplied by the number of options granted that are expected to vest, which was then amortized over the vesting period. The forfeiture rate for options is estimated to be approximately 3% per year. No options were exercised during the first nine months of 2012 or 2011.</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activity in restricted stock and restricted stock unit awards for the first nine months of 2012.</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63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Restricted Stock</w:t>
            </w: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8"/>
              </w:rPr>
              <w:t>Average Grant-</w:t>
            </w:r>
          </w:p>
        </w:tc>
        <w:tc>
          <w:tcPr>
            <w:tcW w:w="0" w:type="dxa"/>
            <w:vAlign w:val="bottom"/>
          </w:tcPr>
          <w:p>
            <w:pPr>
              <w:spacing w:after="0"/>
              <w:rPr>
                <w:sz w:val="1"/>
                <w:szCs w:val="1"/>
                <w:color w:val="auto"/>
              </w:rPr>
            </w:pPr>
          </w:p>
        </w:tc>
      </w:tr>
      <w:tr>
        <w:trPr>
          <w:trHeight w:val="148"/>
        </w:trPr>
        <w:tc>
          <w:tcPr>
            <w:tcW w:w="6320" w:type="dxa"/>
            <w:vAlign w:val="bottom"/>
            <w:gridSpan w:val="3"/>
            <w:vMerge w:val="continue"/>
          </w:tcPr>
          <w:p>
            <w:pPr>
              <w:spacing w:after="0"/>
              <w:rPr>
                <w:sz w:val="12"/>
                <w:szCs w:val="12"/>
                <w:color w:val="auto"/>
              </w:rPr>
            </w:pPr>
          </w:p>
        </w:tc>
        <w:tc>
          <w:tcPr>
            <w:tcW w:w="1040" w:type="dxa"/>
            <w:vAlign w:val="bottom"/>
            <w:gridSpan w:val="2"/>
          </w:tcPr>
          <w:p>
            <w:pPr>
              <w:jc w:val="right"/>
              <w:ind w:right="500"/>
              <w:spacing w:after="0" w:line="148" w:lineRule="exact"/>
              <w:rPr>
                <w:sz w:val="20"/>
                <w:szCs w:val="20"/>
                <w:color w:val="auto"/>
              </w:rPr>
            </w:pPr>
            <w:r>
              <w:rPr>
                <w:rFonts w:ascii="Arial" w:cs="Arial" w:eastAsia="Arial" w:hAnsi="Arial"/>
                <w:sz w:val="14"/>
                <w:szCs w:val="14"/>
                <w:b w:val="1"/>
                <w:bCs w:val="1"/>
                <w:color w:val="auto"/>
              </w:rPr>
              <w:t>Shares</w:t>
            </w:r>
          </w:p>
        </w:tc>
        <w:tc>
          <w:tcPr>
            <w:tcW w:w="1320" w:type="dxa"/>
            <w:vAlign w:val="bottom"/>
            <w:gridSpan w:val="4"/>
          </w:tcPr>
          <w:p>
            <w:pPr>
              <w:ind w:left="300"/>
              <w:spacing w:after="0" w:line="148" w:lineRule="exact"/>
              <w:rPr>
                <w:sz w:val="20"/>
                <w:szCs w:val="20"/>
                <w:color w:val="auto"/>
              </w:rPr>
            </w:pPr>
            <w:r>
              <w:rPr>
                <w:rFonts w:ascii="Arial" w:cs="Arial" w:eastAsia="Arial" w:hAnsi="Arial"/>
                <w:sz w:val="14"/>
                <w:szCs w:val="14"/>
                <w:b w:val="1"/>
                <w:bCs w:val="1"/>
                <w:color w:val="auto"/>
                <w:w w:val="98"/>
              </w:rPr>
              <w:t>Date Fair Value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Borders>
              <w:bottom w:val="single" w:sz="8" w:color="CCEEFF"/>
            </w:tcBorders>
            <w:shd w:val="clear" w:color="auto" w:fill="000000"/>
          </w:tcPr>
          <w:p>
            <w:pPr>
              <w:spacing w:after="0" w:line="20" w:lineRule="exact"/>
              <w:rPr>
                <w:sz w:val="1"/>
                <w:szCs w:val="1"/>
                <w:color w:val="auto"/>
              </w:rPr>
            </w:pPr>
          </w:p>
        </w:tc>
        <w:tc>
          <w:tcPr>
            <w:tcW w:w="53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3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Outstanding at December 31, 2011</w:t>
            </w:r>
          </w:p>
        </w:tc>
        <w:tc>
          <w:tcPr>
            <w:tcW w:w="7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414,644</w:t>
            </w: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12.19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700" w:type="dxa"/>
            <w:vAlign w:val="bottom"/>
          </w:tcPr>
          <w:p>
            <w:pPr>
              <w:jc w:val="right"/>
              <w:spacing w:after="0"/>
              <w:rPr>
                <w:sz w:val="20"/>
                <w:szCs w:val="20"/>
                <w:color w:val="auto"/>
              </w:rPr>
            </w:pPr>
            <w:r>
              <w:rPr>
                <w:rFonts w:ascii="Arial" w:cs="Arial" w:eastAsia="Arial" w:hAnsi="Arial"/>
                <w:sz w:val="18"/>
                <w:szCs w:val="18"/>
                <w:color w:val="auto"/>
              </w:rPr>
              <w:t>194,854</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Excercised</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3"/>
              </w:rPr>
              <w:t>(108,915)</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Cancelled</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(11,733)</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September 30, 2012</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488,850</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20" w:type="dxa"/>
            <w:vAlign w:val="bottom"/>
            <w:gridSpan w:val="3"/>
            <w:vMerge w:val="restart"/>
          </w:tcPr>
          <w:p>
            <w:pPr>
              <w:spacing w:after="0"/>
              <w:rPr>
                <w:sz w:val="20"/>
                <w:szCs w:val="20"/>
                <w:color w:val="auto"/>
              </w:rPr>
            </w:pPr>
            <w:r>
              <w:rPr>
                <w:rFonts w:ascii="Arial" w:cs="Arial" w:eastAsia="Arial" w:hAnsi="Arial"/>
                <w:sz w:val="18"/>
                <w:szCs w:val="18"/>
                <w:color w:val="auto"/>
              </w:rPr>
              <w:t>Vested at September 30, 2012</w:t>
            </w: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35.62</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320" w:type="dxa"/>
            <w:vAlign w:val="bottom"/>
            <w:gridSpan w:val="3"/>
            <w:vMerge w:val="continue"/>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15,490</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Compensation expense for restricted stock and restricted stock units is based on the fair value of restricted stock and restricted stock unit awards at the time of</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grant, which is equal to the value of United’s common stock on the date of grant. The value of restricted stock and restricted stock unit grants that are expected to</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vest is amortized into expense over the vesting period. For the nine months ended September 30, 2012 and 2011, compensation expense of $1.18 million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$779,000, respectively, was recognized related to restricted stock and restricted stock unit awards. The total intrinsic value of restricted stock and restricted stock</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units was $4.10 million at September 30, 2012.</w:t>
      </w:r>
    </w:p>
    <w:p>
      <w:pPr>
        <w:spacing w:after="0" w:line="165"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As of September 30, 2012, there was $4.01 million of unrecognized compensation cost related to non-vested stock options and restricted stock and restricted stock unit awards granted under the plan. That cost is expected to be recognized over a weighted-average period of 2.14 years. The aggregate grant date fair value of options and restricted stock and restricted stock unit awards that vested during the nine months ended September 30, 2012, was $2.47 million.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Common and Preferred Stock Issued / Common Stock Issuable</w:t>
      </w:r>
    </w:p>
    <w:p>
      <w:pPr>
        <w:spacing w:after="0" w:line="9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United sponsors a Dividend Reinvestment and Share Purchase Plan (“DRIP”) that allows participants who already own United’s common stock to purchase additional shares directly from the company. The DRIP also allows participants to automatically reinvest their quarterly dividends in additional shares of common stock without a commission. The DRIP is currently suspended. United’s 401(k) retirement plan regularly purchases shares of United’s common stock directly from United. In addition, United has an Employee Stock Purchase Program (“ESPP”) that allows eligible employees to purchase shares of common stock at a 5% discount, with no commission charges. For the nine months ended September 30, 2012 and 2011, United issued 87,086 and 113,787 shares, respectively, and increased capital by $702,000 and $1.10 million, respectively, through these programs.</w:t>
      </w:r>
    </w:p>
    <w:p>
      <w:pPr>
        <w:spacing w:after="0" w:line="120" w:lineRule="exact"/>
        <w:rPr>
          <w:sz w:val="20"/>
          <w:szCs w:val="20"/>
          <w:color w:val="auto"/>
        </w:rPr>
      </w:pPr>
    </w:p>
    <w:p>
      <w:pPr>
        <w:jc w:val="both"/>
        <w:ind w:right="220"/>
        <w:spacing w:after="0" w:line="298" w:lineRule="auto"/>
        <w:rPr>
          <w:sz w:val="20"/>
          <w:szCs w:val="20"/>
          <w:color w:val="auto"/>
        </w:rPr>
      </w:pPr>
      <w:r>
        <w:rPr>
          <w:rFonts w:ascii="Arial" w:cs="Arial" w:eastAsia="Arial" w:hAnsi="Arial"/>
          <w:sz w:val="16"/>
          <w:szCs w:val="16"/>
          <w:color w:val="auto"/>
        </w:rPr>
        <w:t>United offers its common stock as an investment option in its deferred compensation plan. The common stock component of the deferred compensation plan is accounted for as an equity instrument and is reflected in the consolidated financial statements as common stock issuable. The deferred compensation plan does not allow for diversification once an election is made to invest in United stock and settlement must be accomplished in shares at the time the deferral period is completed. At September 30, 2012 and 2011, 129,270 and 88,501 shares, respectively, were issuable under the deferred compensation plan.</w:t>
      </w:r>
    </w:p>
    <w:p>
      <w:pPr>
        <w:spacing w:after="0" w:line="113"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On February 22, 2011, United entered into a Share Exchange Agreement with the Elm Ridge Parties. Under the Share Exchange Agreement, the Elm Ridge Parties agreed to transfer to United 1,551,126 shares of United’s common stock in exchange for 16,613 shares of United’s cumulative perpetual preferred stock, Series D, and warrants to purchase 1,551,126 common shares with an exercise price of $12.50 per share that expires on August 22, 2013. This exchange transaction did not result in a net increase or decrease to total shareholders’ equity for the year ended December 31, 2011.</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1"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Assets and Liabilities Measured at Fair Value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and Liabilities Measured at Fair Value on a Recurring Basis</w:t>
      </w:r>
    </w:p>
    <w:p>
      <w:pPr>
        <w:spacing w:after="0" w:line="96" w:lineRule="exact"/>
        <w:rPr>
          <w:sz w:val="20"/>
          <w:szCs w:val="20"/>
          <w:color w:val="auto"/>
        </w:rPr>
      </w:pPr>
    </w:p>
    <w:p>
      <w:pPr>
        <w:ind w:right="500"/>
        <w:spacing w:after="0" w:line="332" w:lineRule="auto"/>
        <w:rPr>
          <w:sz w:val="20"/>
          <w:szCs w:val="20"/>
          <w:color w:val="auto"/>
        </w:rPr>
      </w:pPr>
      <w:r>
        <w:rPr>
          <w:rFonts w:ascii="Arial" w:cs="Arial" w:eastAsia="Arial" w:hAnsi="Arial"/>
          <w:sz w:val="16"/>
          <w:szCs w:val="16"/>
          <w:color w:val="auto"/>
        </w:rPr>
        <w:t xml:space="preserve">The table below presents United’s assets and liabilities measured at fair value on a recurring basis as of September 30, 2012, December 31, 2011 and September 30, 2011, aggregated by the level in the fair value hierarchy within which those measurements fall </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pacing w:after="0" w:line="121"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4120" w:type="dxa"/>
            <w:vAlign w:val="bottom"/>
            <w:gridSpan w:val="4"/>
          </w:tcPr>
          <w:p>
            <w:pPr>
              <w:spacing w:after="0"/>
              <w:rPr>
                <w:sz w:val="20"/>
                <w:szCs w:val="20"/>
                <w:color w:val="auto"/>
              </w:rPr>
            </w:pPr>
            <w:r>
              <w:rPr>
                <w:rFonts w:ascii="Arial" w:cs="Arial" w:eastAsia="Arial" w:hAnsi="Arial"/>
                <w:sz w:val="14"/>
                <w:szCs w:val="14"/>
                <w:b w:val="1"/>
                <w:bCs w:val="1"/>
                <w:color w:val="auto"/>
              </w:rPr>
              <w:t>September 30, 2012</w:t>
            </w:r>
          </w:p>
        </w:tc>
        <w:tc>
          <w:tcPr>
            <w:tcW w:w="2600" w:type="dxa"/>
            <w:vAlign w:val="bottom"/>
          </w:tcPr>
          <w:p>
            <w:pPr>
              <w:spacing w:after="0"/>
              <w:rPr>
                <w:sz w:val="15"/>
                <w:szCs w:val="15"/>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Level 1</w:t>
            </w: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ind w:right="94"/>
              <w:spacing w:after="0"/>
              <w:rPr>
                <w:sz w:val="20"/>
                <w:szCs w:val="20"/>
                <w:color w:val="auto"/>
              </w:rPr>
            </w:pPr>
            <w:r>
              <w:rPr>
                <w:rFonts w:ascii="Arial" w:cs="Arial" w:eastAsia="Arial" w:hAnsi="Arial"/>
                <w:sz w:val="14"/>
                <w:szCs w:val="14"/>
                <w:b w:val="1"/>
                <w:bCs w:val="1"/>
                <w:color w:val="auto"/>
              </w:rPr>
              <w:t>Level 2</w:t>
            </w:r>
          </w:p>
        </w:tc>
        <w:tc>
          <w:tcPr>
            <w:tcW w:w="400" w:type="dxa"/>
            <w:vAlign w:val="bottom"/>
          </w:tcPr>
          <w:p>
            <w:pPr>
              <w:spacing w:after="0"/>
              <w:rPr>
                <w:sz w:val="15"/>
                <w:szCs w:val="15"/>
                <w:color w:val="auto"/>
              </w:rPr>
            </w:pPr>
          </w:p>
        </w:tc>
        <w:tc>
          <w:tcPr>
            <w:tcW w:w="620" w:type="dxa"/>
            <w:vAlign w:val="bottom"/>
            <w:gridSpan w:val="2"/>
          </w:tcPr>
          <w:p>
            <w:pPr>
              <w:spacing w:after="0"/>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180" w:type="dxa"/>
            <w:vAlign w:val="bottom"/>
            <w:tcBorders>
              <w:top w:val="single" w:sz="8" w:color="auto"/>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Assets</w:t>
            </w:r>
          </w:p>
        </w:tc>
        <w:tc>
          <w:tcPr>
            <w:tcW w:w="2920" w:type="dxa"/>
            <w:vAlign w:val="bottom"/>
            <w:tcBorders>
              <w:top w:val="single" w:sz="8" w:color="CCEEFF"/>
            </w:tcBorders>
            <w:shd w:val="clear" w:color="auto" w:fill="CCEEFF"/>
          </w:tcPr>
          <w:p>
            <w:pPr>
              <w:spacing w:after="0"/>
              <w:rPr>
                <w:sz w:val="16"/>
                <w:szCs w:val="16"/>
                <w:color w:val="auto"/>
              </w:rPr>
            </w:pPr>
          </w:p>
        </w:tc>
        <w:tc>
          <w:tcPr>
            <w:tcW w:w="26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3"/>
          </w:tcPr>
          <w:p>
            <w:pPr>
              <w:ind w:left="420"/>
              <w:spacing w:after="0"/>
              <w:rPr>
                <w:sz w:val="20"/>
                <w:szCs w:val="20"/>
                <w:color w:val="auto"/>
              </w:rPr>
            </w:pPr>
            <w:r>
              <w:rPr>
                <w:rFonts w:ascii="Arial" w:cs="Arial" w:eastAsia="Arial" w:hAnsi="Arial"/>
                <w:sz w:val="18"/>
                <w:szCs w:val="18"/>
                <w:color w:val="auto"/>
              </w:rPr>
              <w:t>Securities available for sale:</w:t>
            </w: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State and political subdivisions</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28,878</w:t>
            </w:r>
          </w:p>
        </w:tc>
        <w:tc>
          <w:tcPr>
            <w:tcW w:w="4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6"/>
              </w:rPr>
              <w:t>$ —</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3"/>
          </w:tcPr>
          <w:p>
            <w:pPr>
              <w:ind w:left="860"/>
              <w:spacing w:after="0"/>
              <w:rPr>
                <w:sz w:val="20"/>
                <w:szCs w:val="20"/>
                <w:color w:val="auto"/>
              </w:rPr>
            </w:pPr>
            <w:r>
              <w:rPr>
                <w:rFonts w:ascii="Arial" w:cs="Arial" w:eastAsia="Arial" w:hAnsi="Arial"/>
                <w:sz w:val="18"/>
                <w:szCs w:val="18"/>
                <w:color w:val="auto"/>
              </w:rPr>
              <w:t>Mortgage-backed securities</w:t>
            </w: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1,382,940</w:t>
            </w:r>
          </w:p>
        </w:tc>
        <w:tc>
          <w:tcPr>
            <w:tcW w:w="400" w:type="dxa"/>
            <w:vAlign w:val="bottom"/>
          </w:tcPr>
          <w:p>
            <w:pPr>
              <w:spacing w:after="0"/>
              <w:rPr>
                <w:sz w:val="18"/>
                <w:szCs w:val="18"/>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1,382,940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Corporate bonds</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142,802</w:t>
            </w: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350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143,152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3"/>
          </w:tcPr>
          <w:p>
            <w:pPr>
              <w:ind w:left="860"/>
              <w:spacing w:after="0"/>
              <w:rPr>
                <w:sz w:val="20"/>
                <w:szCs w:val="20"/>
                <w:color w:val="auto"/>
              </w:rPr>
            </w:pPr>
            <w:r>
              <w:rPr>
                <w:rFonts w:ascii="Arial" w:cs="Arial" w:eastAsia="Arial" w:hAnsi="Arial"/>
                <w:sz w:val="18"/>
                <w:szCs w:val="18"/>
                <w:color w:val="auto"/>
              </w:rPr>
              <w:t>Asset-backed securities</w:t>
            </w: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204,429</w:t>
            </w:r>
          </w:p>
        </w:tc>
        <w:tc>
          <w:tcPr>
            <w:tcW w:w="400" w:type="dxa"/>
            <w:vAlign w:val="bottom"/>
          </w:tcPr>
          <w:p>
            <w:pPr>
              <w:spacing w:after="0"/>
              <w:rPr>
                <w:sz w:val="18"/>
                <w:szCs w:val="18"/>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204,429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Other</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2,595</w:t>
            </w:r>
          </w:p>
        </w:tc>
        <w:tc>
          <w:tcPr>
            <w:tcW w:w="4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3"/>
          </w:tcPr>
          <w:p>
            <w:pPr>
              <w:ind w:left="420"/>
              <w:spacing w:after="0"/>
              <w:rPr>
                <w:sz w:val="20"/>
                <w:szCs w:val="20"/>
                <w:color w:val="auto"/>
              </w:rPr>
            </w:pPr>
            <w:r>
              <w:rPr>
                <w:rFonts w:ascii="Arial" w:cs="Arial" w:eastAsia="Arial" w:hAnsi="Arial"/>
                <w:sz w:val="18"/>
                <w:szCs w:val="18"/>
                <w:color w:val="auto"/>
              </w:rPr>
              <w:t>Deferred compensation plan assets</w:t>
            </w: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3,072</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Derivative financial instruments</w:t>
            </w:r>
          </w:p>
        </w:tc>
        <w:tc>
          <w:tcPr>
            <w:tcW w:w="2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4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20" w:type="dxa"/>
            <w:vAlign w:val="bottom"/>
            <w:gridSpan w:val="4"/>
          </w:tcPr>
          <w:p>
            <w:pPr>
              <w:spacing w:after="0"/>
              <w:rPr>
                <w:sz w:val="20"/>
                <w:szCs w:val="20"/>
                <w:color w:val="auto"/>
              </w:rPr>
            </w:pPr>
            <w:r>
              <w:rPr>
                <w:rFonts w:ascii="Arial" w:cs="Arial" w:eastAsia="Arial" w:hAnsi="Arial"/>
                <w:sz w:val="18"/>
                <w:szCs w:val="18"/>
                <w:color w:val="auto"/>
              </w:rPr>
              <w:t>Total</w:t>
            </w:r>
          </w:p>
        </w:tc>
        <w:tc>
          <w:tcPr>
            <w:tcW w:w="310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3,072</w:t>
            </w:r>
          </w:p>
        </w:tc>
        <w:tc>
          <w:tcPr>
            <w:tcW w:w="4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1,762,422</w:t>
            </w: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$ 350</w:t>
            </w:r>
          </w:p>
        </w:tc>
        <w:tc>
          <w:tcPr>
            <w:tcW w:w="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1,765,844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3"/>
          </w:tcPr>
          <w:p>
            <w:pPr>
              <w:ind w:left="420"/>
              <w:spacing w:after="0"/>
              <w:rPr>
                <w:sz w:val="20"/>
                <w:szCs w:val="20"/>
                <w:color w:val="auto"/>
              </w:rPr>
            </w:pPr>
            <w:r>
              <w:rPr>
                <w:rFonts w:ascii="Arial" w:cs="Arial" w:eastAsia="Arial" w:hAnsi="Arial"/>
                <w:sz w:val="18"/>
                <w:szCs w:val="18"/>
                <w:color w:val="auto"/>
              </w:rPr>
              <w:t>Deferred compensation plan liability</w:t>
            </w:r>
          </w:p>
        </w:tc>
        <w:tc>
          <w:tcPr>
            <w:tcW w:w="3100" w:type="dxa"/>
            <w:vAlign w:val="bottom"/>
            <w:gridSpan w:val="3"/>
          </w:tcPr>
          <w:p>
            <w:pPr>
              <w:jc w:val="right"/>
              <w:spacing w:after="0"/>
              <w:rPr>
                <w:sz w:val="20"/>
                <w:szCs w:val="20"/>
                <w:color w:val="auto"/>
              </w:rPr>
            </w:pPr>
            <w:r>
              <w:rPr>
                <w:rFonts w:ascii="Arial" w:cs="Arial" w:eastAsia="Arial" w:hAnsi="Arial"/>
                <w:sz w:val="18"/>
                <w:szCs w:val="18"/>
                <w:color w:val="auto"/>
              </w:rPr>
              <w:t>$3,072</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w w:val="96"/>
              </w:rPr>
              <w:t>$ —</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3,072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Brokered certificates of deposit</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122,211</w:t>
            </w:r>
          </w:p>
        </w:tc>
        <w:tc>
          <w:tcPr>
            <w:tcW w:w="4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gridSpan w:val="3"/>
          </w:tcPr>
          <w:p>
            <w:pPr>
              <w:ind w:left="420"/>
              <w:spacing w:after="0"/>
              <w:rPr>
                <w:sz w:val="20"/>
                <w:szCs w:val="20"/>
                <w:color w:val="auto"/>
              </w:rPr>
            </w:pPr>
            <w:r>
              <w:rPr>
                <w:rFonts w:ascii="Arial" w:cs="Arial" w:eastAsia="Arial" w:hAnsi="Arial"/>
                <w:sz w:val="18"/>
                <w:szCs w:val="18"/>
                <w:color w:val="auto"/>
              </w:rPr>
              <w:t>Derivative financial instruments</w:t>
            </w:r>
          </w:p>
        </w:tc>
        <w:tc>
          <w:tcPr>
            <w:tcW w:w="2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10,363</w:t>
            </w:r>
          </w:p>
        </w:tc>
        <w:tc>
          <w:tcPr>
            <w:tcW w:w="40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310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3,072</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132,574</w:t>
            </w:r>
          </w:p>
        </w:tc>
        <w:tc>
          <w:tcPr>
            <w:tcW w:w="4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6"/>
              </w:rPr>
              <w:t>$ —</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135,646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December 31, 2011</w:t>
            </w:r>
          </w:p>
        </w:tc>
        <w:tc>
          <w:tcPr>
            <w:tcW w:w="26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4120" w:type="dxa"/>
            <w:vAlign w:val="bottom"/>
            <w:gridSpan w:val="4"/>
            <w:vMerge w:val="continue"/>
          </w:tcPr>
          <w:p>
            <w:pPr>
              <w:spacing w:after="0"/>
              <w:rPr>
                <w:sz w:val="24"/>
                <w:szCs w:val="24"/>
                <w:color w:val="auto"/>
              </w:rPr>
            </w:pPr>
          </w:p>
        </w:tc>
        <w:tc>
          <w:tcPr>
            <w:tcW w:w="260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Level 1</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jc w:val="right"/>
              <w:ind w:right="94"/>
              <w:spacing w:after="0"/>
              <w:rPr>
                <w:sz w:val="20"/>
                <w:szCs w:val="20"/>
                <w:color w:val="auto"/>
              </w:rPr>
            </w:pPr>
            <w:r>
              <w:rPr>
                <w:rFonts w:ascii="Arial" w:cs="Arial" w:eastAsia="Arial" w:hAnsi="Arial"/>
                <w:sz w:val="14"/>
                <w:szCs w:val="14"/>
                <w:b w:val="1"/>
                <w:bCs w:val="1"/>
                <w:color w:val="auto"/>
              </w:rPr>
              <w:t>Level 2</w:t>
            </w:r>
          </w:p>
        </w:tc>
        <w:tc>
          <w:tcPr>
            <w:tcW w:w="400" w:type="dxa"/>
            <w:vAlign w:val="bottom"/>
          </w:tcPr>
          <w:p>
            <w:pPr>
              <w:spacing w:after="0"/>
              <w:rPr>
                <w:sz w:val="24"/>
                <w:szCs w:val="24"/>
                <w:color w:val="auto"/>
              </w:rPr>
            </w:pPr>
          </w:p>
        </w:tc>
        <w:tc>
          <w:tcPr>
            <w:tcW w:w="620" w:type="dxa"/>
            <w:vAlign w:val="bottom"/>
            <w:gridSpan w:val="2"/>
          </w:tcPr>
          <w:p>
            <w:pPr>
              <w:spacing w:after="0"/>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14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Assets</w:t>
            </w:r>
          </w:p>
        </w:tc>
        <w:tc>
          <w:tcPr>
            <w:tcW w:w="2960" w:type="dxa"/>
            <w:vAlign w:val="bottom"/>
            <w:tcBorders>
              <w:top w:val="single" w:sz="8" w:color="CCEEFF"/>
            </w:tcBorders>
            <w:gridSpan w:val="2"/>
            <w:shd w:val="clear" w:color="auto" w:fill="CCEEFF"/>
          </w:tcPr>
          <w:p>
            <w:pPr>
              <w:spacing w:after="0"/>
              <w:rPr>
                <w:sz w:val="16"/>
                <w:szCs w:val="16"/>
                <w:color w:val="auto"/>
              </w:rPr>
            </w:pPr>
          </w:p>
        </w:tc>
        <w:tc>
          <w:tcPr>
            <w:tcW w:w="26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3"/>
          </w:tcPr>
          <w:p>
            <w:pPr>
              <w:ind w:left="420"/>
              <w:spacing w:after="0"/>
              <w:rPr>
                <w:sz w:val="20"/>
                <w:szCs w:val="20"/>
                <w:color w:val="auto"/>
              </w:rPr>
            </w:pPr>
            <w:r>
              <w:rPr>
                <w:rFonts w:ascii="Arial" w:cs="Arial" w:eastAsia="Arial" w:hAnsi="Arial"/>
                <w:sz w:val="18"/>
                <w:szCs w:val="18"/>
                <w:color w:val="auto"/>
              </w:rPr>
              <w:t>Securities available for sale:</w:t>
            </w: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U.S. Government agencies</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43,750</w:t>
            </w:r>
          </w:p>
        </w:tc>
        <w:tc>
          <w:tcPr>
            <w:tcW w:w="4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6"/>
              </w:rPr>
              <w:t>$ —</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3"/>
          </w:tcPr>
          <w:p>
            <w:pPr>
              <w:ind w:left="860"/>
              <w:spacing w:after="0"/>
              <w:rPr>
                <w:sz w:val="20"/>
                <w:szCs w:val="20"/>
                <w:color w:val="auto"/>
              </w:rPr>
            </w:pPr>
            <w:r>
              <w:rPr>
                <w:rFonts w:ascii="Arial" w:cs="Arial" w:eastAsia="Arial" w:hAnsi="Arial"/>
                <w:sz w:val="18"/>
                <w:szCs w:val="18"/>
                <w:color w:val="auto"/>
              </w:rPr>
              <w:t>State and political subdivisions</w:t>
            </w: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26,339</w:t>
            </w:r>
          </w:p>
        </w:tc>
        <w:tc>
          <w:tcPr>
            <w:tcW w:w="400" w:type="dxa"/>
            <w:vAlign w:val="bottom"/>
          </w:tcPr>
          <w:p>
            <w:pPr>
              <w:spacing w:after="0"/>
              <w:rPr>
                <w:sz w:val="18"/>
                <w:szCs w:val="18"/>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26,339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Mortgage-backed securities</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1,609,909</w:t>
            </w:r>
          </w:p>
        </w:tc>
        <w:tc>
          <w:tcPr>
            <w:tcW w:w="4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1,609,909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3"/>
          </w:tcPr>
          <w:p>
            <w:pPr>
              <w:ind w:left="860"/>
              <w:spacing w:after="0"/>
              <w:rPr>
                <w:sz w:val="20"/>
                <w:szCs w:val="20"/>
                <w:color w:val="auto"/>
              </w:rPr>
            </w:pPr>
            <w:r>
              <w:rPr>
                <w:rFonts w:ascii="Arial" w:cs="Arial" w:eastAsia="Arial" w:hAnsi="Arial"/>
                <w:sz w:val="18"/>
                <w:szCs w:val="18"/>
                <w:color w:val="auto"/>
              </w:rPr>
              <w:t>Corporate bonds</w:t>
            </w: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107,328</w:t>
            </w: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350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107,678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Other</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2,371</w:t>
            </w:r>
          </w:p>
        </w:tc>
        <w:tc>
          <w:tcPr>
            <w:tcW w:w="4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gridSpan w:val="3"/>
          </w:tcPr>
          <w:p>
            <w:pPr>
              <w:ind w:left="420"/>
              <w:spacing w:after="0"/>
              <w:rPr>
                <w:sz w:val="20"/>
                <w:szCs w:val="20"/>
                <w:color w:val="auto"/>
              </w:rPr>
            </w:pPr>
            <w:r>
              <w:rPr>
                <w:rFonts w:ascii="Arial" w:cs="Arial" w:eastAsia="Arial" w:hAnsi="Arial"/>
                <w:sz w:val="18"/>
                <w:szCs w:val="18"/>
                <w:color w:val="auto"/>
              </w:rPr>
              <w:t>Deferred compensation plan assets</w:t>
            </w:r>
          </w:p>
        </w:tc>
        <w:tc>
          <w:tcPr>
            <w:tcW w:w="2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2,859</w:t>
            </w:r>
          </w:p>
        </w:tc>
        <w:tc>
          <w:tcPr>
            <w:tcW w:w="4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310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2,859</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1,789,697</w:t>
            </w: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$ 350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1,792,906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2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Liabilities</w:t>
            </w:r>
          </w:p>
        </w:tc>
        <w:tc>
          <w:tcPr>
            <w:tcW w:w="2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120" w:type="dxa"/>
            <w:vAlign w:val="bottom"/>
            <w:gridSpan w:val="4"/>
            <w:vMerge w:val="continue"/>
          </w:tcPr>
          <w:p>
            <w:pPr>
              <w:spacing w:after="0"/>
              <w:rPr>
                <w:sz w:val="18"/>
                <w:szCs w:val="18"/>
                <w:color w:val="auto"/>
              </w:rPr>
            </w:pP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Deferred compensation plan liability</w:t>
            </w:r>
          </w:p>
        </w:tc>
        <w:tc>
          <w:tcPr>
            <w:tcW w:w="3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$2,859</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6"/>
              </w:rPr>
              <w:t>$ —</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3"/>
          </w:tcPr>
          <w:p>
            <w:pPr>
              <w:ind w:left="420"/>
              <w:spacing w:after="0"/>
              <w:rPr>
                <w:sz w:val="20"/>
                <w:szCs w:val="20"/>
                <w:color w:val="auto"/>
              </w:rPr>
            </w:pPr>
            <w:r>
              <w:rPr>
                <w:rFonts w:ascii="Arial" w:cs="Arial" w:eastAsia="Arial" w:hAnsi="Arial"/>
                <w:sz w:val="18"/>
                <w:szCs w:val="18"/>
                <w:color w:val="auto"/>
              </w:rPr>
              <w:t>Brokered certificates of deposit</w:t>
            </w: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13,107</w:t>
            </w:r>
          </w:p>
        </w:tc>
        <w:tc>
          <w:tcPr>
            <w:tcW w:w="400" w:type="dxa"/>
            <w:vAlign w:val="bottom"/>
          </w:tcPr>
          <w:p>
            <w:pPr>
              <w:spacing w:after="0"/>
              <w:rPr>
                <w:sz w:val="18"/>
                <w:szCs w:val="18"/>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13,107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Derivative financial instruments</w:t>
            </w:r>
          </w:p>
        </w:tc>
        <w:tc>
          <w:tcPr>
            <w:tcW w:w="2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4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120" w:type="dxa"/>
            <w:vAlign w:val="bottom"/>
            <w:gridSpan w:val="4"/>
          </w:tcPr>
          <w:p>
            <w:pPr>
              <w:spacing w:after="0"/>
              <w:rPr>
                <w:sz w:val="20"/>
                <w:szCs w:val="20"/>
                <w:color w:val="auto"/>
              </w:rPr>
            </w:pPr>
            <w:r>
              <w:rPr>
                <w:rFonts w:ascii="Arial" w:cs="Arial" w:eastAsia="Arial" w:hAnsi="Arial"/>
                <w:sz w:val="18"/>
                <w:szCs w:val="18"/>
                <w:color w:val="auto"/>
              </w:rPr>
              <w:t>Total liabilities</w:t>
            </w:r>
          </w:p>
        </w:tc>
        <w:tc>
          <w:tcPr>
            <w:tcW w:w="310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2,859</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13,529</w:t>
            </w:r>
          </w:p>
        </w:tc>
        <w:tc>
          <w:tcPr>
            <w:tcW w:w="400" w:type="dxa"/>
            <w:vAlign w:val="bottom"/>
          </w:tcPr>
          <w:p>
            <w:pPr>
              <w:spacing w:after="0"/>
              <w:rPr>
                <w:sz w:val="19"/>
                <w:szCs w:val="19"/>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w w:val="96"/>
              </w:rPr>
              <w:t>$ —</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16,388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600" w:type="dxa"/>
            <w:vAlign w:val="bottom"/>
            <w:vMerge w:val="restart"/>
          </w:tcPr>
          <w:p>
            <w:pPr>
              <w:jc w:val="right"/>
              <w:ind w:right="1292"/>
              <w:spacing w:after="0"/>
              <w:rPr>
                <w:sz w:val="20"/>
                <w:szCs w:val="20"/>
                <w:color w:val="auto"/>
              </w:rPr>
            </w:pPr>
            <w:r>
              <w:rPr>
                <w:rFonts w:ascii="Arial" w:cs="Arial" w:eastAsia="Arial" w:hAnsi="Arial"/>
                <w:sz w:val="18"/>
                <w:szCs w:val="18"/>
                <w:color w:val="auto"/>
              </w:rPr>
              <w:t>27</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6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459" w:right="69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7"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6640" w:type="dxa"/>
            <w:vAlign w:val="bottom"/>
            <w:gridSpan w:val="3"/>
          </w:tcPr>
          <w:p>
            <w:pPr>
              <w:spacing w:after="0"/>
              <w:rPr>
                <w:sz w:val="20"/>
                <w:szCs w:val="20"/>
                <w:color w:val="auto"/>
              </w:rPr>
            </w:pPr>
            <w:r>
              <w:rPr>
                <w:rFonts w:ascii="Arial" w:cs="Arial" w:eastAsia="Arial" w:hAnsi="Arial"/>
                <w:sz w:val="14"/>
                <w:szCs w:val="14"/>
                <w:b w:val="1"/>
                <w:bCs w:val="1"/>
                <w:color w:val="auto"/>
              </w:rPr>
              <w:t>September 30, 2011</w:t>
            </w:r>
          </w:p>
        </w:tc>
        <w:tc>
          <w:tcPr>
            <w:tcW w:w="500" w:type="dxa"/>
            <w:vAlign w:val="bottom"/>
            <w:gridSpan w:val="2"/>
          </w:tcPr>
          <w:p>
            <w:pPr>
              <w:ind w:left="40"/>
              <w:spacing w:after="0"/>
              <w:rPr>
                <w:sz w:val="20"/>
                <w:szCs w:val="20"/>
                <w:color w:val="auto"/>
              </w:rPr>
            </w:pPr>
            <w:r>
              <w:rPr>
                <w:rFonts w:ascii="Arial" w:cs="Arial" w:eastAsia="Arial" w:hAnsi="Arial"/>
                <w:sz w:val="14"/>
                <w:szCs w:val="14"/>
                <w:b w:val="1"/>
                <w:bCs w:val="1"/>
                <w:color w:val="auto"/>
                <w:w w:val="92"/>
              </w:rPr>
              <w:t>Level 1</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ind w:right="94"/>
              <w:spacing w:after="0"/>
              <w:rPr>
                <w:sz w:val="20"/>
                <w:szCs w:val="20"/>
                <w:color w:val="auto"/>
              </w:rPr>
            </w:pPr>
            <w:r>
              <w:rPr>
                <w:rFonts w:ascii="Arial" w:cs="Arial" w:eastAsia="Arial" w:hAnsi="Arial"/>
                <w:sz w:val="14"/>
                <w:szCs w:val="14"/>
                <w:b w:val="1"/>
                <w:bCs w:val="1"/>
                <w:color w:val="auto"/>
              </w:rPr>
              <w:t>Level 2</w:t>
            </w:r>
          </w:p>
        </w:tc>
        <w:tc>
          <w:tcPr>
            <w:tcW w:w="400" w:type="dxa"/>
            <w:vAlign w:val="bottom"/>
          </w:tcPr>
          <w:p>
            <w:pPr>
              <w:spacing w:after="0"/>
              <w:rPr>
                <w:sz w:val="15"/>
                <w:szCs w:val="15"/>
                <w:color w:val="auto"/>
              </w:rPr>
            </w:pPr>
          </w:p>
        </w:tc>
        <w:tc>
          <w:tcPr>
            <w:tcW w:w="700" w:type="dxa"/>
            <w:vAlign w:val="bottom"/>
            <w:gridSpan w:val="3"/>
          </w:tcPr>
          <w:p>
            <w:pPr>
              <w:ind w:left="40"/>
              <w:spacing w:after="0"/>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18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Assets</w:t>
            </w:r>
          </w:p>
        </w:tc>
        <w:tc>
          <w:tcPr>
            <w:tcW w:w="54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420"/>
              <w:spacing w:after="0"/>
              <w:rPr>
                <w:sz w:val="20"/>
                <w:szCs w:val="20"/>
                <w:color w:val="auto"/>
              </w:rPr>
            </w:pPr>
            <w:r>
              <w:rPr>
                <w:rFonts w:ascii="Arial" w:cs="Arial" w:eastAsia="Arial" w:hAnsi="Arial"/>
                <w:sz w:val="18"/>
                <w:szCs w:val="18"/>
                <w:color w:val="auto"/>
              </w:rPr>
              <w:t>Securities available for sale:</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U.S. Government agencies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33,706</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860"/>
              <w:spacing w:after="0"/>
              <w:rPr>
                <w:sz w:val="20"/>
                <w:szCs w:val="20"/>
                <w:color w:val="auto"/>
              </w:rPr>
            </w:pPr>
            <w:r>
              <w:rPr>
                <w:rFonts w:ascii="Arial" w:cs="Arial" w:eastAsia="Arial" w:hAnsi="Arial"/>
                <w:sz w:val="18"/>
                <w:szCs w:val="18"/>
                <w:color w:val="auto"/>
              </w:rPr>
              <w:t>State and political subdivisions</w:t>
            </w:r>
          </w:p>
        </w:tc>
        <w:tc>
          <w:tcPr>
            <w:tcW w:w="100" w:type="dxa"/>
            <w:vAlign w:val="bottom"/>
          </w:tcPr>
          <w:p>
            <w:pPr>
              <w:spacing w:after="0"/>
              <w:rPr>
                <w:sz w:val="18"/>
                <w:szCs w:val="18"/>
                <w:color w:val="auto"/>
              </w:rPr>
            </w:pPr>
          </w:p>
        </w:tc>
        <w:tc>
          <w:tcPr>
            <w:tcW w:w="4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26,831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26,831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Mortgage-backed securities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1,591,604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3,796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1,595,400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860"/>
              <w:spacing w:after="0"/>
              <w:rPr>
                <w:sz w:val="20"/>
                <w:szCs w:val="20"/>
                <w:color w:val="auto"/>
              </w:rPr>
            </w:pPr>
            <w:r>
              <w:rPr>
                <w:rFonts w:ascii="Arial" w:cs="Arial" w:eastAsia="Arial" w:hAnsi="Arial"/>
                <w:sz w:val="18"/>
                <w:szCs w:val="18"/>
                <w:color w:val="auto"/>
              </w:rPr>
              <w:t>Corporate bonds</w:t>
            </w:r>
          </w:p>
        </w:tc>
        <w:tc>
          <w:tcPr>
            <w:tcW w:w="100" w:type="dxa"/>
            <w:vAlign w:val="bottom"/>
          </w:tcPr>
          <w:p>
            <w:pPr>
              <w:spacing w:after="0"/>
              <w:rPr>
                <w:sz w:val="18"/>
                <w:szCs w:val="18"/>
                <w:color w:val="auto"/>
              </w:rPr>
            </w:pPr>
          </w:p>
        </w:tc>
        <w:tc>
          <w:tcPr>
            <w:tcW w:w="4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110,292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ind w:left="140"/>
              <w:spacing w:after="0"/>
              <w:rPr>
                <w:sz w:val="20"/>
                <w:szCs w:val="20"/>
                <w:color w:val="auto"/>
              </w:rPr>
            </w:pPr>
            <w:r>
              <w:rPr>
                <w:rFonts w:ascii="Arial" w:cs="Arial" w:eastAsia="Arial" w:hAnsi="Arial"/>
                <w:sz w:val="18"/>
                <w:szCs w:val="18"/>
                <w:color w:val="auto"/>
              </w:rPr>
              <w:t>350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110,642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gridSpan w:val="2"/>
          </w:tcPr>
          <w:p>
            <w:pPr>
              <w:ind w:left="420"/>
              <w:spacing w:after="0"/>
              <w:rPr>
                <w:sz w:val="20"/>
                <w:szCs w:val="20"/>
                <w:color w:val="auto"/>
              </w:rPr>
            </w:pPr>
            <w:r>
              <w:rPr>
                <w:rFonts w:ascii="Arial" w:cs="Arial" w:eastAsia="Arial" w:hAnsi="Arial"/>
                <w:sz w:val="18"/>
                <w:szCs w:val="18"/>
                <w:color w:val="auto"/>
              </w:rPr>
              <w:t>Deferred compensation plan assets</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2,659</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2,659</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1,764,937</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4,146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1,771,742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4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Deferred compensation plan liability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2,659</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gridSpan w:val="3"/>
            <w:vMerge w:val="restart"/>
          </w:tcPr>
          <w:p>
            <w:pPr>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640" w:type="dxa"/>
            <w:vAlign w:val="bottom"/>
            <w:gridSpan w:val="3"/>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Pr>
          <w:p>
            <w:pPr>
              <w:jc w:val="center"/>
              <w:spacing w:after="0"/>
              <w:rPr>
                <w:sz w:val="20"/>
                <w:szCs w:val="20"/>
                <w:color w:val="auto"/>
              </w:rPr>
            </w:pPr>
            <w:r>
              <w:rPr>
                <w:rFonts w:ascii="Arial" w:cs="Arial" w:eastAsia="Arial" w:hAnsi="Arial"/>
                <w:sz w:val="18"/>
                <w:szCs w:val="18"/>
                <w:color w:val="auto"/>
                <w:w w:val="88"/>
              </w:rPr>
              <w:t>2,659</w:t>
            </w:r>
          </w:p>
        </w:tc>
        <w:tc>
          <w:tcPr>
            <w:tcW w:w="3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2,659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800"/>
        <w:spacing w:after="0" w:line="268" w:lineRule="auto"/>
        <w:rPr>
          <w:sz w:val="20"/>
          <w:szCs w:val="20"/>
          <w:color w:val="auto"/>
        </w:rPr>
      </w:pPr>
      <w:r>
        <w:rPr>
          <w:rFonts w:ascii="Arial" w:cs="Arial" w:eastAsia="Arial" w:hAnsi="Arial"/>
          <w:sz w:val="18"/>
          <w:szCs w:val="18"/>
          <w:color w:val="auto"/>
        </w:rPr>
        <w:t xml:space="preserve">The following table shows a reconciliation of the beginning and ending balances for assets measured at fair value on a recurring basis using significant unobservable inputs that are classified as Level 3 values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gridSpan w:val="6"/>
          </w:tcPr>
          <w:p>
            <w:pPr>
              <w:jc w:val="center"/>
              <w:ind w:right="420"/>
              <w:spacing w:after="0"/>
              <w:rPr>
                <w:sz w:val="20"/>
                <w:szCs w:val="20"/>
                <w:color w:val="auto"/>
              </w:rPr>
            </w:pPr>
            <w:r>
              <w:rPr>
                <w:rFonts w:ascii="Arial" w:cs="Arial" w:eastAsia="Arial" w:hAnsi="Arial"/>
                <w:sz w:val="14"/>
                <w:szCs w:val="14"/>
                <w:b w:val="1"/>
                <w:bCs w:val="1"/>
                <w:color w:val="auto"/>
                <w:w w:val="85"/>
              </w:rPr>
              <w:t>Securities Available for Sale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5"/>
              </w:rPr>
              <w:t>Securities Available for Sale</w:t>
            </w:r>
          </w:p>
        </w:tc>
        <w:tc>
          <w:tcPr>
            <w:tcW w:w="0" w:type="dxa"/>
            <w:vAlign w:val="bottom"/>
          </w:tcPr>
          <w:p>
            <w:pPr>
              <w:spacing w:after="0"/>
              <w:rPr>
                <w:sz w:val="1"/>
                <w:szCs w:val="1"/>
                <w:color w:val="auto"/>
              </w:rPr>
            </w:pPr>
          </w:p>
        </w:tc>
      </w:tr>
      <w:tr>
        <w:trPr>
          <w:trHeight w:val="129"/>
        </w:trPr>
        <w:tc>
          <w:tcPr>
            <w:tcW w:w="6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800" w:type="dxa"/>
            <w:vAlign w:val="bottom"/>
            <w:tcBorders>
              <w:top w:val="single" w:sz="8" w:color="auto"/>
            </w:tcBorders>
            <w:gridSpan w:val="5"/>
          </w:tcPr>
          <w:p>
            <w:pPr>
              <w:jc w:val="center"/>
              <w:ind w:right="36"/>
              <w:spacing w:after="0" w:line="129" w:lineRule="exact"/>
              <w:rPr>
                <w:sz w:val="20"/>
                <w:szCs w:val="20"/>
                <w:color w:val="auto"/>
              </w:rPr>
            </w:pPr>
            <w:r>
              <w:rPr>
                <w:rFonts w:ascii="Arial" w:cs="Arial" w:eastAsia="Arial" w:hAnsi="Arial"/>
                <w:sz w:val="14"/>
                <w:szCs w:val="14"/>
                <w:b w:val="1"/>
                <w:bCs w:val="1"/>
                <w:color w:val="auto"/>
                <w:w w:val="89"/>
              </w:rPr>
              <w:t>Three Months Ended</w:t>
            </w: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840" w:type="dxa"/>
            <w:vAlign w:val="bottom"/>
            <w:tcBorders>
              <w:top w:val="single" w:sz="8" w:color="auto"/>
            </w:tcBorders>
            <w:gridSpan w:val="4"/>
          </w:tcPr>
          <w:p>
            <w:pPr>
              <w:jc w:val="center"/>
              <w:ind w:right="36"/>
              <w:spacing w:after="0" w:line="129" w:lineRule="exact"/>
              <w:rPr>
                <w:sz w:val="20"/>
                <w:szCs w:val="20"/>
                <w:color w:val="auto"/>
              </w:rPr>
            </w:pPr>
            <w:r>
              <w:rPr>
                <w:rFonts w:ascii="Arial" w:cs="Arial" w:eastAsia="Arial" w:hAnsi="Arial"/>
                <w:sz w:val="14"/>
                <w:szCs w:val="14"/>
                <w:b w:val="1"/>
                <w:bCs w:val="1"/>
                <w:color w:val="auto"/>
                <w:w w:val="88"/>
              </w:rPr>
              <w:t>Nine Months Ended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3"/>
              </w:rPr>
              <w:t>September 30,</w:t>
            </w: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20" w:type="dxa"/>
            <w:vAlign w:val="bottom"/>
            <w:gridSpan w:val="4"/>
          </w:tcPr>
          <w:p>
            <w:pPr>
              <w:jc w:val="center"/>
              <w:ind w:right="62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60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w w:val="83"/>
              </w:rPr>
              <w:t>2011</w:t>
            </w:r>
          </w:p>
        </w:tc>
        <w:tc>
          <w:tcPr>
            <w:tcW w:w="30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2012</w:t>
            </w:r>
          </w:p>
        </w:tc>
        <w:tc>
          <w:tcPr>
            <w:tcW w:w="5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at beginning of period</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6"/>
              </w:rPr>
              <w:t>350</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4,479</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350</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tcPr>
          <w:p>
            <w:pPr>
              <w:ind w:left="440"/>
              <w:spacing w:after="0"/>
              <w:rPr>
                <w:sz w:val="20"/>
                <w:szCs w:val="20"/>
                <w:color w:val="auto"/>
              </w:rPr>
            </w:pPr>
            <w:r>
              <w:rPr>
                <w:rFonts w:ascii="Arial" w:cs="Arial" w:eastAsia="Arial" w:hAnsi="Arial"/>
                <w:sz w:val="18"/>
                <w:szCs w:val="18"/>
                <w:color w:val="auto"/>
              </w:rPr>
              <w:t>Amounts included in earnings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Paydowns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(1,120)</w:t>
            </w:r>
          </w:p>
        </w:tc>
        <w:tc>
          <w:tcPr>
            <w:tcW w:w="0" w:type="dxa"/>
            <w:vAlign w:val="bottom"/>
          </w:tcPr>
          <w:p>
            <w:pPr>
              <w:spacing w:after="0"/>
              <w:rPr>
                <w:sz w:val="1"/>
                <w:szCs w:val="1"/>
                <w:color w:val="auto"/>
              </w:rPr>
            </w:pPr>
          </w:p>
        </w:tc>
      </w:tr>
      <w:tr>
        <w:trPr>
          <w:trHeight w:val="20"/>
        </w:trPr>
        <w:tc>
          <w:tcPr>
            <w:tcW w:w="6020" w:type="dxa"/>
            <w:vAlign w:val="bottom"/>
            <w:vMerge w:val="restart"/>
          </w:tcPr>
          <w:p>
            <w:pPr>
              <w:spacing w:after="0"/>
              <w:rPr>
                <w:sz w:val="20"/>
                <w:szCs w:val="20"/>
                <w:color w:val="auto"/>
              </w:rPr>
            </w:pPr>
            <w:r>
              <w:rPr>
                <w:rFonts w:ascii="Arial" w:cs="Arial" w:eastAsia="Arial" w:hAnsi="Arial"/>
                <w:sz w:val="18"/>
                <w:szCs w:val="18"/>
                <w:color w:val="auto"/>
              </w:rPr>
              <w:t>Balance at end of period</w:t>
            </w: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020" w:type="dxa"/>
            <w:vAlign w:val="bottom"/>
            <w:vMerge w:val="continue"/>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gridSpan w:val="2"/>
          </w:tcPr>
          <w:p>
            <w:pPr>
              <w:ind w:left="160"/>
              <w:spacing w:after="0"/>
              <w:rPr>
                <w:sz w:val="20"/>
                <w:szCs w:val="20"/>
                <w:color w:val="auto"/>
              </w:rPr>
            </w:pPr>
            <w:r>
              <w:rPr>
                <w:rFonts w:ascii="Arial" w:cs="Arial" w:eastAsia="Arial" w:hAnsi="Arial"/>
                <w:sz w:val="18"/>
                <w:szCs w:val="18"/>
                <w:color w:val="auto"/>
                <w:w w:val="93"/>
              </w:rPr>
              <w:t>350</w:t>
            </w:r>
          </w:p>
        </w:tc>
        <w:tc>
          <w:tcPr>
            <w:tcW w:w="800" w:type="dxa"/>
            <w:vAlign w:val="bottom"/>
            <w:gridSpan w:val="2"/>
          </w:tcPr>
          <w:p>
            <w:pPr>
              <w:jc w:val="right"/>
              <w:ind w:right="103"/>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4,146</w:t>
            </w:r>
          </w:p>
        </w:tc>
        <w:tc>
          <w:tcPr>
            <w:tcW w:w="30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ind w:left="160"/>
              <w:spacing w:after="0"/>
              <w:rPr>
                <w:sz w:val="20"/>
                <w:szCs w:val="20"/>
                <w:color w:val="auto"/>
              </w:rPr>
            </w:pPr>
            <w:r>
              <w:rPr>
                <w:rFonts w:ascii="Arial" w:cs="Arial" w:eastAsia="Arial" w:hAnsi="Arial"/>
                <w:sz w:val="18"/>
                <w:szCs w:val="18"/>
                <w:color w:val="auto"/>
                <w:w w:val="79"/>
              </w:rPr>
              <w:t>350</w:t>
            </w:r>
          </w:p>
        </w:tc>
        <w:tc>
          <w:tcPr>
            <w:tcW w:w="740" w:type="dxa"/>
            <w:vAlign w:val="bottom"/>
            <w:gridSpan w:val="2"/>
          </w:tcPr>
          <w:p>
            <w:pPr>
              <w:jc w:val="right"/>
              <w:ind w:right="43"/>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4,146</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and Liabilities Measured at Fair Value on a Nonrecurring Basis</w:t>
      </w:r>
    </w:p>
    <w:p>
      <w:pPr>
        <w:spacing w:after="0" w:line="9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 xml:space="preserve">United may be required, from time to time, to measure certain assets at fair value on a nonrecurring basis. These include assets that are measured at the lower of cost or market that were recognized at fair value below cost at the end of the period. The table below presents United’s assets and liabilities measured at fair value on a nonrecurring basis as of September 30, 2012, December 31, 2011 and September 30, 2011, aggregated by the level in the fair value hierarchy within which those measurements fall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79"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1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September 30, 2012</w:t>
            </w:r>
          </w:p>
        </w:tc>
        <w:tc>
          <w:tcPr>
            <w:tcW w:w="236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w w:val="84"/>
              </w:rPr>
              <w:t>Level 1</w:t>
            </w:r>
          </w:p>
        </w:tc>
        <w:tc>
          <w:tcPr>
            <w:tcW w:w="4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w w:val="84"/>
              </w:rPr>
              <w:t>Level 2</w:t>
            </w:r>
          </w:p>
        </w:tc>
        <w:tc>
          <w:tcPr>
            <w:tcW w:w="380" w:type="dxa"/>
            <w:vAlign w:val="bottom"/>
          </w:tcPr>
          <w:p>
            <w:pPr>
              <w:spacing w:after="0"/>
              <w:rPr>
                <w:sz w:val="15"/>
                <w:szCs w:val="15"/>
                <w:color w:val="auto"/>
              </w:rPr>
            </w:pPr>
          </w:p>
        </w:tc>
        <w:tc>
          <w:tcPr>
            <w:tcW w:w="108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3</w:t>
            </w:r>
          </w:p>
        </w:tc>
        <w:tc>
          <w:tcPr>
            <w:tcW w:w="76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0"/>
        </w:trPr>
        <w:tc>
          <w:tcPr>
            <w:tcW w:w="356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Assets</w:t>
            </w:r>
          </w:p>
        </w:tc>
        <w:tc>
          <w:tcPr>
            <w:tcW w:w="348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ind w:left="440"/>
              <w:spacing w:after="0"/>
              <w:rPr>
                <w:sz w:val="20"/>
                <w:szCs w:val="20"/>
                <w:color w:val="auto"/>
              </w:rPr>
            </w:pPr>
            <w:r>
              <w:rPr>
                <w:rFonts w:ascii="Arial" w:cs="Arial" w:eastAsia="Arial" w:hAnsi="Arial"/>
                <w:sz w:val="18"/>
                <w:szCs w:val="18"/>
                <w:color w:val="auto"/>
              </w:rPr>
              <w:t>Loans</w:t>
            </w:r>
          </w:p>
        </w:tc>
        <w:tc>
          <w:tcPr>
            <w:tcW w:w="3900" w:type="dxa"/>
            <w:vAlign w:val="bottom"/>
            <w:gridSpan w:val="2"/>
          </w:tcPr>
          <w:p>
            <w:pPr>
              <w:jc w:val="right"/>
              <w:ind w:right="2"/>
              <w:spacing w:after="0"/>
              <w:rPr>
                <w:sz w:val="20"/>
                <w:szCs w:val="20"/>
                <w:color w:val="auto"/>
              </w:rPr>
            </w:pPr>
            <w:r>
              <w:rPr>
                <w:rFonts w:ascii="Arial" w:cs="Arial" w:eastAsia="Arial" w:hAnsi="Arial"/>
                <w:sz w:val="18"/>
                <w:szCs w:val="18"/>
                <w:color w:val="auto"/>
              </w:rPr>
              <w:t>$ —</w:t>
            </w:r>
          </w:p>
        </w:tc>
        <w:tc>
          <w:tcPr>
            <w:tcW w:w="400" w:type="dxa"/>
            <w:vAlign w:val="bottom"/>
          </w:tcPr>
          <w:p>
            <w:pPr>
              <w:spacing w:after="0"/>
              <w:rPr>
                <w:sz w:val="18"/>
                <w:szCs w:val="18"/>
                <w:color w:val="auto"/>
              </w:rPr>
            </w:pPr>
          </w:p>
        </w:tc>
        <w:tc>
          <w:tcPr>
            <w:tcW w:w="420" w:type="dxa"/>
            <w:vAlign w:val="bottom"/>
          </w:tcPr>
          <w:p>
            <w:pPr>
              <w:jc w:val="right"/>
              <w:ind w:right="17"/>
              <w:spacing w:after="0"/>
              <w:rPr>
                <w:sz w:val="20"/>
                <w:szCs w:val="20"/>
                <w:color w:val="auto"/>
              </w:rPr>
            </w:pPr>
            <w:r>
              <w:rPr>
                <w:rFonts w:ascii="Arial" w:cs="Arial" w:eastAsia="Arial" w:hAnsi="Arial"/>
                <w:sz w:val="18"/>
                <w:szCs w:val="18"/>
                <w:color w:val="auto"/>
                <w:w w:val="90"/>
              </w:rPr>
              <w:t>$ —</w:t>
            </w:r>
          </w:p>
        </w:tc>
        <w:tc>
          <w:tcPr>
            <w:tcW w:w="1460" w:type="dxa"/>
            <w:vAlign w:val="bottom"/>
            <w:gridSpan w:val="3"/>
          </w:tcPr>
          <w:p>
            <w:pPr>
              <w:jc w:val="right"/>
              <w:ind w:right="400"/>
              <w:spacing w:after="0"/>
              <w:rPr>
                <w:sz w:val="20"/>
                <w:szCs w:val="20"/>
                <w:color w:val="auto"/>
              </w:rPr>
            </w:pPr>
            <w:r>
              <w:rPr>
                <w:rFonts w:ascii="Arial" w:cs="Arial" w:eastAsia="Arial" w:hAnsi="Arial"/>
                <w:sz w:val="18"/>
                <w:szCs w:val="18"/>
                <w:color w:val="auto"/>
              </w:rPr>
              <w:t>$172,909</w:t>
            </w:r>
          </w:p>
        </w:tc>
        <w:tc>
          <w:tcPr>
            <w:tcW w:w="660" w:type="dxa"/>
            <w:vAlign w:val="bottom"/>
          </w:tcPr>
          <w:p>
            <w:pPr>
              <w:jc w:val="right"/>
              <w:spacing w:after="0"/>
              <w:rPr>
                <w:sz w:val="20"/>
                <w:szCs w:val="20"/>
                <w:color w:val="auto"/>
              </w:rPr>
            </w:pPr>
            <w:r>
              <w:rPr>
                <w:rFonts w:ascii="Arial" w:cs="Arial" w:eastAsia="Arial" w:hAnsi="Arial"/>
                <w:sz w:val="18"/>
                <w:szCs w:val="18"/>
                <w:color w:val="auto"/>
                <w:w w:val="85"/>
              </w:rPr>
              <w:t>$172,909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Foreclosed properties</w:t>
            </w:r>
          </w:p>
        </w:tc>
        <w:tc>
          <w:tcPr>
            <w:tcW w:w="34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20,369</w:t>
            </w:r>
          </w:p>
        </w:tc>
        <w:tc>
          <w:tcPr>
            <w:tcW w:w="40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560" w:type="dxa"/>
            <w:vAlign w:val="bottom"/>
            <w:gridSpan w:val="2"/>
          </w:tcPr>
          <w:p>
            <w:pPr>
              <w:spacing w:after="0"/>
              <w:rPr>
                <w:sz w:val="20"/>
                <w:szCs w:val="20"/>
                <w:color w:val="auto"/>
              </w:rPr>
            </w:pPr>
            <w:r>
              <w:rPr>
                <w:rFonts w:ascii="Arial" w:cs="Arial" w:eastAsia="Arial" w:hAnsi="Arial"/>
                <w:sz w:val="18"/>
                <w:szCs w:val="18"/>
                <w:color w:val="auto"/>
              </w:rPr>
              <w:t>Total</w:t>
            </w:r>
          </w:p>
        </w:tc>
        <w:tc>
          <w:tcPr>
            <w:tcW w:w="3900" w:type="dxa"/>
            <w:vAlign w:val="bottom"/>
            <w:gridSpan w:val="2"/>
          </w:tcPr>
          <w:p>
            <w:pPr>
              <w:jc w:val="right"/>
              <w:ind w:right="2"/>
              <w:spacing w:after="0"/>
              <w:rPr>
                <w:sz w:val="20"/>
                <w:szCs w:val="20"/>
                <w:color w:val="auto"/>
              </w:rPr>
            </w:pPr>
            <w:r>
              <w:rPr>
                <w:rFonts w:ascii="Arial" w:cs="Arial" w:eastAsia="Arial" w:hAnsi="Arial"/>
                <w:sz w:val="18"/>
                <w:szCs w:val="18"/>
                <w:color w:val="auto"/>
              </w:rPr>
              <w:t>$ —</w:t>
            </w:r>
          </w:p>
        </w:tc>
        <w:tc>
          <w:tcPr>
            <w:tcW w:w="400" w:type="dxa"/>
            <w:vAlign w:val="bottom"/>
          </w:tcPr>
          <w:p>
            <w:pPr>
              <w:spacing w:after="0"/>
              <w:rPr>
                <w:sz w:val="19"/>
                <w:szCs w:val="19"/>
                <w:color w:val="auto"/>
              </w:rPr>
            </w:pPr>
          </w:p>
        </w:tc>
        <w:tc>
          <w:tcPr>
            <w:tcW w:w="420" w:type="dxa"/>
            <w:vAlign w:val="bottom"/>
          </w:tcPr>
          <w:p>
            <w:pPr>
              <w:jc w:val="right"/>
              <w:ind w:right="17"/>
              <w:spacing w:after="0"/>
              <w:rPr>
                <w:sz w:val="20"/>
                <w:szCs w:val="20"/>
                <w:color w:val="auto"/>
              </w:rPr>
            </w:pPr>
            <w:r>
              <w:rPr>
                <w:rFonts w:ascii="Arial" w:cs="Arial" w:eastAsia="Arial" w:hAnsi="Arial"/>
                <w:sz w:val="18"/>
                <w:szCs w:val="18"/>
                <w:color w:val="auto"/>
                <w:w w:val="90"/>
              </w:rPr>
              <w:t>$ —</w:t>
            </w:r>
          </w:p>
        </w:tc>
        <w:tc>
          <w:tcPr>
            <w:tcW w:w="1460" w:type="dxa"/>
            <w:vAlign w:val="bottom"/>
            <w:gridSpan w:val="3"/>
          </w:tcPr>
          <w:p>
            <w:pPr>
              <w:jc w:val="right"/>
              <w:ind w:right="4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193,278</w:t>
            </w:r>
          </w:p>
        </w:tc>
        <w:tc>
          <w:tcPr>
            <w:tcW w:w="66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193,278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480" w:type="dxa"/>
            <w:vAlign w:val="bottom"/>
            <w:vMerge w:val="restart"/>
          </w:tcPr>
          <w:p>
            <w:pPr>
              <w:jc w:val="right"/>
              <w:ind w:right="1612"/>
              <w:spacing w:after="0"/>
              <w:rPr>
                <w:sz w:val="20"/>
                <w:szCs w:val="20"/>
                <w:color w:val="auto"/>
              </w:rPr>
            </w:pPr>
            <w:r>
              <w:rPr>
                <w:rFonts w:ascii="Arial" w:cs="Arial" w:eastAsia="Arial" w:hAnsi="Arial"/>
                <w:sz w:val="18"/>
                <w:szCs w:val="18"/>
                <w:color w:val="auto"/>
              </w:rPr>
              <w:t>28</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2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348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7"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1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December 31, 2011</w:t>
            </w:r>
          </w:p>
        </w:tc>
        <w:tc>
          <w:tcPr>
            <w:tcW w:w="5880" w:type="dxa"/>
            <w:vAlign w:val="bottom"/>
            <w:gridSpan w:val="2"/>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w w:val="84"/>
              </w:rPr>
              <w:t>Level 1</w:t>
            </w:r>
          </w:p>
        </w:tc>
        <w:tc>
          <w:tcPr>
            <w:tcW w:w="4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w w:val="84"/>
              </w:rPr>
              <w:t>Level 2</w:t>
            </w:r>
          </w:p>
        </w:tc>
        <w:tc>
          <w:tcPr>
            <w:tcW w:w="380" w:type="dxa"/>
            <w:vAlign w:val="bottom"/>
          </w:tcPr>
          <w:p>
            <w:pPr>
              <w:spacing w:after="0"/>
              <w:rPr>
                <w:sz w:val="15"/>
                <w:szCs w:val="15"/>
                <w:color w:val="auto"/>
              </w:rPr>
            </w:pPr>
          </w:p>
        </w:tc>
        <w:tc>
          <w:tcPr>
            <w:tcW w:w="108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3</w:t>
            </w:r>
          </w:p>
        </w:tc>
        <w:tc>
          <w:tcPr>
            <w:tcW w:w="76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0"/>
        </w:trPr>
        <w:tc>
          <w:tcPr>
            <w:tcW w:w="7040" w:type="dxa"/>
            <w:vAlign w:val="bottom"/>
            <w:tcBorders>
              <w:top w:val="single" w:sz="8" w:color="CCEEFF"/>
            </w:tcBorders>
            <w:gridSpan w:val="3"/>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Assets</w:t>
            </w:r>
          </w:p>
        </w:tc>
        <w:tc>
          <w:tcPr>
            <w:tcW w:w="42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040" w:type="dxa"/>
            <w:vAlign w:val="bottom"/>
            <w:gridSpan w:val="3"/>
          </w:tcPr>
          <w:p>
            <w:pPr>
              <w:ind w:left="440"/>
              <w:spacing w:after="0"/>
              <w:rPr>
                <w:sz w:val="20"/>
                <w:szCs w:val="20"/>
                <w:color w:val="auto"/>
              </w:rPr>
            </w:pPr>
            <w:r>
              <w:rPr>
                <w:rFonts w:ascii="Arial" w:cs="Arial" w:eastAsia="Arial" w:hAnsi="Arial"/>
                <w:sz w:val="18"/>
                <w:szCs w:val="18"/>
                <w:color w:val="auto"/>
              </w:rPr>
              <w:t>Loans</w:t>
            </w:r>
          </w:p>
        </w:tc>
        <w:tc>
          <w:tcPr>
            <w:tcW w:w="420" w:type="dxa"/>
            <w:vAlign w:val="bottom"/>
          </w:tcPr>
          <w:p>
            <w:pPr>
              <w:jc w:val="right"/>
              <w:spacing w:after="0"/>
              <w:rPr>
                <w:sz w:val="20"/>
                <w:szCs w:val="20"/>
                <w:color w:val="auto"/>
              </w:rPr>
            </w:pPr>
            <w:r>
              <w:rPr>
                <w:rFonts w:ascii="Arial" w:cs="Arial" w:eastAsia="Arial" w:hAnsi="Arial"/>
                <w:sz w:val="18"/>
                <w:szCs w:val="18"/>
                <w:color w:val="auto"/>
                <w:w w:val="96"/>
              </w:rPr>
              <w:t>$ —</w:t>
            </w:r>
          </w:p>
        </w:tc>
        <w:tc>
          <w:tcPr>
            <w:tcW w:w="400" w:type="dxa"/>
            <w:vAlign w:val="bottom"/>
          </w:tcPr>
          <w:p>
            <w:pPr>
              <w:spacing w:after="0"/>
              <w:rPr>
                <w:sz w:val="18"/>
                <w:szCs w:val="18"/>
                <w:color w:val="auto"/>
              </w:rPr>
            </w:pPr>
          </w:p>
        </w:tc>
        <w:tc>
          <w:tcPr>
            <w:tcW w:w="420" w:type="dxa"/>
            <w:vAlign w:val="bottom"/>
          </w:tcPr>
          <w:p>
            <w:pPr>
              <w:jc w:val="right"/>
              <w:ind w:right="17"/>
              <w:spacing w:after="0"/>
              <w:rPr>
                <w:sz w:val="20"/>
                <w:szCs w:val="20"/>
                <w:color w:val="auto"/>
              </w:rPr>
            </w:pPr>
            <w:r>
              <w:rPr>
                <w:rFonts w:ascii="Arial" w:cs="Arial" w:eastAsia="Arial" w:hAnsi="Arial"/>
                <w:sz w:val="18"/>
                <w:szCs w:val="18"/>
                <w:color w:val="auto"/>
                <w:w w:val="90"/>
              </w:rPr>
              <w:t>$ —</w:t>
            </w:r>
          </w:p>
        </w:tc>
        <w:tc>
          <w:tcPr>
            <w:tcW w:w="1460" w:type="dxa"/>
            <w:vAlign w:val="bottom"/>
            <w:gridSpan w:val="3"/>
          </w:tcPr>
          <w:p>
            <w:pPr>
              <w:jc w:val="right"/>
              <w:ind w:right="400"/>
              <w:spacing w:after="0"/>
              <w:rPr>
                <w:sz w:val="20"/>
                <w:szCs w:val="20"/>
                <w:color w:val="auto"/>
              </w:rPr>
            </w:pPr>
            <w:r>
              <w:rPr>
                <w:rFonts w:ascii="Arial" w:cs="Arial" w:eastAsia="Arial" w:hAnsi="Arial"/>
                <w:sz w:val="18"/>
                <w:szCs w:val="18"/>
                <w:color w:val="auto"/>
              </w:rPr>
              <w:t>$133,828</w:t>
            </w:r>
          </w:p>
        </w:tc>
        <w:tc>
          <w:tcPr>
            <w:tcW w:w="660" w:type="dxa"/>
            <w:vAlign w:val="bottom"/>
          </w:tcPr>
          <w:p>
            <w:pPr>
              <w:jc w:val="right"/>
              <w:spacing w:after="0"/>
              <w:rPr>
                <w:sz w:val="20"/>
                <w:szCs w:val="20"/>
                <w:color w:val="auto"/>
              </w:rPr>
            </w:pPr>
            <w:r>
              <w:rPr>
                <w:rFonts w:ascii="Arial" w:cs="Arial" w:eastAsia="Arial" w:hAnsi="Arial"/>
                <w:sz w:val="18"/>
                <w:szCs w:val="18"/>
                <w:color w:val="auto"/>
                <w:w w:val="85"/>
              </w:rPr>
              <w:t>$133,828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Foreclosed properties</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29,102</w:t>
            </w:r>
          </w:p>
        </w:tc>
        <w:tc>
          <w:tcPr>
            <w:tcW w:w="40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040" w:type="dxa"/>
            <w:vAlign w:val="bottom"/>
            <w:gridSpan w:val="3"/>
          </w:tcPr>
          <w:p>
            <w:pPr>
              <w:spacing w:after="0"/>
              <w:rPr>
                <w:sz w:val="20"/>
                <w:szCs w:val="20"/>
                <w:color w:val="auto"/>
              </w:rPr>
            </w:pPr>
            <w:r>
              <w:rPr>
                <w:rFonts w:ascii="Arial" w:cs="Arial" w:eastAsia="Arial" w:hAnsi="Arial"/>
                <w:sz w:val="18"/>
                <w:szCs w:val="18"/>
                <w:color w:val="auto"/>
              </w:rPr>
              <w:t>Total</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 —</w:t>
            </w:r>
          </w:p>
        </w:tc>
        <w:tc>
          <w:tcPr>
            <w:tcW w:w="400" w:type="dxa"/>
            <w:vAlign w:val="bottom"/>
          </w:tcPr>
          <w:p>
            <w:pPr>
              <w:spacing w:after="0"/>
              <w:rPr>
                <w:sz w:val="19"/>
                <w:szCs w:val="19"/>
                <w:color w:val="auto"/>
              </w:rPr>
            </w:pPr>
          </w:p>
        </w:tc>
        <w:tc>
          <w:tcPr>
            <w:tcW w:w="4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w w:val="90"/>
              </w:rPr>
              <w:t>$ —</w:t>
            </w:r>
          </w:p>
        </w:tc>
        <w:tc>
          <w:tcPr>
            <w:tcW w:w="38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162,930</w:t>
            </w:r>
          </w:p>
        </w:tc>
        <w:tc>
          <w:tcPr>
            <w:tcW w:w="40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162,930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0"/>
              </w:rPr>
              <w:t>September 30, 2011</w:t>
            </w:r>
          </w:p>
        </w:tc>
        <w:tc>
          <w:tcPr>
            <w:tcW w:w="5840" w:type="dxa"/>
            <w:vAlign w:val="bottom"/>
            <w:vMerge w:val="restart"/>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1200" w:type="dxa"/>
            <w:vAlign w:val="bottom"/>
            <w:tcBorders>
              <w:bottom w:val="single" w:sz="8" w:color="auto"/>
            </w:tcBorders>
            <w:gridSpan w:val="2"/>
            <w:vMerge w:val="continue"/>
          </w:tcPr>
          <w:p>
            <w:pPr>
              <w:spacing w:after="0"/>
              <w:rPr>
                <w:sz w:val="24"/>
                <w:szCs w:val="24"/>
                <w:color w:val="auto"/>
              </w:rPr>
            </w:pPr>
          </w:p>
        </w:tc>
        <w:tc>
          <w:tcPr>
            <w:tcW w:w="5840" w:type="dxa"/>
            <w:vAlign w:val="bottom"/>
            <w:vMerge w:val="continue"/>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w w:val="84"/>
              </w:rPr>
              <w:t>Level 1</w:t>
            </w:r>
          </w:p>
        </w:tc>
        <w:tc>
          <w:tcPr>
            <w:tcW w:w="4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w w:val="84"/>
              </w:rPr>
              <w:t>Level 2</w:t>
            </w:r>
          </w:p>
        </w:tc>
        <w:tc>
          <w:tcPr>
            <w:tcW w:w="380" w:type="dxa"/>
            <w:vAlign w:val="bottom"/>
          </w:tcPr>
          <w:p>
            <w:pPr>
              <w:spacing w:after="0"/>
              <w:rPr>
                <w:sz w:val="24"/>
                <w:szCs w:val="24"/>
                <w:color w:val="auto"/>
              </w:rPr>
            </w:pPr>
          </w:p>
        </w:tc>
        <w:tc>
          <w:tcPr>
            <w:tcW w:w="108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3</w:t>
            </w:r>
          </w:p>
        </w:tc>
        <w:tc>
          <w:tcPr>
            <w:tcW w:w="76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0"/>
        </w:trPr>
        <w:tc>
          <w:tcPr>
            <w:tcW w:w="7040" w:type="dxa"/>
            <w:vAlign w:val="bottom"/>
            <w:tcBorders>
              <w:top w:val="single" w:sz="8" w:color="CCEEFF"/>
            </w:tcBorders>
            <w:gridSpan w:val="3"/>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Assets</w:t>
            </w:r>
          </w:p>
        </w:tc>
        <w:tc>
          <w:tcPr>
            <w:tcW w:w="42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040" w:type="dxa"/>
            <w:vAlign w:val="bottom"/>
            <w:gridSpan w:val="3"/>
          </w:tcPr>
          <w:p>
            <w:pPr>
              <w:ind w:left="440"/>
              <w:spacing w:after="0"/>
              <w:rPr>
                <w:sz w:val="20"/>
                <w:szCs w:val="20"/>
                <w:color w:val="auto"/>
              </w:rPr>
            </w:pPr>
            <w:r>
              <w:rPr>
                <w:rFonts w:ascii="Arial" w:cs="Arial" w:eastAsia="Arial" w:hAnsi="Arial"/>
                <w:sz w:val="18"/>
                <w:szCs w:val="18"/>
                <w:color w:val="auto"/>
              </w:rPr>
              <w:t>Loans</w:t>
            </w:r>
          </w:p>
        </w:tc>
        <w:tc>
          <w:tcPr>
            <w:tcW w:w="420" w:type="dxa"/>
            <w:vAlign w:val="bottom"/>
          </w:tcPr>
          <w:p>
            <w:pPr>
              <w:jc w:val="right"/>
              <w:spacing w:after="0"/>
              <w:rPr>
                <w:sz w:val="20"/>
                <w:szCs w:val="20"/>
                <w:color w:val="auto"/>
              </w:rPr>
            </w:pPr>
            <w:r>
              <w:rPr>
                <w:rFonts w:ascii="Arial" w:cs="Arial" w:eastAsia="Arial" w:hAnsi="Arial"/>
                <w:sz w:val="18"/>
                <w:szCs w:val="18"/>
                <w:color w:val="auto"/>
                <w:w w:val="96"/>
              </w:rPr>
              <w:t>$ —</w:t>
            </w:r>
          </w:p>
        </w:tc>
        <w:tc>
          <w:tcPr>
            <w:tcW w:w="400" w:type="dxa"/>
            <w:vAlign w:val="bottom"/>
          </w:tcPr>
          <w:p>
            <w:pPr>
              <w:spacing w:after="0"/>
              <w:rPr>
                <w:sz w:val="18"/>
                <w:szCs w:val="18"/>
                <w:color w:val="auto"/>
              </w:rPr>
            </w:pPr>
          </w:p>
        </w:tc>
        <w:tc>
          <w:tcPr>
            <w:tcW w:w="420" w:type="dxa"/>
            <w:vAlign w:val="bottom"/>
          </w:tcPr>
          <w:p>
            <w:pPr>
              <w:jc w:val="right"/>
              <w:ind w:right="17"/>
              <w:spacing w:after="0"/>
              <w:rPr>
                <w:sz w:val="20"/>
                <w:szCs w:val="20"/>
                <w:color w:val="auto"/>
              </w:rPr>
            </w:pPr>
            <w:r>
              <w:rPr>
                <w:rFonts w:ascii="Arial" w:cs="Arial" w:eastAsia="Arial" w:hAnsi="Arial"/>
                <w:sz w:val="18"/>
                <w:szCs w:val="18"/>
                <w:color w:val="auto"/>
                <w:w w:val="90"/>
              </w:rPr>
              <w:t>$ —</w:t>
            </w:r>
          </w:p>
        </w:tc>
        <w:tc>
          <w:tcPr>
            <w:tcW w:w="1460" w:type="dxa"/>
            <w:vAlign w:val="bottom"/>
            <w:gridSpan w:val="3"/>
          </w:tcPr>
          <w:p>
            <w:pPr>
              <w:jc w:val="right"/>
              <w:ind w:right="400"/>
              <w:spacing w:after="0"/>
              <w:rPr>
                <w:sz w:val="20"/>
                <w:szCs w:val="20"/>
                <w:color w:val="auto"/>
              </w:rPr>
            </w:pPr>
            <w:r>
              <w:rPr>
                <w:rFonts w:ascii="Arial" w:cs="Arial" w:eastAsia="Arial" w:hAnsi="Arial"/>
                <w:sz w:val="18"/>
                <w:szCs w:val="18"/>
                <w:color w:val="auto"/>
              </w:rPr>
              <w:t>$140,577</w:t>
            </w:r>
          </w:p>
        </w:tc>
        <w:tc>
          <w:tcPr>
            <w:tcW w:w="660" w:type="dxa"/>
            <w:vAlign w:val="bottom"/>
          </w:tcPr>
          <w:p>
            <w:pPr>
              <w:jc w:val="right"/>
              <w:spacing w:after="0"/>
              <w:rPr>
                <w:sz w:val="20"/>
                <w:szCs w:val="20"/>
                <w:color w:val="auto"/>
              </w:rPr>
            </w:pPr>
            <w:r>
              <w:rPr>
                <w:rFonts w:ascii="Arial" w:cs="Arial" w:eastAsia="Arial" w:hAnsi="Arial"/>
                <w:sz w:val="18"/>
                <w:szCs w:val="18"/>
                <w:color w:val="auto"/>
                <w:w w:val="85"/>
              </w:rPr>
              <w:t>$140,577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Foreclosed properties</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38,823</w:t>
            </w:r>
          </w:p>
        </w:tc>
        <w:tc>
          <w:tcPr>
            <w:tcW w:w="40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040" w:type="dxa"/>
            <w:vAlign w:val="bottom"/>
            <w:gridSpan w:val="3"/>
          </w:tcPr>
          <w:p>
            <w:pPr>
              <w:spacing w:after="0"/>
              <w:rPr>
                <w:sz w:val="20"/>
                <w:szCs w:val="20"/>
                <w:color w:val="auto"/>
              </w:rPr>
            </w:pPr>
            <w:r>
              <w:rPr>
                <w:rFonts w:ascii="Arial" w:cs="Arial" w:eastAsia="Arial" w:hAnsi="Arial"/>
                <w:sz w:val="18"/>
                <w:szCs w:val="18"/>
                <w:color w:val="auto"/>
              </w:rPr>
              <w:t>Total</w:t>
            </w:r>
          </w:p>
        </w:tc>
        <w:tc>
          <w:tcPr>
            <w:tcW w:w="420" w:type="dxa"/>
            <w:vAlign w:val="bottom"/>
          </w:tcPr>
          <w:p>
            <w:pPr>
              <w:jc w:val="right"/>
              <w:spacing w:after="0"/>
              <w:rPr>
                <w:sz w:val="20"/>
                <w:szCs w:val="20"/>
                <w:color w:val="auto"/>
              </w:rPr>
            </w:pPr>
            <w:r>
              <w:rPr>
                <w:rFonts w:ascii="Arial" w:cs="Arial" w:eastAsia="Arial" w:hAnsi="Arial"/>
                <w:sz w:val="18"/>
                <w:szCs w:val="18"/>
                <w:color w:val="auto"/>
                <w:w w:val="96"/>
              </w:rPr>
              <w:t>$ —</w:t>
            </w:r>
          </w:p>
        </w:tc>
        <w:tc>
          <w:tcPr>
            <w:tcW w:w="400" w:type="dxa"/>
            <w:vAlign w:val="bottom"/>
          </w:tcPr>
          <w:p>
            <w:pPr>
              <w:spacing w:after="0"/>
              <w:rPr>
                <w:sz w:val="19"/>
                <w:szCs w:val="19"/>
                <w:color w:val="auto"/>
              </w:rPr>
            </w:pPr>
          </w:p>
        </w:tc>
        <w:tc>
          <w:tcPr>
            <w:tcW w:w="420" w:type="dxa"/>
            <w:vAlign w:val="bottom"/>
          </w:tcPr>
          <w:p>
            <w:pPr>
              <w:jc w:val="right"/>
              <w:ind w:right="17"/>
              <w:spacing w:after="0"/>
              <w:rPr>
                <w:sz w:val="20"/>
                <w:szCs w:val="20"/>
                <w:color w:val="auto"/>
              </w:rPr>
            </w:pPr>
            <w:r>
              <w:rPr>
                <w:rFonts w:ascii="Arial" w:cs="Arial" w:eastAsia="Arial" w:hAnsi="Arial"/>
                <w:sz w:val="18"/>
                <w:szCs w:val="18"/>
                <w:color w:val="auto"/>
                <w:w w:val="90"/>
              </w:rPr>
              <w:t>$ —</w:t>
            </w:r>
          </w:p>
        </w:tc>
        <w:tc>
          <w:tcPr>
            <w:tcW w:w="1460" w:type="dxa"/>
            <w:vAlign w:val="bottom"/>
            <w:gridSpan w:val="3"/>
          </w:tcPr>
          <w:p>
            <w:pPr>
              <w:jc w:val="right"/>
              <w:ind w:right="4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179,400</w:t>
            </w:r>
          </w:p>
        </w:tc>
        <w:tc>
          <w:tcPr>
            <w:tcW w:w="66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179,400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and Liabilities Not Measured at Fair Value</w:t>
      </w:r>
    </w:p>
    <w:p>
      <w:pPr>
        <w:spacing w:after="0" w:line="96" w:lineRule="exact"/>
        <w:rPr>
          <w:sz w:val="20"/>
          <w:szCs w:val="20"/>
          <w:color w:val="auto"/>
        </w:rPr>
      </w:pPr>
    </w:p>
    <w:p>
      <w:pPr>
        <w:ind w:right="60"/>
        <w:spacing w:after="0" w:line="318" w:lineRule="auto"/>
        <w:rPr>
          <w:sz w:val="20"/>
          <w:szCs w:val="20"/>
          <w:color w:val="auto"/>
        </w:rPr>
      </w:pPr>
      <w:r>
        <w:rPr>
          <w:rFonts w:ascii="Arial" w:cs="Arial" w:eastAsia="Arial" w:hAnsi="Arial"/>
          <w:sz w:val="15"/>
          <w:szCs w:val="15"/>
          <w:color w:val="auto"/>
        </w:rPr>
        <w:t>For financial instruments that have quoted market prices, those quotes are used to determine fair value. Financial instruments that have no defined maturity, have a remaining maturity of 180 days or less, or reprice frequently to a market rate, are assumed to have a fair value that approximates the reported book value, after taking into consideration any applicable credit risk. If no market quotes are available, financial instruments are valued by discounting the expected cash flows using an estimated current market interest rate for the financial instrument. For off-balance sheet derivative instruments, fair value is estimated as the amount that United would receive or pay to terminate the contracts at the reporting date, taking into account the current unrealized gains or losses on open contracts.</w:t>
      </w:r>
    </w:p>
    <w:p>
      <w:pPr>
        <w:spacing w:after="0" w:line="100"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The short maturity of United’s assets and liabilities results in having a significant number of financial instruments whose fair value equals or closely approximates carrying value. Such financial instruments are reported in the following balance sheet captions: cash and cash equivalents, mortgage loans held for sale, federal funds purchased, repurchase agreements and other short-term borrowings. The fair value of securities available for sale equals the balance sheet value.</w:t>
      </w:r>
    </w:p>
    <w:p>
      <w:pPr>
        <w:spacing w:after="0" w:line="10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Fair value estimates are made at a specific point in time, based on relevant market information and information about the financial instrument. These estimates do not reflect the premium or discount on any particular financial instrument that could result from the sale of United’s entire holdings. Because no ready market exists for a significant portion of United’s financial instruments, fair value estimates are based on many judgments. These estimates are subjective in nature and involve uncertainties and matters of significant judgment and therefore cannot be determined with precision. Changes in assumptions could significantly affect the estimates.</w:t>
      </w:r>
    </w:p>
    <w:p>
      <w:pPr>
        <w:spacing w:after="0" w:line="143" w:lineRule="exact"/>
        <w:rPr>
          <w:sz w:val="20"/>
          <w:szCs w:val="20"/>
          <w:color w:val="auto"/>
        </w:rPr>
      </w:pPr>
    </w:p>
    <w:p>
      <w:pPr>
        <w:ind w:right="220"/>
        <w:spacing w:after="0" w:line="323" w:lineRule="auto"/>
        <w:rPr>
          <w:sz w:val="20"/>
          <w:szCs w:val="20"/>
          <w:color w:val="auto"/>
        </w:rPr>
      </w:pPr>
      <w:r>
        <w:rPr>
          <w:rFonts w:ascii="Arial" w:cs="Arial" w:eastAsia="Arial" w:hAnsi="Arial"/>
          <w:sz w:val="15"/>
          <w:szCs w:val="15"/>
          <w:color w:val="auto"/>
        </w:rPr>
        <w:t>Fair value estimates are based on existing on and off-balance sheet financial instruments without attempting to estimate the value of anticipated future business and the value of assets and liabilities that are not considered financial instruments. Significant assets and liabilities that are not considered financial instruments include the mortgage banking operation, brokerage network, deferred income taxes, premises and equipment and goodwill. In addition, the tax ramifications related to the realization of the unrealized gains and losses can have significant effect on fair value estimates and have not been considered in the estimates.</w:t>
      </w:r>
    </w:p>
    <w:p>
      <w:pPr>
        <w:spacing w:after="0" w:line="98"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Off-balance sheet instruments (commitments to extend credit and standby letters of credit) are generally short-term and at variable rates. Therefore, both the carrying amount and the estimated fair value associated with these instruments are immaterial.</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1" w:lineRule="exact"/>
        <w:rPr>
          <w:sz w:val="20"/>
          <w:szCs w:val="20"/>
          <w:color w:val="auto"/>
        </w:rPr>
      </w:pPr>
    </w:p>
    <w:p>
      <w:pPr>
        <w:ind w:right="860"/>
        <w:spacing w:after="0" w:line="268" w:lineRule="auto"/>
        <w:rPr>
          <w:sz w:val="20"/>
          <w:szCs w:val="20"/>
          <w:color w:val="auto"/>
        </w:rPr>
      </w:pPr>
      <w:r>
        <w:rPr>
          <w:rFonts w:ascii="Arial" w:cs="Arial" w:eastAsia="Arial" w:hAnsi="Arial"/>
          <w:sz w:val="18"/>
          <w:szCs w:val="18"/>
          <w:color w:val="auto"/>
        </w:rPr>
        <w:t xml:space="preserve">The carrying amount and fair values for other financial instruments that are not measured at fair value on a recurring basis in United’s balance sheet at September 30, 2012, December 31, 2011, and September 30, 2011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7"/>
          </w:tcPr>
          <w:p>
            <w:pPr>
              <w:jc w:val="center"/>
              <w:ind w:right="540"/>
              <w:spacing w:after="0"/>
              <w:rPr>
                <w:sz w:val="20"/>
                <w:szCs w:val="20"/>
                <w:color w:val="auto"/>
              </w:rPr>
            </w:pPr>
            <w:r>
              <w:rPr>
                <w:rFonts w:ascii="Arial" w:cs="Arial" w:eastAsia="Arial" w:hAnsi="Arial"/>
                <w:sz w:val="14"/>
                <w:szCs w:val="14"/>
                <w:b w:val="1"/>
                <w:bCs w:val="1"/>
                <w:color w:val="auto"/>
                <w:w w:val="87"/>
              </w:rPr>
              <w:t>September 30, 2012</w:t>
            </w:r>
          </w:p>
        </w:tc>
        <w:tc>
          <w:tcPr>
            <w:tcW w:w="3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6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60" w:type="dxa"/>
            <w:vAlign w:val="bottom"/>
            <w:gridSpan w:val="4"/>
          </w:tcPr>
          <w:p>
            <w:pPr>
              <w:jc w:val="center"/>
              <w:ind w:right="480"/>
              <w:spacing w:after="0" w:line="142" w:lineRule="exact"/>
              <w:rPr>
                <w:sz w:val="20"/>
                <w:szCs w:val="20"/>
                <w:color w:val="auto"/>
              </w:rPr>
            </w:pPr>
            <w:r>
              <w:rPr>
                <w:rFonts w:ascii="Arial" w:cs="Arial" w:eastAsia="Arial" w:hAnsi="Arial"/>
                <w:sz w:val="14"/>
                <w:szCs w:val="14"/>
                <w:b w:val="1"/>
                <w:bCs w:val="1"/>
                <w:color w:val="auto"/>
                <w:w w:val="93"/>
              </w:rPr>
              <w:t>Carrying</w:t>
            </w:r>
          </w:p>
        </w:tc>
        <w:tc>
          <w:tcPr>
            <w:tcW w:w="2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5"/>
          </w:tcPr>
          <w:p>
            <w:pPr>
              <w:spacing w:after="0" w:line="142" w:lineRule="exact"/>
              <w:rPr>
                <w:sz w:val="20"/>
                <w:szCs w:val="20"/>
                <w:color w:val="auto"/>
              </w:rPr>
            </w:pPr>
            <w:r>
              <w:rPr>
                <w:rFonts w:ascii="Arial" w:cs="Arial" w:eastAsia="Arial" w:hAnsi="Arial"/>
                <w:sz w:val="14"/>
                <w:szCs w:val="14"/>
                <w:b w:val="1"/>
                <w:bCs w:val="1"/>
                <w:color w:val="auto"/>
                <w:w w:val="91"/>
              </w:rPr>
              <w:t>Fair Value Level</w:t>
            </w:r>
          </w:p>
        </w:tc>
        <w:tc>
          <w:tcPr>
            <w:tcW w:w="3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46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60" w:type="dxa"/>
            <w:vAlign w:val="bottom"/>
            <w:gridSpan w:val="4"/>
          </w:tcPr>
          <w:p>
            <w:pPr>
              <w:jc w:val="center"/>
              <w:ind w:right="460"/>
              <w:spacing w:after="0" w:line="142" w:lineRule="exact"/>
              <w:rPr>
                <w:sz w:val="20"/>
                <w:szCs w:val="20"/>
                <w:color w:val="auto"/>
              </w:rPr>
            </w:pPr>
            <w:r>
              <w:rPr>
                <w:rFonts w:ascii="Arial" w:cs="Arial" w:eastAsia="Arial" w:hAnsi="Arial"/>
                <w:sz w:val="14"/>
                <w:szCs w:val="14"/>
                <w:b w:val="1"/>
                <w:bCs w:val="1"/>
                <w:color w:val="auto"/>
                <w:w w:val="90"/>
              </w:rPr>
              <w:t>Amount</w:t>
            </w:r>
          </w:p>
        </w:tc>
        <w:tc>
          <w:tcPr>
            <w:tcW w:w="4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79"/>
              </w:rPr>
              <w:t>Level 1</w:t>
            </w:r>
          </w:p>
        </w:tc>
        <w:tc>
          <w:tcPr>
            <w:tcW w:w="440" w:type="dxa"/>
            <w:vAlign w:val="bottom"/>
          </w:tcPr>
          <w:p>
            <w:pPr>
              <w:spacing w:after="0"/>
              <w:rPr>
                <w:sz w:val="12"/>
                <w:szCs w:val="12"/>
                <w:color w:val="auto"/>
              </w:rPr>
            </w:pPr>
          </w:p>
        </w:tc>
        <w:tc>
          <w:tcPr>
            <w:tcW w:w="840" w:type="dxa"/>
            <w:vAlign w:val="bottom"/>
            <w:gridSpan w:val="4"/>
          </w:tcPr>
          <w:p>
            <w:pPr>
              <w:ind w:left="200"/>
              <w:spacing w:after="0" w:line="142" w:lineRule="exact"/>
              <w:rPr>
                <w:sz w:val="20"/>
                <w:szCs w:val="20"/>
                <w:color w:val="auto"/>
              </w:rPr>
            </w:pPr>
            <w:r>
              <w:rPr>
                <w:rFonts w:ascii="Arial" w:cs="Arial" w:eastAsia="Arial" w:hAnsi="Arial"/>
                <w:sz w:val="14"/>
                <w:szCs w:val="14"/>
                <w:b w:val="1"/>
                <w:bCs w:val="1"/>
                <w:color w:val="auto"/>
              </w:rPr>
              <w:t>Level 2</w:t>
            </w:r>
          </w:p>
        </w:tc>
        <w:tc>
          <w:tcPr>
            <w:tcW w:w="440" w:type="dxa"/>
            <w:vAlign w:val="bottom"/>
          </w:tcPr>
          <w:p>
            <w:pPr>
              <w:spacing w:after="0"/>
              <w:rPr>
                <w:sz w:val="12"/>
                <w:szCs w:val="12"/>
                <w:color w:val="auto"/>
              </w:rPr>
            </w:pPr>
          </w:p>
        </w:tc>
        <w:tc>
          <w:tcPr>
            <w:tcW w:w="800" w:type="dxa"/>
            <w:vAlign w:val="bottom"/>
            <w:gridSpan w:val="3"/>
          </w:tcPr>
          <w:p>
            <w:pPr>
              <w:jc w:val="right"/>
              <w:ind w:right="112"/>
              <w:spacing w:after="0" w:line="142" w:lineRule="exact"/>
              <w:rPr>
                <w:sz w:val="20"/>
                <w:szCs w:val="20"/>
                <w:color w:val="auto"/>
              </w:rPr>
            </w:pPr>
            <w:r>
              <w:rPr>
                <w:rFonts w:ascii="Arial" w:cs="Arial" w:eastAsia="Arial" w:hAnsi="Arial"/>
                <w:sz w:val="14"/>
                <w:szCs w:val="14"/>
                <w:b w:val="1"/>
                <w:bCs w:val="1"/>
                <w:color w:val="auto"/>
              </w:rPr>
              <w:t>Level 3</w:t>
            </w:r>
          </w:p>
        </w:tc>
        <w:tc>
          <w:tcPr>
            <w:tcW w:w="460" w:type="dxa"/>
            <w:vAlign w:val="bottom"/>
          </w:tcPr>
          <w:p>
            <w:pPr>
              <w:spacing w:after="0"/>
              <w:rPr>
                <w:sz w:val="12"/>
                <w:szCs w:val="12"/>
                <w:color w:val="auto"/>
              </w:rPr>
            </w:pPr>
          </w:p>
        </w:tc>
        <w:tc>
          <w:tcPr>
            <w:tcW w:w="800" w:type="dxa"/>
            <w:vAlign w:val="bottom"/>
            <w:gridSpan w:val="3"/>
          </w:tcPr>
          <w:p>
            <w:pPr>
              <w:jc w:val="right"/>
              <w:ind w:right="240"/>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r>
      <w:tr>
        <w:trPr>
          <w:trHeight w:val="196"/>
        </w:trPr>
        <w:tc>
          <w:tcPr>
            <w:tcW w:w="464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1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640" w:type="dxa"/>
            <w:vAlign w:val="bottom"/>
            <w:gridSpan w:val="2"/>
          </w:tcPr>
          <w:p>
            <w:pPr>
              <w:ind w:left="440"/>
              <w:spacing w:after="0"/>
              <w:rPr>
                <w:sz w:val="20"/>
                <w:szCs w:val="20"/>
                <w:color w:val="auto"/>
              </w:rPr>
            </w:pPr>
            <w:r>
              <w:rPr>
                <w:rFonts w:ascii="Arial" w:cs="Arial" w:eastAsia="Arial" w:hAnsi="Arial"/>
                <w:sz w:val="18"/>
                <w:szCs w:val="18"/>
                <w:color w:val="auto"/>
              </w:rPr>
              <w:t>Securities held to maturity</w:t>
            </w:r>
          </w:p>
        </w:tc>
        <w:tc>
          <w:tcPr>
            <w:tcW w:w="2020" w:type="dxa"/>
            <w:vAlign w:val="bottom"/>
            <w:gridSpan w:val="3"/>
          </w:tcPr>
          <w:p>
            <w:pPr>
              <w:jc w:val="right"/>
              <w:spacing w:after="0"/>
              <w:rPr>
                <w:sz w:val="20"/>
                <w:szCs w:val="20"/>
                <w:color w:val="auto"/>
              </w:rPr>
            </w:pPr>
            <w:r>
              <w:rPr>
                <w:rFonts w:ascii="Arial" w:cs="Arial" w:eastAsia="Arial" w:hAnsi="Arial"/>
                <w:sz w:val="18"/>
                <w:szCs w:val="18"/>
                <w:color w:val="auto"/>
              </w:rPr>
              <w:t>$  262,648</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gridSpan w:val="2"/>
          </w:tcPr>
          <w:p>
            <w:pPr>
              <w:jc w:val="right"/>
              <w:ind w:right="32"/>
              <w:spacing w:after="0"/>
              <w:rPr>
                <w:sz w:val="20"/>
                <w:szCs w:val="20"/>
                <w:color w:val="auto"/>
              </w:rPr>
            </w:pPr>
            <w:r>
              <w:rPr>
                <w:rFonts w:ascii="Arial" w:cs="Arial" w:eastAsia="Arial" w:hAnsi="Arial"/>
                <w:sz w:val="18"/>
                <w:szCs w:val="18"/>
                <w:color w:val="auto"/>
                <w:w w:val="90"/>
              </w:rPr>
              <w:t>$ —</w:t>
            </w:r>
          </w:p>
        </w:tc>
        <w:tc>
          <w:tcPr>
            <w:tcW w:w="66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86"/>
              </w:rPr>
              <w:t>281,336</w:t>
            </w:r>
          </w:p>
        </w:tc>
        <w:tc>
          <w:tcPr>
            <w:tcW w:w="40" w:type="dxa"/>
            <w:vAlign w:val="bottom"/>
          </w:tcPr>
          <w:p>
            <w:pPr>
              <w:spacing w:after="0"/>
              <w:rPr>
                <w:sz w:val="18"/>
                <w:szCs w:val="18"/>
                <w:color w:val="auto"/>
              </w:rPr>
            </w:pPr>
          </w:p>
        </w:tc>
        <w:tc>
          <w:tcPr>
            <w:tcW w:w="700" w:type="dxa"/>
            <w:vAlign w:val="bottom"/>
            <w:gridSpan w:val="2"/>
          </w:tcPr>
          <w:p>
            <w:pPr>
              <w:jc w:val="right"/>
              <w:ind w:right="1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260" w:type="dxa"/>
            <w:vAlign w:val="bottom"/>
            <w:gridSpan w:val="4"/>
          </w:tcPr>
          <w:p>
            <w:pPr>
              <w:jc w:val="right"/>
              <w:spacing w:after="0"/>
              <w:rPr>
                <w:sz w:val="20"/>
                <w:szCs w:val="20"/>
                <w:color w:val="auto"/>
              </w:rPr>
            </w:pPr>
            <w:r>
              <w:rPr>
                <w:rFonts w:ascii="Arial" w:cs="Arial" w:eastAsia="Arial" w:hAnsi="Arial"/>
                <w:sz w:val="18"/>
                <w:szCs w:val="18"/>
                <w:color w:val="auto"/>
              </w:rPr>
              <w:t>$  281,336</w:t>
            </w:r>
          </w:p>
        </w:tc>
        <w:tc>
          <w:tcPr>
            <w:tcW w:w="100" w:type="dxa"/>
            <w:vAlign w:val="bottom"/>
          </w:tcPr>
          <w:p>
            <w:pPr>
              <w:spacing w:after="0"/>
              <w:rPr>
                <w:sz w:val="18"/>
                <w:szCs w:val="18"/>
                <w:color w:val="auto"/>
              </w:rPr>
            </w:pPr>
          </w:p>
        </w:tc>
      </w:tr>
      <w:tr>
        <w:trPr>
          <w:trHeight w:val="216"/>
        </w:trPr>
        <w:tc>
          <w:tcPr>
            <w:tcW w:w="46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Loans, net</w:t>
            </w:r>
          </w:p>
        </w:tc>
        <w:tc>
          <w:tcPr>
            <w:tcW w:w="2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4,030,203</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center"/>
              <w:ind w:left="114"/>
              <w:spacing w:after="0"/>
              <w:rPr>
                <w:sz w:val="20"/>
                <w:szCs w:val="20"/>
                <w:color w:val="auto"/>
              </w:rPr>
            </w:pPr>
            <w:r>
              <w:rPr>
                <w:rFonts w:ascii="Arial" w:cs="Arial" w:eastAsia="Arial" w:hAnsi="Arial"/>
                <w:sz w:val="18"/>
                <w:szCs w:val="18"/>
                <w:color w:val="auto"/>
                <w:w w:val="99"/>
              </w:rPr>
              <w:t>—</w:t>
            </w:r>
          </w:p>
        </w:tc>
        <w:tc>
          <w:tcPr>
            <w:tcW w:w="12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3,954,607</w:t>
            </w:r>
          </w:p>
        </w:tc>
        <w:tc>
          <w:tcPr>
            <w:tcW w:w="12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3,954,607</w:t>
            </w:r>
          </w:p>
        </w:tc>
        <w:tc>
          <w:tcPr>
            <w:tcW w:w="100" w:type="dxa"/>
            <w:vAlign w:val="bottom"/>
            <w:shd w:val="clear" w:color="auto" w:fill="CCEEFF"/>
          </w:tcPr>
          <w:p>
            <w:pPr>
              <w:spacing w:after="0"/>
              <w:rPr>
                <w:sz w:val="18"/>
                <w:szCs w:val="18"/>
                <w:color w:val="auto"/>
              </w:rPr>
            </w:pPr>
          </w:p>
        </w:tc>
      </w:tr>
      <w:tr>
        <w:trPr>
          <w:trHeight w:val="323"/>
        </w:trPr>
        <w:tc>
          <w:tcPr>
            <w:tcW w:w="4640" w:type="dxa"/>
            <w:vAlign w:val="bottom"/>
            <w:gridSpan w:val="2"/>
          </w:tcPr>
          <w:p>
            <w:pPr>
              <w:spacing w:after="0"/>
              <w:rPr>
                <w:sz w:val="20"/>
                <w:szCs w:val="20"/>
                <w:color w:val="auto"/>
              </w:rPr>
            </w:pPr>
            <w:r>
              <w:rPr>
                <w:rFonts w:ascii="Arial" w:cs="Arial" w:eastAsia="Arial" w:hAnsi="Arial"/>
                <w:sz w:val="18"/>
                <w:szCs w:val="18"/>
                <w:color w:val="auto"/>
              </w:rPr>
              <w:t>Liabilities:</w:t>
            </w: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7"/>
        </w:trPr>
        <w:tc>
          <w:tcPr>
            <w:tcW w:w="46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Deposits</w:t>
            </w:r>
          </w:p>
        </w:tc>
        <w:tc>
          <w:tcPr>
            <w:tcW w:w="2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5,822,699</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2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5,848,540</w:t>
            </w: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5,848,540</w:t>
            </w:r>
          </w:p>
        </w:tc>
        <w:tc>
          <w:tcPr>
            <w:tcW w:w="100" w:type="dxa"/>
            <w:vAlign w:val="bottom"/>
            <w:shd w:val="clear" w:color="auto" w:fill="CCEEFF"/>
          </w:tcPr>
          <w:p>
            <w:pPr>
              <w:spacing w:after="0"/>
              <w:rPr>
                <w:sz w:val="18"/>
                <w:szCs w:val="18"/>
                <w:color w:val="auto"/>
              </w:rPr>
            </w:pPr>
          </w:p>
        </w:tc>
      </w:tr>
      <w:tr>
        <w:trPr>
          <w:trHeight w:val="216"/>
        </w:trPr>
        <w:tc>
          <w:tcPr>
            <w:tcW w:w="4640" w:type="dxa"/>
            <w:vAlign w:val="bottom"/>
            <w:gridSpan w:val="2"/>
          </w:tcPr>
          <w:p>
            <w:pPr>
              <w:ind w:left="440"/>
              <w:spacing w:after="0"/>
              <w:rPr>
                <w:sz w:val="20"/>
                <w:szCs w:val="20"/>
                <w:color w:val="auto"/>
              </w:rPr>
            </w:pPr>
            <w:r>
              <w:rPr>
                <w:rFonts w:ascii="Arial" w:cs="Arial" w:eastAsia="Arial" w:hAnsi="Arial"/>
                <w:sz w:val="18"/>
                <w:szCs w:val="18"/>
                <w:color w:val="auto"/>
              </w:rPr>
              <w:t>Federal Home Loan Bank advances</w:t>
            </w:r>
          </w:p>
        </w:tc>
        <w:tc>
          <w:tcPr>
            <w:tcW w:w="2020" w:type="dxa"/>
            <w:vAlign w:val="bottom"/>
            <w:gridSpan w:val="3"/>
          </w:tcPr>
          <w:p>
            <w:pPr>
              <w:jc w:val="right"/>
              <w:spacing w:after="0"/>
              <w:rPr>
                <w:sz w:val="20"/>
                <w:szCs w:val="20"/>
                <w:color w:val="auto"/>
              </w:rPr>
            </w:pPr>
            <w:r>
              <w:rPr>
                <w:rFonts w:ascii="Arial" w:cs="Arial" w:eastAsia="Arial" w:hAnsi="Arial"/>
                <w:sz w:val="18"/>
                <w:szCs w:val="18"/>
                <w:color w:val="auto"/>
              </w:rPr>
              <w:t>50,125</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50,125</w:t>
            </w: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260" w:type="dxa"/>
            <w:vAlign w:val="bottom"/>
            <w:gridSpan w:val="4"/>
          </w:tcPr>
          <w:p>
            <w:pPr>
              <w:jc w:val="right"/>
              <w:spacing w:after="0"/>
              <w:rPr>
                <w:sz w:val="20"/>
                <w:szCs w:val="20"/>
                <w:color w:val="auto"/>
              </w:rPr>
            </w:pPr>
            <w:r>
              <w:rPr>
                <w:rFonts w:ascii="Arial" w:cs="Arial" w:eastAsia="Arial" w:hAnsi="Arial"/>
                <w:sz w:val="18"/>
                <w:szCs w:val="18"/>
                <w:color w:val="auto"/>
              </w:rPr>
              <w:t>50,125</w:t>
            </w:r>
          </w:p>
        </w:tc>
        <w:tc>
          <w:tcPr>
            <w:tcW w:w="100" w:type="dxa"/>
            <w:vAlign w:val="bottom"/>
          </w:tcPr>
          <w:p>
            <w:pPr>
              <w:spacing w:after="0"/>
              <w:rPr>
                <w:sz w:val="18"/>
                <w:szCs w:val="18"/>
                <w:color w:val="auto"/>
              </w:rPr>
            </w:pPr>
          </w:p>
        </w:tc>
      </w:tr>
      <w:tr>
        <w:trPr>
          <w:trHeight w:val="216"/>
        </w:trPr>
        <w:tc>
          <w:tcPr>
            <w:tcW w:w="46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Long-term debt</w:t>
            </w:r>
          </w:p>
        </w:tc>
        <w:tc>
          <w:tcPr>
            <w:tcW w:w="2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120,285</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center"/>
              <w:ind w:left="114"/>
              <w:spacing w:after="0"/>
              <w:rPr>
                <w:sz w:val="20"/>
                <w:szCs w:val="20"/>
                <w:color w:val="auto"/>
              </w:rPr>
            </w:pPr>
            <w:r>
              <w:rPr>
                <w:rFonts w:ascii="Arial" w:cs="Arial" w:eastAsia="Arial" w:hAnsi="Arial"/>
                <w:sz w:val="18"/>
                <w:szCs w:val="18"/>
                <w:color w:val="auto"/>
                <w:w w:val="99"/>
              </w:rPr>
              <w:t>—</w:t>
            </w:r>
          </w:p>
        </w:tc>
        <w:tc>
          <w:tcPr>
            <w:tcW w:w="12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113,624</w:t>
            </w:r>
          </w:p>
        </w:tc>
        <w:tc>
          <w:tcPr>
            <w:tcW w:w="12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113,624</w:t>
            </w:r>
          </w:p>
        </w:tc>
        <w:tc>
          <w:tcPr>
            <w:tcW w:w="100" w:type="dxa"/>
            <w:vAlign w:val="bottom"/>
            <w:shd w:val="clear" w:color="auto" w:fill="CCEEFF"/>
          </w:tcPr>
          <w:p>
            <w:pPr>
              <w:spacing w:after="0"/>
              <w:rPr>
                <w:sz w:val="18"/>
                <w:szCs w:val="18"/>
                <w:color w:val="auto"/>
              </w:rPr>
            </w:pPr>
          </w:p>
        </w:tc>
      </w:tr>
      <w:tr>
        <w:trPr>
          <w:trHeight w:val="351"/>
        </w:trPr>
        <w:tc>
          <w:tcPr>
            <w:tcW w:w="46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40" w:type="dxa"/>
            <w:vAlign w:val="bottom"/>
            <w:gridSpan w:val="7"/>
          </w:tcPr>
          <w:p>
            <w:pPr>
              <w:jc w:val="right"/>
              <w:ind w:right="472"/>
              <w:spacing w:after="0"/>
              <w:rPr>
                <w:sz w:val="20"/>
                <w:szCs w:val="20"/>
                <w:color w:val="auto"/>
              </w:rPr>
            </w:pPr>
            <w:r>
              <w:rPr>
                <w:rFonts w:ascii="Arial" w:cs="Arial" w:eastAsia="Arial" w:hAnsi="Arial"/>
                <w:sz w:val="14"/>
                <w:szCs w:val="14"/>
                <w:b w:val="1"/>
                <w:bCs w:val="1"/>
                <w:color w:val="auto"/>
              </w:rPr>
              <w:t>December 31, 2011</w:t>
            </w: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0" w:type="dxa"/>
            <w:vAlign w:val="bottom"/>
            <w:gridSpan w:val="9"/>
          </w:tcPr>
          <w:p>
            <w:pPr>
              <w:ind w:left="420"/>
              <w:spacing w:after="0"/>
              <w:rPr>
                <w:sz w:val="20"/>
                <w:szCs w:val="20"/>
                <w:color w:val="auto"/>
              </w:rPr>
            </w:pPr>
            <w:r>
              <w:rPr>
                <w:rFonts w:ascii="Arial" w:cs="Arial" w:eastAsia="Arial" w:hAnsi="Arial"/>
                <w:sz w:val="14"/>
                <w:szCs w:val="14"/>
                <w:b w:val="1"/>
                <w:bCs w:val="1"/>
                <w:color w:val="auto"/>
              </w:rPr>
              <w:t>September 30, 2011</w:t>
            </w:r>
          </w:p>
        </w:tc>
      </w:tr>
      <w:tr>
        <w:trPr>
          <w:trHeight w:val="129"/>
        </w:trPr>
        <w:tc>
          <w:tcPr>
            <w:tcW w:w="46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Borders>
              <w:top w:val="single" w:sz="8" w:color="auto"/>
            </w:tcBorders>
            <w:gridSpan w:val="3"/>
          </w:tcPr>
          <w:p>
            <w:pPr>
              <w:jc w:val="center"/>
              <w:ind w:right="260"/>
              <w:spacing w:after="0" w:line="129" w:lineRule="exact"/>
              <w:rPr>
                <w:sz w:val="20"/>
                <w:szCs w:val="20"/>
                <w:color w:val="auto"/>
              </w:rPr>
            </w:pPr>
            <w:r>
              <w:rPr>
                <w:rFonts w:ascii="Arial" w:cs="Arial" w:eastAsia="Arial" w:hAnsi="Arial"/>
                <w:sz w:val="14"/>
                <w:szCs w:val="14"/>
                <w:b w:val="1"/>
                <w:bCs w:val="1"/>
                <w:color w:val="auto"/>
                <w:w w:val="90"/>
              </w:rPr>
              <w:t>Carrying</w:t>
            </w:r>
          </w:p>
        </w:tc>
        <w:tc>
          <w:tcPr>
            <w:tcW w:w="2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3"/>
          </w:tcPr>
          <w:p>
            <w:pPr>
              <w:jc w:val="center"/>
              <w:ind w:right="300"/>
              <w:spacing w:after="0" w:line="129" w:lineRule="exact"/>
              <w:rPr>
                <w:sz w:val="20"/>
                <w:szCs w:val="20"/>
                <w:color w:val="auto"/>
              </w:rPr>
            </w:pPr>
            <w:r>
              <w:rPr>
                <w:rFonts w:ascii="Arial" w:cs="Arial" w:eastAsia="Arial" w:hAnsi="Arial"/>
                <w:sz w:val="14"/>
                <w:szCs w:val="14"/>
                <w:b w:val="1"/>
                <w:bCs w:val="1"/>
                <w:color w:val="auto"/>
                <w:w w:val="93"/>
              </w:rPr>
              <w:t>Carrying</w:t>
            </w:r>
          </w:p>
        </w:tc>
        <w:tc>
          <w:tcPr>
            <w:tcW w:w="32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1"/>
        </w:trPr>
        <w:tc>
          <w:tcPr>
            <w:tcW w:w="46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0"/>
              </w:rPr>
              <w:t>Amount</w:t>
            </w:r>
          </w:p>
        </w:tc>
        <w:tc>
          <w:tcPr>
            <w:tcW w:w="280" w:type="dxa"/>
            <w:vAlign w:val="bottom"/>
          </w:tcPr>
          <w:p>
            <w:pPr>
              <w:spacing w:after="0"/>
              <w:rPr>
                <w:sz w:val="14"/>
                <w:szCs w:val="14"/>
                <w:color w:val="auto"/>
              </w:rPr>
            </w:pPr>
          </w:p>
        </w:tc>
        <w:tc>
          <w:tcPr>
            <w:tcW w:w="800" w:type="dxa"/>
            <w:vAlign w:val="bottom"/>
            <w:gridSpan w:val="3"/>
          </w:tcPr>
          <w:p>
            <w:pPr>
              <w:jc w:val="right"/>
              <w:ind w:right="32"/>
              <w:spacing w:after="0"/>
              <w:rPr>
                <w:sz w:val="20"/>
                <w:szCs w:val="20"/>
                <w:color w:val="auto"/>
              </w:rPr>
            </w:pPr>
            <w:r>
              <w:rPr>
                <w:rFonts w:ascii="Arial" w:cs="Arial" w:eastAsia="Arial" w:hAnsi="Arial"/>
                <w:sz w:val="14"/>
                <w:szCs w:val="14"/>
                <w:b w:val="1"/>
                <w:bCs w:val="1"/>
                <w:color w:val="auto"/>
              </w:rPr>
              <w:t>Fair Value</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6"/>
              </w:rPr>
              <w:t>Amount</w:t>
            </w:r>
          </w:p>
        </w:tc>
        <w:tc>
          <w:tcPr>
            <w:tcW w:w="320" w:type="dxa"/>
            <w:vAlign w:val="bottom"/>
          </w:tcPr>
          <w:p>
            <w:pPr>
              <w:spacing w:after="0"/>
              <w:rPr>
                <w:sz w:val="14"/>
                <w:szCs w:val="14"/>
                <w:color w:val="auto"/>
              </w:rPr>
            </w:pPr>
          </w:p>
        </w:tc>
        <w:tc>
          <w:tcPr>
            <w:tcW w:w="1360" w:type="dxa"/>
            <w:vAlign w:val="bottom"/>
            <w:gridSpan w:val="5"/>
          </w:tcPr>
          <w:p>
            <w:pPr>
              <w:ind w:left="100"/>
              <w:spacing w:after="0"/>
              <w:rPr>
                <w:sz w:val="20"/>
                <w:szCs w:val="20"/>
                <w:color w:val="auto"/>
              </w:rPr>
            </w:pPr>
            <w:r>
              <w:rPr>
                <w:rFonts w:ascii="Arial" w:cs="Arial" w:eastAsia="Arial" w:hAnsi="Arial"/>
                <w:sz w:val="14"/>
                <w:szCs w:val="14"/>
                <w:b w:val="1"/>
                <w:bCs w:val="1"/>
                <w:color w:val="auto"/>
              </w:rPr>
              <w:t>Fair Value</w:t>
            </w:r>
          </w:p>
        </w:tc>
      </w:tr>
      <w:tr>
        <w:trPr>
          <w:trHeight w:val="196"/>
        </w:trPr>
        <w:tc>
          <w:tcPr>
            <w:tcW w:w="460" w:type="dxa"/>
            <w:vAlign w:val="bottom"/>
          </w:tcPr>
          <w:p>
            <w:pPr>
              <w:spacing w:after="0"/>
              <w:rPr>
                <w:sz w:val="17"/>
                <w:szCs w:val="17"/>
                <w:color w:val="auto"/>
              </w:rPr>
            </w:pPr>
          </w:p>
        </w:tc>
        <w:tc>
          <w:tcPr>
            <w:tcW w:w="41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1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60" w:type="dxa"/>
            <w:vAlign w:val="bottom"/>
          </w:tcPr>
          <w:p>
            <w:pPr>
              <w:spacing w:after="0"/>
              <w:rPr>
                <w:sz w:val="18"/>
                <w:szCs w:val="18"/>
                <w:color w:val="auto"/>
              </w:rPr>
            </w:pPr>
          </w:p>
        </w:tc>
        <w:tc>
          <w:tcPr>
            <w:tcW w:w="4180" w:type="dxa"/>
            <w:vAlign w:val="bottom"/>
          </w:tcPr>
          <w:p>
            <w:pPr>
              <w:ind w:left="440"/>
              <w:spacing w:after="0"/>
              <w:rPr>
                <w:sz w:val="20"/>
                <w:szCs w:val="20"/>
                <w:color w:val="auto"/>
              </w:rPr>
            </w:pPr>
            <w:r>
              <w:rPr>
                <w:rFonts w:ascii="Arial" w:cs="Arial" w:eastAsia="Arial" w:hAnsi="Arial"/>
                <w:sz w:val="18"/>
                <w:szCs w:val="18"/>
                <w:color w:val="auto"/>
              </w:rPr>
              <w:t>Securities held to maturity</w:t>
            </w:r>
          </w:p>
        </w:tc>
        <w:tc>
          <w:tcPr>
            <w:tcW w:w="2480" w:type="dxa"/>
            <w:vAlign w:val="bottom"/>
            <w:gridSpan w:val="5"/>
          </w:tcPr>
          <w:p>
            <w:pPr>
              <w:jc w:val="right"/>
              <w:ind w:right="260"/>
              <w:spacing w:after="0"/>
              <w:rPr>
                <w:sz w:val="20"/>
                <w:szCs w:val="20"/>
                <w:color w:val="auto"/>
              </w:rPr>
            </w:pPr>
            <w:r>
              <w:rPr>
                <w:rFonts w:ascii="Arial" w:cs="Arial" w:eastAsia="Arial" w:hAnsi="Arial"/>
                <w:sz w:val="18"/>
                <w:szCs w:val="18"/>
                <w:color w:val="auto"/>
              </w:rPr>
              <w:t>$  330,203</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8"/>
              </w:rPr>
              <w:t>343,531</w:t>
            </w:r>
          </w:p>
        </w:tc>
        <w:tc>
          <w:tcPr>
            <w:tcW w:w="620" w:type="dxa"/>
            <w:vAlign w:val="bottom"/>
            <w:gridSpan w:val="3"/>
          </w:tcPr>
          <w:p>
            <w:pPr>
              <w:ind w:left="540"/>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353,739</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91"/>
              </w:rPr>
              <w:t>$  369,020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Loans, net</w:t>
            </w:r>
          </w:p>
        </w:tc>
        <w:tc>
          <w:tcPr>
            <w:tcW w:w="2480" w:type="dxa"/>
            <w:vAlign w:val="bottom"/>
            <w:gridSpan w:val="5"/>
            <w:shd w:val="clear" w:color="auto" w:fill="CCEEFF"/>
          </w:tcPr>
          <w:p>
            <w:pPr>
              <w:jc w:val="right"/>
              <w:ind w:right="260"/>
              <w:spacing w:after="0"/>
              <w:rPr>
                <w:sz w:val="20"/>
                <w:szCs w:val="20"/>
                <w:color w:val="auto"/>
              </w:rPr>
            </w:pPr>
            <w:r>
              <w:rPr>
                <w:rFonts w:ascii="Arial" w:cs="Arial" w:eastAsia="Arial" w:hAnsi="Arial"/>
                <w:sz w:val="18"/>
                <w:szCs w:val="18"/>
                <w:color w:val="auto"/>
              </w:rPr>
              <w:t>3,995,146</w:t>
            </w:r>
          </w:p>
        </w:tc>
        <w:tc>
          <w:tcPr>
            <w:tcW w:w="10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3,800,343</w:t>
            </w: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3,963,783</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3,787,214</w:t>
            </w:r>
          </w:p>
        </w:tc>
        <w:tc>
          <w:tcPr>
            <w:tcW w:w="10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23"/>
        </w:trPr>
        <w:tc>
          <w:tcPr>
            <w:tcW w:w="4640" w:type="dxa"/>
            <w:vAlign w:val="bottom"/>
            <w:gridSpan w:val="2"/>
          </w:tcPr>
          <w:p>
            <w:pPr>
              <w:ind w:left="460"/>
              <w:spacing w:after="0"/>
              <w:rPr>
                <w:sz w:val="20"/>
                <w:szCs w:val="20"/>
                <w:color w:val="auto"/>
              </w:rPr>
            </w:pPr>
            <w:r>
              <w:rPr>
                <w:rFonts w:ascii="Arial" w:cs="Arial" w:eastAsia="Arial" w:hAnsi="Arial"/>
                <w:sz w:val="18"/>
                <w:szCs w:val="18"/>
                <w:color w:val="auto"/>
              </w:rPr>
              <w:t>Liabilities:</w:t>
            </w: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7"/>
        </w:trPr>
        <w:tc>
          <w:tcPr>
            <w:tcW w:w="460" w:type="dxa"/>
            <w:vAlign w:val="bottom"/>
          </w:tcPr>
          <w:p>
            <w:pPr>
              <w:spacing w:after="0"/>
              <w:rPr>
                <w:sz w:val="18"/>
                <w:szCs w:val="18"/>
                <w:color w:val="auto"/>
              </w:rPr>
            </w:pPr>
          </w:p>
        </w:tc>
        <w:tc>
          <w:tcPr>
            <w:tcW w:w="4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Deposits</w:t>
            </w:r>
          </w:p>
        </w:tc>
        <w:tc>
          <w:tcPr>
            <w:tcW w:w="2480" w:type="dxa"/>
            <w:vAlign w:val="bottom"/>
            <w:gridSpan w:val="5"/>
            <w:shd w:val="clear" w:color="auto" w:fill="CCEEFF"/>
          </w:tcPr>
          <w:p>
            <w:pPr>
              <w:jc w:val="right"/>
              <w:ind w:right="260"/>
              <w:spacing w:after="0"/>
              <w:rPr>
                <w:sz w:val="20"/>
                <w:szCs w:val="20"/>
                <w:color w:val="auto"/>
              </w:rPr>
            </w:pPr>
            <w:r>
              <w:rPr>
                <w:rFonts w:ascii="Arial" w:cs="Arial" w:eastAsia="Arial" w:hAnsi="Arial"/>
                <w:sz w:val="18"/>
                <w:szCs w:val="18"/>
                <w:color w:val="auto"/>
              </w:rPr>
              <w:t>6,097,983</w:t>
            </w:r>
          </w:p>
        </w:tc>
        <w:tc>
          <w:tcPr>
            <w:tcW w:w="10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6,093,772</w:t>
            </w: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6,005,305</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5,998,994</w:t>
            </w:r>
          </w:p>
        </w:tc>
        <w:tc>
          <w:tcPr>
            <w:tcW w:w="10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180" w:type="dxa"/>
            <w:vAlign w:val="bottom"/>
          </w:tcPr>
          <w:p>
            <w:pPr>
              <w:ind w:left="440"/>
              <w:spacing w:after="0"/>
              <w:rPr>
                <w:sz w:val="20"/>
                <w:szCs w:val="20"/>
                <w:color w:val="auto"/>
              </w:rPr>
            </w:pPr>
            <w:r>
              <w:rPr>
                <w:rFonts w:ascii="Arial" w:cs="Arial" w:eastAsia="Arial" w:hAnsi="Arial"/>
                <w:sz w:val="18"/>
                <w:szCs w:val="18"/>
                <w:color w:val="auto"/>
              </w:rPr>
              <w:t>Federal Home Loan Bank advances</w:t>
            </w:r>
          </w:p>
        </w:tc>
        <w:tc>
          <w:tcPr>
            <w:tcW w:w="2480" w:type="dxa"/>
            <w:vAlign w:val="bottom"/>
            <w:gridSpan w:val="5"/>
          </w:tcPr>
          <w:p>
            <w:pPr>
              <w:jc w:val="right"/>
              <w:ind w:right="260"/>
              <w:spacing w:after="0"/>
              <w:rPr>
                <w:sz w:val="20"/>
                <w:szCs w:val="20"/>
                <w:color w:val="auto"/>
              </w:rPr>
            </w:pPr>
            <w:r>
              <w:rPr>
                <w:rFonts w:ascii="Arial" w:cs="Arial" w:eastAsia="Arial" w:hAnsi="Arial"/>
                <w:sz w:val="18"/>
                <w:szCs w:val="18"/>
                <w:color w:val="auto"/>
              </w:rPr>
              <w:t>40,625</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43,236</w:t>
            </w: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40,625</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43,685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Long-term debt</w:t>
            </w:r>
          </w:p>
        </w:tc>
        <w:tc>
          <w:tcPr>
            <w:tcW w:w="2480" w:type="dxa"/>
            <w:vAlign w:val="bottom"/>
            <w:gridSpan w:val="5"/>
            <w:shd w:val="clear" w:color="auto" w:fill="CCEEFF"/>
          </w:tcPr>
          <w:p>
            <w:pPr>
              <w:jc w:val="right"/>
              <w:ind w:right="260"/>
              <w:spacing w:after="0"/>
              <w:rPr>
                <w:sz w:val="20"/>
                <w:szCs w:val="20"/>
                <w:color w:val="auto"/>
              </w:rPr>
            </w:pPr>
            <w:r>
              <w:rPr>
                <w:rFonts w:ascii="Arial" w:cs="Arial" w:eastAsia="Arial" w:hAnsi="Arial"/>
                <w:sz w:val="18"/>
                <w:szCs w:val="18"/>
                <w:color w:val="auto"/>
              </w:rPr>
              <w:t>120,225</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115,327</w:t>
            </w: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120,206</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114,673</w:t>
            </w:r>
          </w:p>
        </w:tc>
        <w:tc>
          <w:tcPr>
            <w:tcW w:w="10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Reclassification</w:t>
      </w:r>
    </w:p>
    <w:p>
      <w:pPr>
        <w:spacing w:after="0" w:line="9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Certain 2011 amounts have been reclassified to conform to the 2012 presentation. On June 17, 2011, United completed the reclassification of its common stock in the form of a 1-for-5 reverse stock split, or recombination, whereby each five shares of United’s common stock was reclassified into one share of common stock and each five shares of United’s non-voting common stock was reclassified into one share of non-voting common stock. All share and per share amounts for all periods presented have been adjusted to reflect the reverse split as though it had occurred prior to the earliest period presented.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ind w:right="100"/>
        <w:spacing w:after="0" w:line="310" w:lineRule="auto"/>
        <w:rPr>
          <w:sz w:val="20"/>
          <w:szCs w:val="20"/>
          <w:color w:val="auto"/>
        </w:rPr>
      </w:pPr>
      <w:r>
        <w:rPr>
          <w:rFonts w:ascii="Arial" w:cs="Arial" w:eastAsia="Arial" w:hAnsi="Arial"/>
          <w:sz w:val="15"/>
          <w:szCs w:val="15"/>
          <w:color w:val="auto"/>
        </w:rPr>
        <w:t>This Form 10-Q contains forward-looking statements within the meaning of Section 27A of the Securities Act of 1933, as amended, (the “Securities Act”), and Section 21E of the Securities Exchange Act of 1934, as amended, (the “Exchange Act”), about United and its subsidiaries. These forward-looking statements are intended to be covered by the safe harbor for forward-looking statements provided by the Private Securities Litigation Reform Act of 1995. Forward-looking statements are not statements of historical fact, and can be identified by the use of forward-looking terminology such as “believes”, “expects”, “may”, “will”, “could”, “should”, “projects”, “plans”, “goal”, “targets”, “potential”, “estimates”, “pro forma”, “seeks”, “intends”, or “anticipates” or the negative thereof or comparable terminology. Forward-looking statements include discussions of strategy, financial projections, guidance and estimates (including their underlying assumptions), statements regarding plans, objectives, expectations or consequences of various transactions, and statements about the future performance, operations, products and services of United and its subsidiaries. We caution our shareholders and other readers not to place undue reliance on such statements.</w:t>
      </w:r>
    </w:p>
    <w:p>
      <w:pPr>
        <w:spacing w:after="0" w:line="10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Our businesses and operations are and will be subject to a variety of risks, uncertainties and other factors. Consequently, actual results and experiences may differ materially from those contained in any forward-looking statements. Such risks, uncertainties and other factors that could cause actual results and experiences to differ from those projected include, but are not limited to, the risk factors set forth in our Annual Report on Form 10-K/A for the year ended December 31, 2011, as well as the following factors:</w:t>
      </w:r>
    </w:p>
    <w:p>
      <w:pPr>
        <w:spacing w:after="0" w:line="62" w:lineRule="exact"/>
        <w:rPr>
          <w:sz w:val="20"/>
          <w:szCs w:val="20"/>
          <w:color w:val="auto"/>
        </w:rPr>
      </w:pPr>
    </w:p>
    <w:p>
      <w:pPr>
        <w:ind w:left="440" w:hanging="324"/>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maintain profitability;</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fully realize our deferred tax asset balances, including net operating loss carry-forwards;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condition of the banking system and financial markets;</w:t>
      </w:r>
    </w:p>
    <w:p>
      <w:pPr>
        <w:spacing w:after="0" w:line="90" w:lineRule="exact"/>
        <w:rPr>
          <w:rFonts w:ascii="Arial" w:cs="Arial" w:eastAsia="Arial" w:hAnsi="Arial"/>
          <w:sz w:val="18"/>
          <w:szCs w:val="18"/>
          <w:color w:val="auto"/>
        </w:rPr>
      </w:pPr>
    </w:p>
    <w:p>
      <w:pPr>
        <w:ind w:left="440" w:right="120" w:hanging="324"/>
        <w:spacing w:after="0" w:line="268" w:lineRule="auto"/>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results of our most recent internal credit stress test may not accurately predict the impact on our financial condition if the economy were to continue to deteriorate;</w:t>
      </w:r>
    </w:p>
    <w:p>
      <w:pPr>
        <w:spacing w:after="0" w:line="50" w:lineRule="exact"/>
        <w:rPr>
          <w:rFonts w:ascii="Arial" w:cs="Arial" w:eastAsia="Arial" w:hAnsi="Arial"/>
          <w:sz w:val="18"/>
          <w:szCs w:val="18"/>
          <w:color w:val="auto"/>
        </w:rPr>
      </w:pPr>
    </w:p>
    <w:p>
      <w:pPr>
        <w:ind w:left="440" w:hanging="324"/>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raise capital as may be necessary;</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maintain liquidity or access other sources of funding;</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the cost and availability of funding;</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success of the local economies in which we operate;</w:t>
      </w:r>
    </w:p>
    <w:p>
      <w:pPr>
        <w:spacing w:after="0" w:line="90" w:lineRule="exact"/>
        <w:rPr>
          <w:rFonts w:ascii="Arial" w:cs="Arial" w:eastAsia="Arial" w:hAnsi="Arial"/>
          <w:sz w:val="18"/>
          <w:szCs w:val="18"/>
          <w:color w:val="auto"/>
        </w:rPr>
      </w:pPr>
    </w:p>
    <w:p>
      <w:pPr>
        <w:ind w:left="440" w:hanging="324"/>
        <w:spacing w:after="0" w:line="268" w:lineRule="auto"/>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concentrations of residential and commercial construction and development loans and commercial real estate loans are subject to unique risks that could adversely affect our earnings;</w:t>
      </w:r>
    </w:p>
    <w:p>
      <w:pPr>
        <w:spacing w:after="0" w:line="50" w:lineRule="exact"/>
        <w:rPr>
          <w:rFonts w:ascii="Arial" w:cs="Arial" w:eastAsia="Arial" w:hAnsi="Arial"/>
          <w:sz w:val="18"/>
          <w:szCs w:val="18"/>
          <w:color w:val="auto"/>
        </w:rPr>
      </w:pPr>
    </w:p>
    <w:p>
      <w:pPr>
        <w:ind w:left="440" w:hanging="324"/>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prevailing interest rates may negatively affect our net income and the value of our assets;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accounting and reporting policies of United;</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our allowance for loan losses is not sufficient to cover actual loan losses;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be subject to losses due to fraudulent and negligent conduct of our loan customers, third party service providers or employees;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competition from financial institutions and other financial service providers;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U.S. Treasury may change the terms of our fixed rate cumulative perpetual preferred stock, Series B (the “Series B preferred stock”);</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with respect to future expansion and acquisitions;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the conditions in the stock market, the public debt market and other capital markets deteriorate;</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impact of the Dodd-Frank Wall Street Reform Act of 2010 and related regulations and other changes in financial services laws and regulations;</w:t>
      </w:r>
    </w:p>
    <w:p>
      <w:pPr>
        <w:spacing w:after="0" w:line="113" w:lineRule="exact"/>
        <w:rPr>
          <w:rFonts w:ascii="Arial" w:cs="Arial" w:eastAsia="Arial" w:hAnsi="Arial"/>
          <w:sz w:val="16"/>
          <w:szCs w:val="16"/>
          <w:color w:val="auto"/>
        </w:rPr>
      </w:pPr>
    </w:p>
    <w:p>
      <w:pPr>
        <w:ind w:left="440" w:hanging="324"/>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failure of other financial institutions;</w:t>
      </w:r>
    </w:p>
    <w:p>
      <w:pPr>
        <w:spacing w:after="0" w:line="90" w:lineRule="exact"/>
        <w:rPr>
          <w:rFonts w:ascii="Arial" w:cs="Arial" w:eastAsia="Arial" w:hAnsi="Arial"/>
          <w:sz w:val="18"/>
          <w:szCs w:val="18"/>
          <w:color w:val="auto"/>
        </w:rPr>
      </w:pPr>
    </w:p>
    <w:p>
      <w:pPr>
        <w:ind w:left="440" w:right="40" w:hanging="324"/>
        <w:spacing w:after="0" w:line="268" w:lineRule="auto"/>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special assessment that may be imposed by the Federal Deposit Insurance Corporation (the “FDIC”) on all FDIC-insured institutions in the future, similar to the assessment in 2009 that decreased our earnings;</w:t>
      </w:r>
    </w:p>
    <w:p>
      <w:pPr>
        <w:spacing w:after="0" w:line="50" w:lineRule="exact"/>
        <w:rPr>
          <w:rFonts w:ascii="Arial" w:cs="Arial" w:eastAsia="Arial" w:hAnsi="Arial"/>
          <w:sz w:val="18"/>
          <w:szCs w:val="18"/>
          <w:color w:val="auto"/>
        </w:rPr>
      </w:pPr>
    </w:p>
    <w:p>
      <w:pPr>
        <w:ind w:left="440" w:right="200" w:hanging="324"/>
        <w:spacing w:after="0" w:line="268" w:lineRule="auto"/>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formal investigation by the Securities and Exchange Commission (the “SEC”) or any penalty, sanction or further restatement of our previously issued financial statements that may result from such investigation;</w:t>
      </w:r>
    </w:p>
    <w:p>
      <w:pPr>
        <w:spacing w:after="0" w:line="50" w:lineRule="exact"/>
        <w:rPr>
          <w:rFonts w:ascii="Arial" w:cs="Arial" w:eastAsia="Arial" w:hAnsi="Arial"/>
          <w:sz w:val="18"/>
          <w:szCs w:val="18"/>
          <w:color w:val="auto"/>
        </w:rPr>
      </w:pPr>
    </w:p>
    <w:p>
      <w:pPr>
        <w:ind w:left="440" w:right="340" w:hanging="324"/>
        <w:spacing w:after="0" w:line="268" w:lineRule="auto"/>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costs and effects of litigation, examinations, investigations, or similar matters, or adverse facts and developments related thereto, including possible dilution; and</w:t>
      </w:r>
    </w:p>
    <w:p>
      <w:pPr>
        <w:spacing w:after="0" w:line="50" w:lineRule="exact"/>
        <w:rPr>
          <w:rFonts w:ascii="Arial" w:cs="Arial" w:eastAsia="Arial" w:hAnsi="Arial"/>
          <w:sz w:val="18"/>
          <w:szCs w:val="18"/>
          <w:color w:val="auto"/>
        </w:rPr>
      </w:pPr>
    </w:p>
    <w:p>
      <w:pPr>
        <w:ind w:left="440" w:right="200" w:hanging="324"/>
        <w:spacing w:after="0" w:line="268" w:lineRule="auto"/>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regulatory or judicial proceedings, board resolutions, informal memorandums of understanding or formal enforcement actions imposed by regulators that may occur, or any such proceedings or enforcement actions that is more severe than we anticipate.</w:t>
      </w:r>
    </w:p>
    <w:p>
      <w:pPr>
        <w:spacing w:after="0" w:line="13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Additional information with respect to factors that may cause actual results to differ materially from those contemplated by such forward-looking statements may also be included in other reports that United files with the SEC. United cautions that the foregoing list of factors is not exclusive and not to place undue reliance on forward-looking statements. United does not intend to update any forward-looking statement, whether written or oral, relating to the matters discussed in this Form 10-Q.</w:t>
      </w:r>
    </w:p>
    <w:p>
      <w:pPr>
        <w:sectPr>
          <w:pgSz w:w="11900" w:h="16838" w:orient="portrait"/>
          <w:cols w:equalWidth="0" w:num="1">
            <w:col w:w="11400"/>
          </w:cols>
          <w:pgMar w:left="240" w:top="459" w:right="259" w:bottom="1440" w:gutter="0" w:footer="0" w:header="0"/>
        </w:sectPr>
      </w:pP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00"/>
          </w:cols>
          <w:pgMar w:left="240" w:top="459" w:right="259" w:bottom="1440" w:gutter="0" w:footer="0" w:header="0"/>
          <w:type w:val="continuous"/>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following discussion is intended to provide insight into the results of operations and financial condition of United Community Banks, Inc. (“United”) and its subsidiaries and should be read in conjunction with the consolidated financial statements and accompanying notes.</w:t>
      </w:r>
    </w:p>
    <w:p>
      <w:pPr>
        <w:spacing w:after="0" w:line="132"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United is a bank holding company registered with the Board of Governors of the Federal Reserve under the Bank Holding Company Act of 1956 that was incorporated under the laws of the state of Georgia in 1987 and commenced operations in 1988. At September 30, 2012, United had total consolidated assets of $6.70 billion, total loans of $4.14 billion, excluding the loans acquired from Southern Community Bank (“SCB”) that are covered by loss sharing agreements and therefore have a different risk profile. United also had total deposits of $5.82 billion and shareholders’ equity of $585 million.</w:t>
      </w:r>
    </w:p>
    <w:p>
      <w:pPr>
        <w:spacing w:after="0" w:line="113"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United’s activities are primarily conducted by its wholly owned Georgia banking subsidiary, United Community Bank (the “Bank”). The Bank’s operations are conducted under a community bank model that operates 27 “community banks” with local bank presidents and boards in north Georgia, the Atlanta, Georgia metropolitan statistical area (the “Atlanta MSA”), the Gainesville, Georgia metropolitan statistical area (the “Gainesville MSA”), coastal Georgia, western North Carolina, and east Tennessee.</w:t>
      </w:r>
    </w:p>
    <w:p>
      <w:pPr>
        <w:spacing w:after="0" w:line="143"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Included in management’s discussion and analysis are certain non-GAAP (accounting principles generally accepted in the United States of America (“GAAP”)) performance measures. United’s management believes that non-GAAP performance measures are useful in analyzing United’s financial performance trends and therefore this section will refer to non-GAAP performance measures. A reconciliation of these non-GAAP performance measures to GAAP performance measures is included in the table on page 35.</w:t>
      </w:r>
    </w:p>
    <w:p>
      <w:pPr>
        <w:spacing w:after="0" w:line="143" w:lineRule="exact"/>
        <w:rPr>
          <w:sz w:val="20"/>
          <w:szCs w:val="20"/>
          <w:color w:val="auto"/>
        </w:rPr>
      </w:pPr>
    </w:p>
    <w:p>
      <w:pPr>
        <w:ind w:right="380"/>
        <w:spacing w:after="0" w:line="332" w:lineRule="auto"/>
        <w:rPr>
          <w:sz w:val="20"/>
          <w:szCs w:val="20"/>
          <w:color w:val="auto"/>
        </w:rPr>
      </w:pPr>
      <w:r>
        <w:rPr>
          <w:rFonts w:ascii="Arial" w:cs="Arial" w:eastAsia="Arial" w:hAnsi="Arial"/>
          <w:sz w:val="16"/>
          <w:szCs w:val="16"/>
          <w:color w:val="auto"/>
        </w:rPr>
        <w:t>United reported a net income of $10.6 million for the third quarter of 2012. This compared to a net loss of $11.3 million for the third quarter of 2011. Diluted earnings per common share was $.13 for the third quarter of 2012, compared to diluted loss per common share of $.25 for the third quarter of 2011.</w:t>
      </w:r>
    </w:p>
    <w:p>
      <w:pPr>
        <w:spacing w:after="0" w:line="8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For the nine months ended September 30, 2012, United reported net income of $28.6 million. This compared to a net loss of $237 million for the first nine months of 2011, which reflects the credit losses taken in the first quarter associated with United’s problem asset disposition plan (the “Problem Asset Disposition Plan”). United’s Board of Directors adopted the Problem Asset Disposition Plan in the first quarter of 2011 following a private placement transaction that raised $380 million in new capital (the “Private Placement”). Diluted earnings per common share was $.34 for the nine months ended September 30, 2012, compared with a loss per common share of $7.23 for the same period in 2011.</w:t>
      </w:r>
    </w:p>
    <w:p>
      <w:pPr>
        <w:spacing w:after="0" w:line="14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United’s provision for loan losses was $15.5 million for the three months ended September 30, 2012, compared to $36.0 million for the same period in 2011. The third quarter 2011 provision for loan losses included $25.0 million specifically related to United’s largest lending relationship. Net charge-offs for the third quarter of 2012 were $20.6 million, compared to $17.5 million for the third quarter of 2011. For the nine months ended September 30, 2012, United’s provision for loan losses was $48.5 million, compared to $237 million for the same period of 2011. Net charge-offs for the first nine months of 2012 were $55.3 million, compared to $266 million for the first nine months of 2011.</w:t>
      </w:r>
    </w:p>
    <w:p>
      <w:pPr>
        <w:spacing w:after="0" w:line="14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Since the execution of the Problem Asset Disposition Plan in the first quarter of 2011, United’s allowance for loan losses analysis has indicated a lower allowance requirement each quarter than the previous quarter resulting in provisions for loan losses that fall below the amount of net charge-offs. The only exception was the third quarter of 2011 due to the classification of United’s largest lending relationship. As United’s historical loss experience and other credit measures have improved, the amount of estimated loss inherent in the loan portfolio, as measured by United’s quarterly analysis of the allowance for loan losses, has decreased accordingly. In addition, third quarter 2012 net charge-offs included $4.71 million of charge-offs related to note sales and short sales of the collateral underlying certain notes of which $3.57 million of specific reserves had been established in the second quarter.</w:t>
      </w:r>
    </w:p>
    <w:p>
      <w:pPr>
        <w:spacing w:after="0" w:line="120"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During the first quarter of 2011, performing substandard loans with a pre-charge down carrying amount of $166 million and nonperforming loans with a pre-charge down carrying amount of $101 million were collectively written down to the expected sales proceeds of $80.6 million, in conjunction with a bulk loan sale that was part of the Problem Asset Disposition Plan (the “Bulk Loan Sale”). United recognized net charge-offs of $186 million related to the transfer of loans to the held for sale classification in the first quarter. The Bulk Loan Sale was completed on April 18, 2011. Proceeds from the sale were greater than originally estimated, resulting in a reduction of second quarter 2011 charge-offs of $7.27 million.</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As of September 30, 2012, United’s allowance for loan losses was $108 million, or 2.60% of loans, compared to $146 million, or 3.55% of loans, at</w:t>
      </w:r>
    </w:p>
    <w:p>
      <w:pPr>
        <w:spacing w:after="0" w:line="38" w:lineRule="exact"/>
        <w:rPr>
          <w:sz w:val="20"/>
          <w:szCs w:val="20"/>
          <w:color w:val="auto"/>
        </w:rPr>
      </w:pPr>
    </w:p>
    <w:p>
      <w:pPr>
        <w:ind w:right="60"/>
        <w:spacing w:after="0" w:line="295" w:lineRule="auto"/>
        <w:rPr>
          <w:sz w:val="20"/>
          <w:szCs w:val="20"/>
          <w:color w:val="auto"/>
        </w:rPr>
      </w:pPr>
      <w:r>
        <w:rPr>
          <w:rFonts w:ascii="Arial" w:cs="Arial" w:eastAsia="Arial" w:hAnsi="Arial"/>
          <w:sz w:val="16"/>
          <w:szCs w:val="16"/>
          <w:color w:val="auto"/>
        </w:rPr>
        <w:t>September 30, 2011. Nonperforming assets of $142 million, which excludes assets of SCB that are covered by loss sharing agreements with the FDIC, decreased to 2.12% of total assets at September 30, 2012 from 2.74% as of September 30, 2011. Nonperforming asset levels are impacted significantly by the inflow of new nonperforming loans and United’s ability to liquidate foreclosed properties. During the third quarter of 2011, United classified its largest lending relationship of $76.6 million, which caused nonperforming assets to increase for that period. Since that time, nonperforming assets have trended downward.</w:t>
      </w:r>
    </w:p>
    <w:p>
      <w:pPr>
        <w:spacing w:after="0" w:line="11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Taxable equivalent net interest revenue was $57.4 million for the third quarter of 2012, compared to $59.3 million for the same period of 2011. The decrease in net interest revenue was primarily the result of the lower yields on the loan and securities portfolios, which were due to intense loan pricing competition and reinvestment of maturing securities proceeds at record low rates as well as $179</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million in lower average investment securities balances for the quarter. Average loans for the quarter declined $46.7 million from the third quarter of 2011.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impact of the decrease in average loan balances was substantially offset by lower deposit rates. Net interest margin increased from 3.55% for the three months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ended September 30, 2011 to 3.60% for the same period in 2012. For the nine months ended September 30, 2012, taxable equivalent net interest revenue was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$173 million, compared to $175 million for the same period of 2011. Net interest margin increased from 3.42% for the nine months ended September 30, 2011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3.52% for the same period in 2012.</w:t>
      </w:r>
    </w:p>
    <w:p>
      <w:pPr>
        <w:spacing w:after="0" w:line="165"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Fee revenue increased $2.27 million, or 20%, from the third quarter of 2011 and increased $4.77 million, or 13%, from the first nine months of 2011. The quarterly and year to date increases were due to higher mortgage loan and related fees as well as an increase in service charges and fees. Mortgage refinancing activity continued to accelerate through the third quarter of 2012, as mortgage rates fell to record low levels. New service fees on demand deposit accounts that became effective January 1, 2012 more than offset lower overdraft fees.</w:t>
      </w:r>
    </w:p>
    <w:p>
      <w:pPr>
        <w:spacing w:after="0" w:line="143"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For the third quarter of 2012, operating expenses of $44.8 million were down $1.74 million from the third quarter of 2011. Lower salary and employee benefits accounted for $2.34 million of the decrease and were partially offset by 893,000 in higher foreclosed property costs. For the nine months ended September 30, 2012, operating expenses of $136 million were down $74.5 million from the same period of 2011. Foreclosed property costs were down $60.2 million from the first nine months of 2011, due to the writedowns taken in 2011 associated with the Problem Asset Disposition Plan. In addition, salaries and employee benefits were down $4.18 million and FDIC assessments and other regulatory charges were down $4.07 million for the nine months ended September 30, 2012 compared to the same period in 2011.</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9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On October 3, 2012, United completed a private offering (the “Offering”) of $35 million aggregate principal amount of 9.0% Senior Notes due 2017 (the “Notes”). The Notes were sold to three institutional purchasers (the “Purchasers”) at an offering price of 100% of face amount. Sandler O’Neill &amp; Partners, L.P. served as the placement agent. The proceeds from the Offering of the Notes will be used for general corporate purposes and, principally, to repay $30.5 million in subordinated debt of United that matures on December 15, 2012.</w:t>
      </w:r>
    </w:p>
    <w:p>
      <w:pPr>
        <w:spacing w:after="0" w:line="14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Notes were issued pursuant to an indenture (the “Indenture”), dated as of October 3, 2012, between United and Wilmington Trust, National Association, as trustee. Interest on the Notes will be payable semi-annually on April 15 and October 15 of each year, beginning on April 15, 2013. The Notes are not redeemable and will mature on October 15, 2017. The Indenture contains covenants that, among other things, limit the ability of United to create liens on the stock of its bank subsidiary.</w:t>
      </w:r>
    </w:p>
    <w:p>
      <w:pPr>
        <w:spacing w:after="0" w:line="143"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In connection with the Offering, United agreed to use its commercially reasonable efforts to file within 90 days with the SEC and cause to become effective, a resale registration statement for the benefit of the Purchasers relating to their potential resale of the Notes.</w:t>
      </w:r>
    </w:p>
    <w:p>
      <w:pPr>
        <w:spacing w:after="0" w:line="13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As previously disclosed on United’s Current Report on Form 8-K filed on October 22, 2012, United’s Audit Committee, after a thorough and a competitive process, authorized management to engage PricewaterhouseCoopers LLP (“PwC”) as its independent registered public accounting firm for the year ending December 31, 2013. PwC will replace the current independent registered public accounting firm, Porter Keadle Moore, LLC, upon the completion of the audit for the year ending December 31, 2012.</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accounting and reporting policies of United are in accordance with GAAP and conform to general practices within the banking industry. The more critical accounting and reporting policies include United’s accounting for the allowance for loan losses, fair value measurements, and income taxes. In particular, United’s accounting policies related to allowance for loan losses, fair value measurements and income taxes involve the use of estimates and require significant judgment to be made by management. Different assumptions in the application of these policies could result in material changes in United’s consolidated financial position or consolidated results of operations. See “Asset Quality and Risk Elements” herein for additional discussion of United’s accounting methodologies related to the allowance for loan losses.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GAAP Reconciliation and Explanation</w:t>
      </w:r>
    </w:p>
    <w:p>
      <w:pPr>
        <w:spacing w:after="0" w:line="9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This Form 10-Q contains non-GAAP financial measures, which are performance measures determined by methods other than in accordance with GAAP. Such non-GAAP financial measures include, among others the following: taxable equivalent interest revenue, taxable equivalent net interest revenue, tangible book value per share, tangible equity to assets, tangible common equity to assets and tangible common equity to risk-weighted assets. Management uses these non-GAAP financial measures because it believes they are useful for evaluating our operations and performance over periods of time, as well as in managing and evaluating our business and in discussions about our operations and performance. Management believes these non-GAAP financial measures provide users of our financial information with a meaningful measure for assessing our financial results and credit trends, as well as comparison to financial results for prior periods. These non-GAAP financial measures should not be considered as a substitute for operating results determined in accordance with GAAP and may not be comparable to other similarly titled financial measures used by other companies. A reconciliation of these operating performance measures to GAAP performance measures is included in on the table on page 35.</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5" w:name="page36"/>
    <w:bookmarkEnd w:id="35"/>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1 - Financial Highlights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Financial Information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3"/>
              </w:rPr>
              <w:t>2012</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7"/>
              </w:rPr>
              <w:t>Third</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vMerge w:val="continue"/>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2"/>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gridSpan w:val="2"/>
          </w:tcPr>
          <w:p>
            <w:pPr>
              <w:jc w:val="center"/>
              <w:ind w:right="380"/>
              <w:spacing w:after="0" w:line="141" w:lineRule="exact"/>
              <w:rPr>
                <w:sz w:val="20"/>
                <w:szCs w:val="20"/>
                <w:color w:val="auto"/>
              </w:rPr>
            </w:pPr>
            <w:r>
              <w:rPr>
                <w:rFonts w:ascii="Arial" w:cs="Arial" w:eastAsia="Arial" w:hAnsi="Arial"/>
                <w:sz w:val="14"/>
                <w:szCs w:val="14"/>
                <w:b w:val="1"/>
                <w:bCs w:val="1"/>
                <w:color w:val="auto"/>
                <w:w w:val="90"/>
              </w:rPr>
              <w:t>Quarter</w:t>
            </w:r>
          </w:p>
        </w:tc>
        <w:tc>
          <w:tcPr>
            <w:tcW w:w="100" w:type="dxa"/>
            <w:vAlign w:val="bottom"/>
          </w:tcPr>
          <w:p>
            <w:pPr>
              <w:spacing w:after="0"/>
              <w:rPr>
                <w:sz w:val="12"/>
                <w:szCs w:val="12"/>
                <w:color w:val="auto"/>
              </w:rPr>
            </w:pPr>
          </w:p>
        </w:tc>
        <w:tc>
          <w:tcPr>
            <w:tcW w:w="1960" w:type="dxa"/>
            <w:vAlign w:val="bottom"/>
            <w:gridSpan w:val="6"/>
          </w:tcPr>
          <w:p>
            <w:pPr>
              <w:jc w:val="right"/>
              <w:ind w:right="820"/>
              <w:spacing w:after="0" w:line="141" w:lineRule="exact"/>
              <w:rPr>
                <w:sz w:val="20"/>
                <w:szCs w:val="20"/>
                <w:color w:val="auto"/>
              </w:rPr>
            </w:pPr>
            <w:r>
              <w:rPr>
                <w:rFonts w:ascii="Arial" w:cs="Arial" w:eastAsia="Arial" w:hAnsi="Arial"/>
                <w:sz w:val="14"/>
                <w:szCs w:val="14"/>
                <w:b w:val="1"/>
                <w:bCs w:val="1"/>
                <w:color w:val="auto"/>
              </w:rPr>
              <w:t>For the Nine</w:t>
            </w:r>
          </w:p>
        </w:tc>
        <w:tc>
          <w:tcPr>
            <w:tcW w:w="880" w:type="dxa"/>
            <w:vAlign w:val="bottom"/>
            <w:gridSpan w:val="2"/>
          </w:tcPr>
          <w:p>
            <w:pPr>
              <w:jc w:val="right"/>
              <w:ind w:right="440"/>
              <w:spacing w:after="0" w:line="141" w:lineRule="exact"/>
              <w:rPr>
                <w:sz w:val="20"/>
                <w:szCs w:val="20"/>
                <w:color w:val="auto"/>
              </w:rPr>
            </w:pPr>
            <w:r>
              <w:rPr>
                <w:rFonts w:ascii="Arial" w:cs="Arial" w:eastAsia="Arial" w:hAnsi="Arial"/>
                <w:sz w:val="14"/>
                <w:szCs w:val="14"/>
                <w:b w:val="1"/>
                <w:bCs w:val="1"/>
                <w:color w:val="auto"/>
              </w:rPr>
              <w:t>YTD</w:t>
            </w:r>
          </w:p>
        </w:tc>
        <w:tc>
          <w:tcPr>
            <w:tcW w:w="0" w:type="dxa"/>
            <w:vAlign w:val="bottom"/>
          </w:tcPr>
          <w:p>
            <w:pPr>
              <w:spacing w:after="0"/>
              <w:rPr>
                <w:sz w:val="1"/>
                <w:szCs w:val="1"/>
                <w:color w:val="auto"/>
              </w:rPr>
            </w:pPr>
          </w:p>
        </w:tc>
      </w:tr>
      <w:tr>
        <w:trPr>
          <w:trHeight w:val="162"/>
        </w:trPr>
        <w:tc>
          <w:tcPr>
            <w:tcW w:w="2560" w:type="dxa"/>
            <w:vAlign w:val="bottom"/>
            <w:gridSpan w:val="3"/>
          </w:tcPr>
          <w:p>
            <w:pPr>
              <w:spacing w:after="0"/>
              <w:rPr>
                <w:sz w:val="20"/>
                <w:szCs w:val="20"/>
                <w:color w:val="auto"/>
              </w:rPr>
            </w:pPr>
            <w:r>
              <w:rPr>
                <w:rFonts w:ascii="Arial" w:cs="Arial" w:eastAsia="Arial" w:hAnsi="Arial"/>
                <w:sz w:val="14"/>
                <w:szCs w:val="14"/>
                <w:i w:val="1"/>
                <w:iCs w:val="1"/>
                <w:color w:val="auto"/>
              </w:rPr>
              <w:t>(in thousands, except per share</w:t>
            </w:r>
          </w:p>
        </w:tc>
        <w:tc>
          <w:tcPr>
            <w:tcW w:w="100" w:type="dxa"/>
            <w:vAlign w:val="bottom"/>
          </w:tcPr>
          <w:p>
            <w:pPr>
              <w:spacing w:after="0"/>
              <w:rPr>
                <w:sz w:val="14"/>
                <w:szCs w:val="14"/>
                <w:color w:val="auto"/>
              </w:rPr>
            </w:pPr>
          </w:p>
        </w:tc>
        <w:tc>
          <w:tcPr>
            <w:tcW w:w="8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Third</w:t>
            </w:r>
          </w:p>
        </w:tc>
        <w:tc>
          <w:tcPr>
            <w:tcW w:w="80" w:type="dxa"/>
            <w:vAlign w:val="bottom"/>
          </w:tcPr>
          <w:p>
            <w:pPr>
              <w:spacing w:after="0"/>
              <w:rPr>
                <w:sz w:val="14"/>
                <w:szCs w:val="14"/>
                <w:color w:val="auto"/>
              </w:rPr>
            </w:pPr>
          </w:p>
        </w:tc>
        <w:tc>
          <w:tcPr>
            <w:tcW w:w="8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2"/>
              </w:rPr>
              <w:t>Second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First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4"/>
              </w:rPr>
              <w:t>Fourth</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Third</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83"/>
              </w:rPr>
              <w:t>2012-2011</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Months Ended</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83"/>
              </w:rPr>
              <w:t>2012-2011</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560" w:type="dxa"/>
            <w:vAlign w:val="bottom"/>
            <w:gridSpan w:val="3"/>
          </w:tcPr>
          <w:p>
            <w:pPr>
              <w:spacing w:after="0" w:line="129" w:lineRule="exact"/>
              <w:rPr>
                <w:sz w:val="20"/>
                <w:szCs w:val="20"/>
                <w:color w:val="auto"/>
              </w:rPr>
            </w:pPr>
            <w:r>
              <w:rPr>
                <w:rFonts w:ascii="Arial" w:cs="Arial" w:eastAsia="Arial" w:hAnsi="Arial"/>
                <w:sz w:val="14"/>
                <w:szCs w:val="14"/>
                <w:i w:val="1"/>
                <w:iCs w:val="1"/>
                <w:color w:val="auto"/>
              </w:rPr>
              <w:t>data; taxable equivalent)</w:t>
            </w:r>
          </w:p>
        </w:tc>
        <w:tc>
          <w:tcPr>
            <w:tcW w:w="100" w:type="dxa"/>
            <w:vAlign w:val="bottom"/>
          </w:tcPr>
          <w:p>
            <w:pPr>
              <w:spacing w:after="0"/>
              <w:rPr>
                <w:sz w:val="11"/>
                <w:szCs w:val="11"/>
                <w:color w:val="auto"/>
              </w:rPr>
            </w:pPr>
          </w:p>
        </w:tc>
        <w:tc>
          <w:tcPr>
            <w:tcW w:w="880" w:type="dxa"/>
            <w:vAlign w:val="bottom"/>
            <w:gridSpan w:val="2"/>
          </w:tcPr>
          <w:p>
            <w:pPr>
              <w:jc w:val="right"/>
              <w:ind w:right="400"/>
              <w:spacing w:after="0" w:line="129" w:lineRule="exact"/>
              <w:rPr>
                <w:sz w:val="20"/>
                <w:szCs w:val="20"/>
                <w:color w:val="auto"/>
              </w:rPr>
            </w:pPr>
            <w:r>
              <w:rPr>
                <w:rFonts w:ascii="Arial" w:cs="Arial" w:eastAsia="Arial" w:hAnsi="Arial"/>
                <w:sz w:val="14"/>
                <w:szCs w:val="14"/>
                <w:b w:val="1"/>
                <w:bCs w:val="1"/>
                <w:color w:val="auto"/>
                <w:w w:val="90"/>
              </w:rPr>
              <w:t>Quarter</w:t>
            </w:r>
          </w:p>
        </w:tc>
        <w:tc>
          <w:tcPr>
            <w:tcW w:w="80" w:type="dxa"/>
            <w:vAlign w:val="bottom"/>
          </w:tcPr>
          <w:p>
            <w:pPr>
              <w:spacing w:after="0"/>
              <w:rPr>
                <w:sz w:val="11"/>
                <w:szCs w:val="11"/>
                <w:color w:val="auto"/>
              </w:rPr>
            </w:pPr>
          </w:p>
        </w:tc>
        <w:tc>
          <w:tcPr>
            <w:tcW w:w="800" w:type="dxa"/>
            <w:vAlign w:val="bottom"/>
            <w:gridSpan w:val="2"/>
          </w:tcPr>
          <w:p>
            <w:pPr>
              <w:jc w:val="center"/>
              <w:ind w:right="300"/>
              <w:spacing w:after="0" w:line="129" w:lineRule="exact"/>
              <w:rPr>
                <w:sz w:val="20"/>
                <w:szCs w:val="20"/>
                <w:color w:val="auto"/>
              </w:rPr>
            </w:pPr>
            <w:r>
              <w:rPr>
                <w:rFonts w:ascii="Arial" w:cs="Arial" w:eastAsia="Arial" w:hAnsi="Arial"/>
                <w:sz w:val="14"/>
                <w:szCs w:val="14"/>
                <w:b w:val="1"/>
                <w:bCs w:val="1"/>
                <w:color w:val="auto"/>
                <w:w w:val="90"/>
              </w:rPr>
              <w:t>Quarter</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right"/>
              <w:ind w:right="320"/>
              <w:spacing w:after="0" w:line="129" w:lineRule="exact"/>
              <w:rPr>
                <w:sz w:val="20"/>
                <w:szCs w:val="20"/>
                <w:color w:val="auto"/>
              </w:rPr>
            </w:pPr>
            <w:r>
              <w:rPr>
                <w:rFonts w:ascii="Arial" w:cs="Arial" w:eastAsia="Arial" w:hAnsi="Arial"/>
                <w:sz w:val="14"/>
                <w:szCs w:val="14"/>
                <w:b w:val="1"/>
                <w:bCs w:val="1"/>
                <w:color w:val="auto"/>
                <w:w w:val="90"/>
              </w:rPr>
              <w:t>Quarter</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right"/>
              <w:ind w:right="380"/>
              <w:spacing w:after="0" w:line="129" w:lineRule="exact"/>
              <w:rPr>
                <w:sz w:val="20"/>
                <w:szCs w:val="20"/>
                <w:color w:val="auto"/>
              </w:rPr>
            </w:pPr>
            <w:r>
              <w:rPr>
                <w:rFonts w:ascii="Arial" w:cs="Arial" w:eastAsia="Arial" w:hAnsi="Arial"/>
                <w:sz w:val="14"/>
                <w:szCs w:val="14"/>
                <w:b w:val="1"/>
                <w:bCs w:val="1"/>
                <w:color w:val="auto"/>
                <w:w w:val="90"/>
              </w:rPr>
              <w:t>Quarter</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jc w:val="right"/>
              <w:ind w:right="500"/>
              <w:spacing w:after="0" w:line="129" w:lineRule="exact"/>
              <w:rPr>
                <w:sz w:val="20"/>
                <w:szCs w:val="20"/>
                <w:color w:val="auto"/>
              </w:rPr>
            </w:pPr>
            <w:r>
              <w:rPr>
                <w:rFonts w:ascii="Arial" w:cs="Arial" w:eastAsia="Arial" w:hAnsi="Arial"/>
                <w:sz w:val="14"/>
                <w:szCs w:val="14"/>
                <w:b w:val="1"/>
                <w:bCs w:val="1"/>
                <w:color w:val="auto"/>
                <w:w w:val="90"/>
              </w:rPr>
              <w:t>Quarter</w:t>
            </w:r>
          </w:p>
        </w:tc>
        <w:tc>
          <w:tcPr>
            <w:tcW w:w="960" w:type="dxa"/>
            <w:vAlign w:val="bottom"/>
            <w:gridSpan w:val="2"/>
          </w:tcPr>
          <w:p>
            <w:pPr>
              <w:jc w:val="center"/>
              <w:ind w:right="400"/>
              <w:spacing w:after="0" w:line="129" w:lineRule="exact"/>
              <w:rPr>
                <w:sz w:val="20"/>
                <w:szCs w:val="20"/>
                <w:color w:val="auto"/>
              </w:rPr>
            </w:pPr>
            <w:r>
              <w:rPr>
                <w:rFonts w:ascii="Arial" w:cs="Arial" w:eastAsia="Arial" w:hAnsi="Arial"/>
                <w:sz w:val="14"/>
                <w:szCs w:val="14"/>
                <w:b w:val="1"/>
                <w:bCs w:val="1"/>
                <w:color w:val="auto"/>
                <w:w w:val="85"/>
              </w:rPr>
              <w:t>Change</w:t>
            </w: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114"/>
              <w:spacing w:after="0" w:line="129" w:lineRule="exact"/>
              <w:rPr>
                <w:sz w:val="20"/>
                <w:szCs w:val="20"/>
                <w:color w:val="auto"/>
              </w:rPr>
            </w:pPr>
            <w:r>
              <w:rPr>
                <w:rFonts w:ascii="Arial" w:cs="Arial" w:eastAsia="Arial" w:hAnsi="Arial"/>
                <w:sz w:val="14"/>
                <w:szCs w:val="14"/>
                <w:b w:val="1"/>
                <w:bCs w:val="1"/>
                <w:color w:val="auto"/>
              </w:rPr>
              <w:t>2012</w:t>
            </w:r>
          </w:p>
        </w:tc>
        <w:tc>
          <w:tcPr>
            <w:tcW w:w="2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ind w:right="153"/>
              <w:spacing w:after="0" w:line="129" w:lineRule="exact"/>
              <w:rPr>
                <w:sz w:val="20"/>
                <w:szCs w:val="20"/>
                <w:color w:val="auto"/>
              </w:rPr>
            </w:pPr>
            <w:r>
              <w:rPr>
                <w:rFonts w:ascii="Arial" w:cs="Arial" w:eastAsia="Arial" w:hAnsi="Arial"/>
                <w:sz w:val="14"/>
                <w:szCs w:val="14"/>
                <w:b w:val="1"/>
                <w:bCs w:val="1"/>
                <w:color w:val="auto"/>
              </w:rPr>
              <w:t>2011</w:t>
            </w:r>
          </w:p>
        </w:tc>
        <w:tc>
          <w:tcPr>
            <w:tcW w:w="340" w:type="dxa"/>
            <w:vAlign w:val="bottom"/>
          </w:tcPr>
          <w:p>
            <w:pPr>
              <w:spacing w:after="0"/>
              <w:rPr>
                <w:sz w:val="11"/>
                <w:szCs w:val="11"/>
                <w:color w:val="auto"/>
              </w:rPr>
            </w:pPr>
          </w:p>
        </w:tc>
        <w:tc>
          <w:tcPr>
            <w:tcW w:w="880" w:type="dxa"/>
            <w:vAlign w:val="bottom"/>
            <w:gridSpan w:val="2"/>
          </w:tcPr>
          <w:p>
            <w:pPr>
              <w:jc w:val="right"/>
              <w:ind w:right="360"/>
              <w:spacing w:after="0" w:line="129" w:lineRule="exact"/>
              <w:rPr>
                <w:sz w:val="20"/>
                <w:szCs w:val="20"/>
                <w:color w:val="auto"/>
              </w:rPr>
            </w:pPr>
            <w:r>
              <w:rPr>
                <w:rFonts w:ascii="Arial" w:cs="Arial" w:eastAsia="Arial" w:hAnsi="Arial"/>
                <w:sz w:val="14"/>
                <w:szCs w:val="14"/>
                <w:b w:val="1"/>
                <w:bCs w:val="1"/>
                <w:color w:val="auto"/>
                <w:w w:val="97"/>
              </w:rPr>
              <w:t>Change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Borders>
              <w:bottom w:val="single" w:sz="8" w:color="CCEEFF"/>
            </w:tcBorders>
            <w:shd w:val="clear" w:color="auto" w:fill="000000"/>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254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INCOME SUMMARY</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gridSpan w:val="2"/>
          </w:tcPr>
          <w:p>
            <w:pPr>
              <w:spacing w:after="0"/>
              <w:rPr>
                <w:sz w:val="20"/>
                <w:szCs w:val="20"/>
                <w:color w:val="auto"/>
              </w:rPr>
            </w:pPr>
            <w:r>
              <w:rPr>
                <w:rFonts w:ascii="Arial" w:cs="Arial" w:eastAsia="Arial" w:hAnsi="Arial"/>
                <w:sz w:val="18"/>
                <w:szCs w:val="18"/>
                <w:color w:val="auto"/>
              </w:rPr>
              <w:t>Interest revenue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65,978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66,780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70,221</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71,905</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74,543</w:t>
            </w: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202,979</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227,439</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8,607</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9,944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11,357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12,855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15,262</w:t>
            </w: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29,908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52,820</w:t>
            </w: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40" w:type="dxa"/>
            <w:vAlign w:val="bottom"/>
            <w:gridSpan w:val="2"/>
            <w:vMerge w:val="restart"/>
          </w:tcPr>
          <w:p>
            <w:pPr>
              <w:ind w:left="860"/>
              <w:spacing w:after="0"/>
              <w:rPr>
                <w:sz w:val="20"/>
                <w:szCs w:val="20"/>
                <w:color w:val="auto"/>
              </w:rPr>
            </w:pPr>
            <w:r>
              <w:rPr>
                <w:rFonts w:ascii="Arial" w:cs="Arial" w:eastAsia="Arial" w:hAnsi="Arial"/>
                <w:sz w:val="18"/>
                <w:szCs w:val="18"/>
                <w:color w:val="auto"/>
              </w:rPr>
              <w:t>Net interest revenue</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(3) %</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(1) %</w:t>
            </w: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25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57,371</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56,836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58,864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59,050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59,281</w:t>
            </w:r>
          </w:p>
        </w:tc>
        <w:tc>
          <w:tcPr>
            <w:tcW w:w="400" w:type="dxa"/>
            <w:vAlign w:val="bottom"/>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173,071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174,619</w:t>
            </w:r>
          </w:p>
        </w:tc>
        <w:tc>
          <w:tcPr>
            <w:tcW w:w="8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 loan losses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15,500</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18,000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14,000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36,000</w:t>
            </w: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48,500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237,000</w:t>
            </w: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gridSpan w:val="2"/>
          </w:tcPr>
          <w:p>
            <w:pPr>
              <w:spacing w:after="0"/>
              <w:rPr>
                <w:sz w:val="20"/>
                <w:szCs w:val="20"/>
                <w:color w:val="auto"/>
              </w:rPr>
            </w:pPr>
            <w:r>
              <w:rPr>
                <w:rFonts w:ascii="Arial" w:cs="Arial" w:eastAsia="Arial" w:hAnsi="Arial"/>
                <w:sz w:val="18"/>
                <w:szCs w:val="18"/>
                <w:color w:val="auto"/>
              </w:rPr>
              <w:t>Fee revenue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13,764</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12,867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15,379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12,667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11,498</w:t>
            </w:r>
          </w:p>
        </w:tc>
        <w:tc>
          <w:tcPr>
            <w:tcW w:w="580" w:type="dxa"/>
            <w:vAlign w:val="bottom"/>
          </w:tcPr>
          <w:p>
            <w:pPr>
              <w:jc w:val="right"/>
              <w:spacing w:after="0"/>
              <w:rPr>
                <w:sz w:val="20"/>
                <w:szCs w:val="20"/>
                <w:color w:val="auto"/>
              </w:rPr>
            </w:pPr>
            <w:r>
              <w:rPr>
                <w:rFonts w:ascii="Arial" w:cs="Arial" w:eastAsia="Arial" w:hAnsi="Arial"/>
                <w:sz w:val="18"/>
                <w:szCs w:val="18"/>
                <w:color w:val="auto"/>
              </w:rPr>
              <w:t>20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42,010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37,241</w:t>
            </w:r>
          </w:p>
        </w:tc>
        <w:tc>
          <w:tcPr>
            <w:tcW w:w="580" w:type="dxa"/>
            <w:vAlign w:val="bottom"/>
          </w:tcPr>
          <w:p>
            <w:pPr>
              <w:jc w:val="right"/>
              <w:spacing w:after="0"/>
              <w:rPr>
                <w:sz w:val="20"/>
                <w:szCs w:val="20"/>
                <w:color w:val="auto"/>
              </w:rPr>
            </w:pPr>
            <w:r>
              <w:rPr>
                <w:rFonts w:ascii="Arial" w:cs="Arial" w:eastAsia="Arial" w:hAnsi="Arial"/>
                <w:sz w:val="18"/>
                <w:szCs w:val="18"/>
                <w:color w:val="auto"/>
              </w:rPr>
              <w:t>13</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gridSpan w:val="2"/>
            <w:shd w:val="clear" w:color="auto" w:fill="CCEEFF"/>
          </w:tcPr>
          <w:p>
            <w:pPr>
              <w:ind w:left="860"/>
              <w:spacing w:after="0"/>
              <w:rPr>
                <w:sz w:val="20"/>
                <w:szCs w:val="20"/>
                <w:color w:val="auto"/>
              </w:rPr>
            </w:pPr>
            <w:r>
              <w:rPr>
                <w:rFonts w:ascii="Arial" w:cs="Arial" w:eastAsia="Arial" w:hAnsi="Arial"/>
                <w:sz w:val="18"/>
                <w:szCs w:val="18"/>
                <w:b w:val="1"/>
                <w:bCs w:val="1"/>
                <w:color w:val="auto"/>
              </w:rPr>
              <w:t>Total revenue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55,635</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51,703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59,243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57,717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34,779</w:t>
            </w: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166,581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(25,140)</w:t>
            </w: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5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44,783</w:t>
            </w:r>
          </w:p>
        </w:tc>
        <w:tc>
          <w:tcPr>
            <w:tcW w:w="8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44,310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46,955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51,080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46,520</w:t>
            </w:r>
          </w:p>
        </w:tc>
        <w:tc>
          <w:tcPr>
            <w:tcW w:w="400" w:type="dxa"/>
            <w:vAlign w:val="bottom"/>
          </w:tcPr>
          <w:p>
            <w:pPr>
              <w:spacing w:after="0"/>
              <w:rPr>
                <w:sz w:val="19"/>
                <w:szCs w:val="19"/>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136,048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210,519</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Income (loss) before</w:t>
            </w: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54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income taxes</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10,852</w:t>
            </w:r>
          </w:p>
        </w:tc>
        <w:tc>
          <w:tcPr>
            <w:tcW w:w="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7,393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12,288</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6,637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(11,741)</w:t>
            </w:r>
          </w:p>
        </w:tc>
        <w:tc>
          <w:tcPr>
            <w:tcW w:w="5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30,533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5"/>
              </w:rPr>
              <w:t>(235,659)</w:t>
            </w:r>
          </w:p>
        </w:tc>
        <w:tc>
          <w:tcPr>
            <w:tcW w:w="5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gridSpan w:val="2"/>
          </w:tcPr>
          <w:p>
            <w:pPr>
              <w:spacing w:after="0"/>
              <w:rPr>
                <w:sz w:val="20"/>
                <w:szCs w:val="20"/>
                <w:color w:val="auto"/>
              </w:rPr>
            </w:pPr>
            <w:r>
              <w:rPr>
                <w:rFonts w:ascii="Arial" w:cs="Arial" w:eastAsia="Arial" w:hAnsi="Arial"/>
                <w:sz w:val="18"/>
                <w:szCs w:val="18"/>
                <w:color w:val="auto"/>
              </w:rPr>
              <w:t>Income tax expense (benefit)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284</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894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760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(3,264)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(402)</w:t>
            </w: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1,938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988</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gridSpan w:val="2"/>
            <w:shd w:val="clear" w:color="auto" w:fill="CCEEFF"/>
          </w:tcPr>
          <w:p>
            <w:pPr>
              <w:ind w:left="860"/>
              <w:spacing w:after="0"/>
              <w:rPr>
                <w:sz w:val="20"/>
                <w:szCs w:val="20"/>
                <w:color w:val="auto"/>
              </w:rPr>
            </w:pPr>
            <w:r>
              <w:rPr>
                <w:rFonts w:ascii="Arial" w:cs="Arial" w:eastAsia="Arial" w:hAnsi="Arial"/>
                <w:sz w:val="18"/>
                <w:szCs w:val="18"/>
                <w:b w:val="1"/>
                <w:bCs w:val="1"/>
                <w:color w:val="auto"/>
              </w:rPr>
              <w:t>Net income (loss)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10,568</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6,499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11,528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9,901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(11,339)</w:t>
            </w: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28,595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5"/>
              </w:rPr>
              <w:t>(236,647)</w:t>
            </w: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40" w:type="dxa"/>
            <w:vAlign w:val="bottom"/>
            <w:gridSpan w:val="2"/>
          </w:tcPr>
          <w:p>
            <w:pPr>
              <w:spacing w:after="0"/>
              <w:rPr>
                <w:sz w:val="20"/>
                <w:szCs w:val="20"/>
                <w:color w:val="auto"/>
              </w:rPr>
            </w:pPr>
            <w:r>
              <w:rPr>
                <w:rFonts w:ascii="Arial" w:cs="Arial" w:eastAsia="Arial" w:hAnsi="Arial"/>
                <w:sz w:val="18"/>
                <w:szCs w:val="18"/>
                <w:color w:val="auto"/>
                <w:w w:val="95"/>
              </w:rPr>
              <w:t>Preferred dividends and discount</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2540" w:type="dxa"/>
            <w:vAlign w:val="bottom"/>
            <w:gridSpan w:val="2"/>
          </w:tcPr>
          <w:p>
            <w:pPr>
              <w:ind w:left="200"/>
              <w:spacing w:after="0"/>
              <w:rPr>
                <w:sz w:val="20"/>
                <w:szCs w:val="20"/>
                <w:color w:val="auto"/>
              </w:rPr>
            </w:pPr>
            <w:r>
              <w:rPr>
                <w:rFonts w:ascii="Arial" w:cs="Arial" w:eastAsia="Arial" w:hAnsi="Arial"/>
                <w:sz w:val="18"/>
                <w:szCs w:val="18"/>
                <w:color w:val="auto"/>
              </w:rPr>
              <w:t>accretion</w:t>
            </w:r>
          </w:p>
        </w:tc>
        <w:tc>
          <w:tcPr>
            <w:tcW w:w="100" w:type="dxa"/>
            <w:vAlign w:val="bottom"/>
          </w:tcPr>
          <w:p>
            <w:pPr>
              <w:spacing w:after="0"/>
              <w:rPr>
                <w:sz w:val="20"/>
                <w:szCs w:val="20"/>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3,041</w:t>
            </w:r>
          </w:p>
        </w:tc>
        <w:tc>
          <w:tcPr>
            <w:tcW w:w="8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3,032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3,030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3,025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3,019</w:t>
            </w:r>
          </w:p>
        </w:tc>
        <w:tc>
          <w:tcPr>
            <w:tcW w:w="4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9,103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8,813</w:t>
            </w: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b w:val="1"/>
                <w:bCs w:val="1"/>
                <w:color w:val="auto"/>
                <w:w w:val="99"/>
              </w:rPr>
              <w:t>Net income (loss) available to</w:t>
            </w: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4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common shareholders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7,527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3,467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8,498</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6,876</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(14,358)</w:t>
            </w:r>
          </w:p>
        </w:tc>
        <w:tc>
          <w:tcPr>
            <w:tcW w:w="5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19,492</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5"/>
              </w:rPr>
              <w:t>(245,460)</w:t>
            </w:r>
          </w:p>
        </w:tc>
        <w:tc>
          <w:tcPr>
            <w:tcW w:w="5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5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PERFORMANCE MEASURES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56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Per common share: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gridSpan w:val="2"/>
          </w:tcPr>
          <w:p>
            <w:pPr>
              <w:ind w:left="860"/>
              <w:spacing w:after="0"/>
              <w:rPr>
                <w:sz w:val="20"/>
                <w:szCs w:val="20"/>
                <w:color w:val="auto"/>
              </w:rPr>
            </w:pPr>
            <w:r>
              <w:rPr>
                <w:rFonts w:ascii="Arial" w:cs="Arial" w:eastAsia="Arial" w:hAnsi="Arial"/>
                <w:sz w:val="18"/>
                <w:szCs w:val="18"/>
                <w:color w:val="auto"/>
                <w:w w:val="98"/>
              </w:rPr>
              <w:t>Diluted income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.13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.06</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.15</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.12</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(.25)</w:t>
            </w: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.34</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(7.23)</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Book value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6.75</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6.62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6.77</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40" w:type="dxa"/>
            <w:vAlign w:val="bottom"/>
            <w:gridSpan w:val="2"/>
          </w:tcPr>
          <w:p>
            <w:pPr>
              <w:ind w:left="860"/>
              <w:spacing w:after="0" w:line="162" w:lineRule="exact"/>
              <w:rPr>
                <w:sz w:val="20"/>
                <w:szCs w:val="20"/>
                <w:color w:val="auto"/>
              </w:rPr>
            </w:pPr>
            <w:r>
              <w:rPr>
                <w:rFonts w:ascii="Arial" w:cs="Arial" w:eastAsia="Arial" w:hAnsi="Arial"/>
                <w:sz w:val="18"/>
                <w:szCs w:val="18"/>
                <w:color w:val="auto"/>
              </w:rPr>
              <w:t>Tangible book value</w:t>
            </w:r>
          </w:p>
        </w:tc>
        <w:tc>
          <w:tcPr>
            <w:tcW w:w="100" w:type="dxa"/>
            <w:vAlign w:val="bottom"/>
          </w:tcPr>
          <w:p>
            <w:pPr>
              <w:spacing w:after="0"/>
              <w:rPr>
                <w:sz w:val="14"/>
                <w:szCs w:val="14"/>
                <w:color w:val="auto"/>
              </w:rPr>
            </w:pPr>
          </w:p>
        </w:tc>
        <w:tc>
          <w:tcPr>
            <w:tcW w:w="88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6.64</w:t>
            </w:r>
          </w:p>
        </w:tc>
        <w:tc>
          <w:tcPr>
            <w:tcW w:w="80" w:type="dxa"/>
            <w:vAlign w:val="bottom"/>
          </w:tcPr>
          <w:p>
            <w:pPr>
              <w:spacing w:after="0"/>
              <w:rPr>
                <w:sz w:val="14"/>
                <w:szCs w:val="14"/>
                <w:color w:val="auto"/>
              </w:rPr>
            </w:pPr>
          </w:p>
        </w:tc>
        <w:tc>
          <w:tcPr>
            <w:tcW w:w="8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6.48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6.54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6.47</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6.61</w:t>
            </w:r>
          </w:p>
        </w:tc>
        <w:tc>
          <w:tcPr>
            <w:tcW w:w="400" w:type="dxa"/>
            <w:vAlign w:val="bottom"/>
          </w:tcPr>
          <w:p>
            <w:pPr>
              <w:spacing w:after="0"/>
              <w:rPr>
                <w:sz w:val="14"/>
                <w:szCs w:val="14"/>
                <w:color w:val="auto"/>
              </w:rPr>
            </w:pPr>
          </w:p>
        </w:tc>
        <w:tc>
          <w:tcPr>
            <w:tcW w:w="960" w:type="dxa"/>
            <w:vAlign w:val="bottom"/>
            <w:gridSpan w:val="2"/>
            <w:vMerge w:val="restart"/>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4"/>
                <w:szCs w:val="14"/>
                <w:color w:val="auto"/>
              </w:rPr>
            </w:pPr>
          </w:p>
        </w:tc>
        <w:tc>
          <w:tcPr>
            <w:tcW w:w="8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6.64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restart"/>
          </w:tcPr>
          <w:p>
            <w:pPr>
              <w:jc w:val="right"/>
              <w:ind w:right="340"/>
              <w:spacing w:after="0"/>
              <w:rPr>
                <w:sz w:val="20"/>
                <w:szCs w:val="20"/>
                <w:color w:val="auto"/>
              </w:rPr>
            </w:pPr>
            <w:r>
              <w:rPr>
                <w:rFonts w:ascii="Arial" w:cs="Arial" w:eastAsia="Arial" w:hAnsi="Arial"/>
                <w:sz w:val="18"/>
                <w:szCs w:val="18"/>
                <w:color w:val="auto"/>
              </w:rPr>
              <w:t>6.61</w:t>
            </w:r>
          </w:p>
        </w:tc>
        <w:tc>
          <w:tcPr>
            <w:tcW w:w="880" w:type="dxa"/>
            <w:vAlign w:val="bottom"/>
            <w:gridSpan w:val="2"/>
            <w:vMerge w:val="restart"/>
          </w:tcPr>
          <w:p>
            <w:pPr>
              <w:jc w:val="right"/>
              <w:ind w:righ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4"/>
        </w:trPr>
        <w:tc>
          <w:tcPr>
            <w:tcW w:w="1460" w:type="dxa"/>
            <w:vAlign w:val="bottom"/>
            <w:gridSpan w:val="2"/>
          </w:tcPr>
          <w:p>
            <w:pPr>
              <w:ind w:left="1080"/>
              <w:spacing w:after="0"/>
              <w:rPr>
                <w:sz w:val="20"/>
                <w:szCs w:val="20"/>
                <w:color w:val="auto"/>
              </w:rPr>
            </w:pPr>
            <w:r>
              <w:rPr>
                <w:rFonts w:ascii="Arial" w:cs="Arial" w:eastAsia="Arial" w:hAnsi="Arial"/>
                <w:sz w:val="11"/>
                <w:szCs w:val="11"/>
                <w:color w:val="auto"/>
              </w:rPr>
              <w:t>(2)</w:t>
            </w: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Key performance ratios: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gridSpan w:val="2"/>
          </w:tcPr>
          <w:p>
            <w:pPr>
              <w:ind w:left="860"/>
              <w:spacing w:after="0"/>
              <w:rPr>
                <w:sz w:val="20"/>
                <w:szCs w:val="20"/>
                <w:color w:val="auto"/>
              </w:rPr>
            </w:pPr>
            <w:r>
              <w:rPr>
                <w:rFonts w:ascii="Arial" w:cs="Arial" w:eastAsia="Arial" w:hAnsi="Arial"/>
                <w:sz w:val="18"/>
                <w:szCs w:val="18"/>
                <w:color w:val="auto"/>
              </w:rPr>
              <w:t xml:space="preserve">Return on equity </w:t>
            </w:r>
            <w:r>
              <w:rPr>
                <w:rFonts w:ascii="Arial" w:cs="Arial" w:eastAsia="Arial" w:hAnsi="Arial"/>
                <w:sz w:val="11"/>
                <w:szCs w:val="11"/>
                <w:color w:val="auto"/>
              </w:rPr>
              <w:t>(1)(3)</w:t>
            </w: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7.43%</w:t>
            </w:r>
          </w:p>
        </w:tc>
        <w:tc>
          <w:tcPr>
            <w:tcW w:w="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3.51%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8.78%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7.40%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(15.06) %</w:t>
            </w: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6.57%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(151.32)%</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 xml:space="preserve">Return on assets </w:t>
            </w:r>
            <w:r>
              <w:rPr>
                <w:rFonts w:ascii="Arial" w:cs="Arial" w:eastAsia="Arial" w:hAnsi="Arial"/>
                <w:sz w:val="11"/>
                <w:szCs w:val="11"/>
                <w:color w:val="auto"/>
              </w:rPr>
              <w:t>(3)</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.63</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(.64)</w:t>
            </w: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(4.37)</w:t>
            </w: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gridSpan w:val="2"/>
          </w:tcPr>
          <w:p>
            <w:pPr>
              <w:ind w:left="860"/>
              <w:spacing w:after="0"/>
              <w:rPr>
                <w:sz w:val="20"/>
                <w:szCs w:val="20"/>
                <w:color w:val="auto"/>
              </w:rPr>
            </w:pPr>
            <w:r>
              <w:rPr>
                <w:rFonts w:ascii="Arial" w:cs="Arial" w:eastAsia="Arial" w:hAnsi="Arial"/>
                <w:sz w:val="18"/>
                <w:szCs w:val="18"/>
                <w:color w:val="auto"/>
                <w:w w:val="97"/>
              </w:rPr>
              <w:t xml:space="preserve">Net interest margin </w:t>
            </w:r>
            <w:r>
              <w:rPr>
                <w:rFonts w:ascii="Arial" w:cs="Arial" w:eastAsia="Arial" w:hAnsi="Arial"/>
                <w:sz w:val="11"/>
                <w:szCs w:val="11"/>
                <w:color w:val="auto"/>
                <w:w w:val="97"/>
              </w:rPr>
              <w:t>(3)</w:t>
            </w: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3.60</w:t>
            </w:r>
          </w:p>
        </w:tc>
        <w:tc>
          <w:tcPr>
            <w:tcW w:w="8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3.43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3.53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3.51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3.55</w:t>
            </w: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3.52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3.42</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Efficiency ratio</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62.95</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63.84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63.31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71.23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65.73</w:t>
            </w: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63.36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99.39</w:t>
            </w: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gridSpan w:val="2"/>
          </w:tcPr>
          <w:p>
            <w:pPr>
              <w:ind w:left="860"/>
              <w:spacing w:after="0"/>
              <w:rPr>
                <w:sz w:val="20"/>
                <w:szCs w:val="20"/>
                <w:color w:val="auto"/>
              </w:rPr>
            </w:pPr>
            <w:r>
              <w:rPr>
                <w:rFonts w:ascii="Arial" w:cs="Arial" w:eastAsia="Arial" w:hAnsi="Arial"/>
                <w:sz w:val="18"/>
                <w:szCs w:val="18"/>
                <w:color w:val="auto"/>
              </w:rPr>
              <w:t>Equity to assets</w:t>
            </w: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8.75</w:t>
            </w:r>
          </w:p>
        </w:tc>
        <w:tc>
          <w:tcPr>
            <w:tcW w:w="8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8.33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8.19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8.28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8.55</w:t>
            </w: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8.42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7.58</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Tangible equity to</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54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 xml:space="preserve">assets </w:t>
            </w:r>
            <w:r>
              <w:rPr>
                <w:rFonts w:ascii="Arial" w:cs="Arial" w:eastAsia="Arial" w:hAnsi="Arial"/>
                <w:sz w:val="11"/>
                <w:szCs w:val="11"/>
                <w:color w:val="auto"/>
              </w:rPr>
              <w:t>(2)</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8.66</w:t>
            </w:r>
          </w:p>
        </w:tc>
        <w:tc>
          <w:tcPr>
            <w:tcW w:w="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8.08</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8.16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4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7.47</w:t>
            </w:r>
          </w:p>
        </w:tc>
        <w:tc>
          <w:tcPr>
            <w:tcW w:w="5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40" w:type="dxa"/>
            <w:vAlign w:val="bottom"/>
            <w:gridSpan w:val="2"/>
          </w:tcPr>
          <w:p>
            <w:pPr>
              <w:ind w:left="860"/>
              <w:spacing w:after="0"/>
              <w:rPr>
                <w:sz w:val="20"/>
                <w:szCs w:val="20"/>
                <w:color w:val="auto"/>
              </w:rPr>
            </w:pPr>
            <w:r>
              <w:rPr>
                <w:rFonts w:ascii="Arial" w:cs="Arial" w:eastAsia="Arial" w:hAnsi="Arial"/>
                <w:sz w:val="18"/>
                <w:szCs w:val="18"/>
                <w:color w:val="auto"/>
              </w:rPr>
              <w:t>Tangible common</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540" w:type="dxa"/>
            <w:vAlign w:val="bottom"/>
            <w:gridSpan w:val="2"/>
          </w:tcPr>
          <w:p>
            <w:pPr>
              <w:ind w:left="1060"/>
              <w:spacing w:after="0"/>
              <w:rPr>
                <w:sz w:val="20"/>
                <w:szCs w:val="20"/>
                <w:color w:val="auto"/>
              </w:rPr>
            </w:pPr>
            <w:r>
              <w:rPr>
                <w:rFonts w:ascii="Arial" w:cs="Arial" w:eastAsia="Arial" w:hAnsi="Arial"/>
                <w:sz w:val="18"/>
                <w:szCs w:val="18"/>
                <w:color w:val="auto"/>
              </w:rPr>
              <w:t xml:space="preserve">equity to assets </w:t>
            </w:r>
            <w:r>
              <w:rPr>
                <w:rFonts w:ascii="Arial" w:cs="Arial" w:eastAsia="Arial" w:hAnsi="Arial"/>
                <w:sz w:val="11"/>
                <w:szCs w:val="11"/>
                <w:color w:val="auto"/>
              </w:rPr>
              <w:t>(2)</w:t>
            </w:r>
          </w:p>
        </w:tc>
        <w:tc>
          <w:tcPr>
            <w:tcW w:w="10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5.73</w:t>
            </w:r>
          </w:p>
        </w:tc>
        <w:tc>
          <w:tcPr>
            <w:tcW w:w="8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5.45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5.33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5.38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5.65</w:t>
            </w:r>
          </w:p>
        </w:tc>
        <w:tc>
          <w:tcPr>
            <w:tcW w:w="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5.50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3.23</w:t>
            </w: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Tangible common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equity to risk-</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54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w w:val="98"/>
              </w:rPr>
              <w:t xml:space="preserve">weighted assets </w:t>
            </w:r>
            <w:r>
              <w:rPr>
                <w:rFonts w:ascii="Arial" w:cs="Arial" w:eastAsia="Arial" w:hAnsi="Arial"/>
                <w:sz w:val="11"/>
                <w:szCs w:val="11"/>
                <w:color w:val="auto"/>
                <w:w w:val="98"/>
              </w:rPr>
              <w:t>(2)</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8.44</w:t>
            </w:r>
          </w:p>
        </w:tc>
        <w:tc>
          <w:tcPr>
            <w:tcW w:w="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8.25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w:t>
            </w:r>
          </w:p>
        </w:tc>
        <w:tc>
          <w:tcPr>
            <w:tcW w:w="4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8.52</w:t>
            </w:r>
          </w:p>
        </w:tc>
        <w:tc>
          <w:tcPr>
            <w:tcW w:w="5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gridSpan w:val="2"/>
          </w:tcPr>
          <w:p>
            <w:pPr>
              <w:spacing w:after="0"/>
              <w:rPr>
                <w:sz w:val="20"/>
                <w:szCs w:val="20"/>
                <w:color w:val="auto"/>
              </w:rPr>
            </w:pPr>
            <w:r>
              <w:rPr>
                <w:rFonts w:ascii="Arial" w:cs="Arial" w:eastAsia="Arial" w:hAnsi="Arial"/>
                <w:sz w:val="18"/>
                <w:szCs w:val="18"/>
                <w:b w:val="1"/>
                <w:bCs w:val="1"/>
                <w:color w:val="auto"/>
              </w:rPr>
              <w:t>ASSET QUALITY *</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Non-performing loans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115,001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115,340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129,704</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127,479</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144,484</w:t>
            </w: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115,001</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144,484</w:t>
            </w: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540" w:type="dxa"/>
            <w:vAlign w:val="bottom"/>
            <w:gridSpan w:val="2"/>
          </w:tcPr>
          <w:p>
            <w:pPr>
              <w:ind w:left="420"/>
              <w:spacing w:after="0"/>
              <w:rPr>
                <w:sz w:val="20"/>
                <w:szCs w:val="20"/>
                <w:color w:val="auto"/>
              </w:rPr>
            </w:pPr>
            <w:r>
              <w:rPr>
                <w:rFonts w:ascii="Arial" w:cs="Arial" w:eastAsia="Arial" w:hAnsi="Arial"/>
                <w:sz w:val="18"/>
                <w:szCs w:val="18"/>
                <w:color w:val="auto"/>
              </w:rPr>
              <w:t>Foreclosed properties</w:t>
            </w:r>
          </w:p>
        </w:tc>
        <w:tc>
          <w:tcPr>
            <w:tcW w:w="10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26,958</w:t>
            </w:r>
          </w:p>
        </w:tc>
        <w:tc>
          <w:tcPr>
            <w:tcW w:w="8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30,421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31,887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32,859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44,263</w:t>
            </w:r>
          </w:p>
        </w:tc>
        <w:tc>
          <w:tcPr>
            <w:tcW w:w="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26,958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44,263</w:t>
            </w: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w w:val="99"/>
              </w:rPr>
              <w:t>Total non-performing</w:t>
            </w: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54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assets (NPAs)</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141,959</w:t>
            </w:r>
          </w:p>
        </w:tc>
        <w:tc>
          <w:tcPr>
            <w:tcW w:w="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145,761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161,591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160,338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188,747</w:t>
            </w:r>
          </w:p>
        </w:tc>
        <w:tc>
          <w:tcPr>
            <w:tcW w:w="4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141,959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188,747</w:t>
            </w:r>
          </w:p>
        </w:tc>
        <w:tc>
          <w:tcPr>
            <w:tcW w:w="5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gridSpan w:val="2"/>
          </w:tcPr>
          <w:p>
            <w:pPr>
              <w:ind w:left="420"/>
              <w:spacing w:after="0"/>
              <w:rPr>
                <w:sz w:val="20"/>
                <w:szCs w:val="20"/>
                <w:color w:val="auto"/>
              </w:rPr>
            </w:pPr>
            <w:r>
              <w:rPr>
                <w:rFonts w:ascii="Arial" w:cs="Arial" w:eastAsia="Arial" w:hAnsi="Arial"/>
                <w:sz w:val="18"/>
                <w:szCs w:val="18"/>
                <w:color w:val="auto"/>
              </w:rPr>
              <w:t>Allowance for loan losses</w:t>
            </w: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107,642</w:t>
            </w:r>
          </w:p>
        </w:tc>
        <w:tc>
          <w:tcPr>
            <w:tcW w:w="8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112,705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113,601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114,468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146,092</w:t>
            </w: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107,642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146,092</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charge-offs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20,563</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18,896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15,867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45,624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17,546</w:t>
            </w: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55,326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265,603</w:t>
            </w: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40" w:type="dxa"/>
            <w:vAlign w:val="bottom"/>
            <w:gridSpan w:val="2"/>
          </w:tcPr>
          <w:p>
            <w:pPr>
              <w:ind w:left="420"/>
              <w:spacing w:after="0"/>
              <w:rPr>
                <w:sz w:val="20"/>
                <w:szCs w:val="20"/>
                <w:color w:val="auto"/>
              </w:rPr>
            </w:pPr>
            <w:r>
              <w:rPr>
                <w:rFonts w:ascii="Arial" w:cs="Arial" w:eastAsia="Arial" w:hAnsi="Arial"/>
                <w:sz w:val="18"/>
                <w:szCs w:val="18"/>
                <w:color w:val="auto"/>
                <w:w w:val="94"/>
              </w:rPr>
              <w:t>Allowance for loan losses to</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540" w:type="dxa"/>
            <w:vAlign w:val="bottom"/>
            <w:gridSpan w:val="2"/>
          </w:tcPr>
          <w:p>
            <w:pPr>
              <w:ind w:left="640"/>
              <w:spacing w:after="0"/>
              <w:rPr>
                <w:sz w:val="20"/>
                <w:szCs w:val="20"/>
                <w:color w:val="auto"/>
              </w:rPr>
            </w:pPr>
            <w:r>
              <w:rPr>
                <w:rFonts w:ascii="Arial" w:cs="Arial" w:eastAsia="Arial" w:hAnsi="Arial"/>
                <w:sz w:val="18"/>
                <w:szCs w:val="18"/>
                <w:color w:val="auto"/>
              </w:rPr>
              <w:t>loans</w:t>
            </w:r>
          </w:p>
        </w:tc>
        <w:tc>
          <w:tcPr>
            <w:tcW w:w="1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2.60%</w:t>
            </w:r>
          </w:p>
        </w:tc>
        <w:tc>
          <w:tcPr>
            <w:tcW w:w="8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2.74%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2.75%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2.79%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3.55%</w:t>
            </w:r>
          </w:p>
        </w:tc>
        <w:tc>
          <w:tcPr>
            <w:tcW w:w="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2.60%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3.55%</w:t>
            </w: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8"/>
              </w:rPr>
              <w:t>Net charge-offs to average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5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 xml:space="preserve">loans </w:t>
            </w:r>
            <w:r>
              <w:rPr>
                <w:rFonts w:ascii="Arial" w:cs="Arial" w:eastAsia="Arial" w:hAnsi="Arial"/>
                <w:sz w:val="11"/>
                <w:szCs w:val="11"/>
                <w:color w:val="auto"/>
              </w:rPr>
              <w:t>(3)</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1.99</w:t>
            </w:r>
          </w:p>
        </w:tc>
        <w:tc>
          <w:tcPr>
            <w:tcW w:w="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4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8.28</w:t>
            </w:r>
          </w:p>
        </w:tc>
        <w:tc>
          <w:tcPr>
            <w:tcW w:w="5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40" w:type="dxa"/>
            <w:vAlign w:val="bottom"/>
            <w:gridSpan w:val="2"/>
          </w:tcPr>
          <w:p>
            <w:pPr>
              <w:ind w:left="420"/>
              <w:spacing w:after="0"/>
              <w:rPr>
                <w:sz w:val="20"/>
                <w:szCs w:val="20"/>
                <w:color w:val="auto"/>
              </w:rPr>
            </w:pPr>
            <w:r>
              <w:rPr>
                <w:rFonts w:ascii="Arial" w:cs="Arial" w:eastAsia="Arial" w:hAnsi="Arial"/>
                <w:sz w:val="18"/>
                <w:szCs w:val="18"/>
                <w:color w:val="auto"/>
              </w:rPr>
              <w:t>NPAs to loans and</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540" w:type="dxa"/>
            <w:vAlign w:val="bottom"/>
            <w:gridSpan w:val="2"/>
          </w:tcPr>
          <w:p>
            <w:pPr>
              <w:ind w:left="640"/>
              <w:spacing w:after="0"/>
              <w:rPr>
                <w:sz w:val="20"/>
                <w:szCs w:val="20"/>
                <w:color w:val="auto"/>
              </w:rPr>
            </w:pPr>
            <w:r>
              <w:rPr>
                <w:rFonts w:ascii="Arial" w:cs="Arial" w:eastAsia="Arial" w:hAnsi="Arial"/>
                <w:sz w:val="18"/>
                <w:szCs w:val="18"/>
                <w:color w:val="auto"/>
              </w:rPr>
              <w:t>foreclosed properties</w:t>
            </w:r>
          </w:p>
        </w:tc>
        <w:tc>
          <w:tcPr>
            <w:tcW w:w="10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3.41</w:t>
            </w:r>
          </w:p>
        </w:tc>
        <w:tc>
          <w:tcPr>
            <w:tcW w:w="8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3.51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3.88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3.87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4.54</w:t>
            </w:r>
          </w:p>
        </w:tc>
        <w:tc>
          <w:tcPr>
            <w:tcW w:w="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3.41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4.54</w:t>
            </w: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NPAs to total assets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2.12</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2.74</w:t>
            </w: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4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AVERAGE BALANCES </w:t>
            </w:r>
            <w:r>
              <w:rPr>
                <w:rFonts w:ascii="Arial" w:cs="Arial" w:eastAsia="Arial" w:hAnsi="Arial"/>
                <w:sz w:val="18"/>
                <w:szCs w:val="18"/>
                <w:i w:val="1"/>
                <w:iCs w:val="1"/>
                <w:color w:val="auto"/>
              </w:rPr>
              <w:t>($ in</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540" w:type="dxa"/>
            <w:vAlign w:val="bottom"/>
            <w:gridSpan w:val="2"/>
          </w:tcPr>
          <w:p>
            <w:pPr>
              <w:ind w:left="200"/>
              <w:spacing w:after="0"/>
              <w:rPr>
                <w:sz w:val="20"/>
                <w:szCs w:val="20"/>
                <w:color w:val="auto"/>
              </w:rPr>
            </w:pPr>
            <w:r>
              <w:rPr>
                <w:rFonts w:ascii="Arial" w:cs="Arial" w:eastAsia="Arial" w:hAnsi="Arial"/>
                <w:sz w:val="18"/>
                <w:szCs w:val="18"/>
                <w:i w:val="1"/>
                <w:iCs w:val="1"/>
                <w:color w:val="auto"/>
              </w:rPr>
              <w:t>millions)</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Loans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4,147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4,156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4,168</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4,175</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4,194</w:t>
            </w: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4,157</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4,352</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gridSpan w:val="2"/>
          </w:tcPr>
          <w:p>
            <w:pPr>
              <w:ind w:left="420"/>
              <w:spacing w:after="0"/>
              <w:rPr>
                <w:sz w:val="20"/>
                <w:szCs w:val="20"/>
                <w:color w:val="auto"/>
              </w:rPr>
            </w:pPr>
            <w:r>
              <w:rPr>
                <w:rFonts w:ascii="Arial" w:cs="Arial" w:eastAsia="Arial" w:hAnsi="Arial"/>
                <w:sz w:val="18"/>
                <w:szCs w:val="18"/>
                <w:color w:val="auto"/>
              </w:rPr>
              <w:t>Investment securities</w:t>
            </w: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1,971</w:t>
            </w:r>
          </w:p>
        </w:tc>
        <w:tc>
          <w:tcPr>
            <w:tcW w:w="8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2,145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2,153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2,141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2,150</w:t>
            </w:r>
          </w:p>
        </w:tc>
        <w:tc>
          <w:tcPr>
            <w:tcW w:w="4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2,089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1,952</w:t>
            </w:r>
          </w:p>
        </w:tc>
        <w:tc>
          <w:tcPr>
            <w:tcW w:w="580" w:type="dxa"/>
            <w:vAlign w:val="bottom"/>
          </w:tcPr>
          <w:p>
            <w:pPr>
              <w:jc w:val="right"/>
              <w:spacing w:after="0"/>
              <w:rPr>
                <w:sz w:val="20"/>
                <w:szCs w:val="20"/>
                <w:color w:val="auto"/>
              </w:rPr>
            </w:pPr>
            <w:r>
              <w:rPr>
                <w:rFonts w:ascii="Arial" w:cs="Arial" w:eastAsia="Arial" w:hAnsi="Arial"/>
                <w:sz w:val="18"/>
                <w:szCs w:val="18"/>
                <w:color w:val="auto"/>
              </w:rPr>
              <w:t>7</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Earning assets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6,346</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6,665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6,688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6,630</w:t>
            </w: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6,569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6,817</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gridSpan w:val="2"/>
          </w:tcPr>
          <w:p>
            <w:pPr>
              <w:ind w:left="420"/>
              <w:spacing w:after="0"/>
              <w:rPr>
                <w:sz w:val="20"/>
                <w:szCs w:val="20"/>
                <w:color w:val="auto"/>
              </w:rPr>
            </w:pPr>
            <w:r>
              <w:rPr>
                <w:rFonts w:ascii="Arial" w:cs="Arial" w:eastAsia="Arial" w:hAnsi="Arial"/>
                <w:sz w:val="18"/>
                <w:szCs w:val="18"/>
                <w:color w:val="auto"/>
              </w:rPr>
              <w:t>Total assets</w:t>
            </w: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6,648</w:t>
            </w:r>
          </w:p>
        </w:tc>
        <w:tc>
          <w:tcPr>
            <w:tcW w:w="8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6,993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7,045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7,019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7,000</w:t>
            </w:r>
          </w:p>
        </w:tc>
        <w:tc>
          <w:tcPr>
            <w:tcW w:w="4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6,894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7,246</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Deposits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5,789</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5,853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6,028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6,115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6,061</w:t>
            </w: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5,890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6,329</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gridSpan w:val="2"/>
          </w:tcPr>
          <w:p>
            <w:pPr>
              <w:ind w:left="420"/>
              <w:spacing w:after="0"/>
              <w:rPr>
                <w:sz w:val="20"/>
                <w:szCs w:val="20"/>
                <w:color w:val="auto"/>
              </w:rPr>
            </w:pPr>
            <w:r>
              <w:rPr>
                <w:rFonts w:ascii="Arial" w:cs="Arial" w:eastAsia="Arial" w:hAnsi="Arial"/>
                <w:sz w:val="18"/>
                <w:szCs w:val="18"/>
                <w:color w:val="auto"/>
              </w:rPr>
              <w:t>Shareholders’ equity</w:t>
            </w: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582</w:t>
            </w:r>
          </w:p>
        </w:tc>
        <w:tc>
          <w:tcPr>
            <w:tcW w:w="8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583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577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581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598</w:t>
            </w:r>
          </w:p>
        </w:tc>
        <w:tc>
          <w:tcPr>
            <w:tcW w:w="4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580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549</w:t>
            </w:r>
          </w:p>
        </w:tc>
        <w:tc>
          <w:tcPr>
            <w:tcW w:w="580" w:type="dxa"/>
            <w:vAlign w:val="bottom"/>
          </w:tcPr>
          <w:p>
            <w:pPr>
              <w:jc w:val="right"/>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Common shares - basic</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5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(thousands)</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57,880</w:t>
            </w:r>
          </w:p>
        </w:tc>
        <w:tc>
          <w:tcPr>
            <w:tcW w:w="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57,840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57,764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57,646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57,599</w:t>
            </w:r>
          </w:p>
        </w:tc>
        <w:tc>
          <w:tcPr>
            <w:tcW w:w="4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57,826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33,973</w:t>
            </w:r>
          </w:p>
        </w:tc>
        <w:tc>
          <w:tcPr>
            <w:tcW w:w="5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40" w:type="dxa"/>
            <w:vAlign w:val="bottom"/>
            <w:gridSpan w:val="2"/>
          </w:tcPr>
          <w:p>
            <w:pPr>
              <w:ind w:left="420"/>
              <w:spacing w:after="0"/>
              <w:rPr>
                <w:sz w:val="20"/>
                <w:szCs w:val="20"/>
                <w:color w:val="auto"/>
              </w:rPr>
            </w:pPr>
            <w:r>
              <w:rPr>
                <w:rFonts w:ascii="Arial" w:cs="Arial" w:eastAsia="Arial" w:hAnsi="Arial"/>
                <w:sz w:val="18"/>
                <w:szCs w:val="18"/>
                <w:color w:val="auto"/>
              </w:rPr>
              <w:t>Common shares - diluted</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40" w:type="dxa"/>
            <w:vAlign w:val="bottom"/>
            <w:gridSpan w:val="2"/>
          </w:tcPr>
          <w:p>
            <w:pPr>
              <w:ind w:left="640"/>
              <w:spacing w:after="0"/>
              <w:rPr>
                <w:sz w:val="20"/>
                <w:szCs w:val="20"/>
                <w:color w:val="auto"/>
              </w:rPr>
            </w:pPr>
            <w:r>
              <w:rPr>
                <w:rFonts w:ascii="Arial" w:cs="Arial" w:eastAsia="Arial" w:hAnsi="Arial"/>
                <w:sz w:val="18"/>
                <w:szCs w:val="18"/>
                <w:color w:val="auto"/>
              </w:rPr>
              <w:t>(thousands)</w:t>
            </w:r>
          </w:p>
        </w:tc>
        <w:tc>
          <w:tcPr>
            <w:tcW w:w="10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57,880</w:t>
            </w:r>
          </w:p>
        </w:tc>
        <w:tc>
          <w:tcPr>
            <w:tcW w:w="8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57,840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57,764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57,646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57,599</w:t>
            </w:r>
          </w:p>
        </w:tc>
        <w:tc>
          <w:tcPr>
            <w:tcW w:w="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57,826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33,973</w:t>
            </w: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9"/>
              </w:rPr>
              <w:t xml:space="preserve">AT PERIOD END </w:t>
            </w:r>
            <w:r>
              <w:rPr>
                <w:rFonts w:ascii="Arial" w:cs="Arial" w:eastAsia="Arial" w:hAnsi="Arial"/>
                <w:sz w:val="18"/>
                <w:szCs w:val="18"/>
                <w:i w:val="1"/>
                <w:iCs w:val="1"/>
                <w:color w:val="auto"/>
                <w:w w:val="99"/>
              </w:rPr>
              <w:t>($ in millions)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gridSpan w:val="2"/>
          </w:tcPr>
          <w:p>
            <w:pPr>
              <w:ind w:left="420"/>
              <w:spacing w:after="0"/>
              <w:rPr>
                <w:sz w:val="20"/>
                <w:szCs w:val="20"/>
                <w:color w:val="auto"/>
              </w:rPr>
            </w:pPr>
            <w:r>
              <w:rPr>
                <w:rFonts w:ascii="Arial" w:cs="Arial" w:eastAsia="Arial" w:hAnsi="Arial"/>
                <w:sz w:val="18"/>
                <w:szCs w:val="18"/>
                <w:color w:val="auto"/>
              </w:rPr>
              <w:t>Loans *</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4,138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4,119</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4,128</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4,110</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4,110</w:t>
            </w: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4,138</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4,110</w:t>
            </w: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Investment securities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2,025</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1,984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2,202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2,120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2,123</w:t>
            </w: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2,025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2,123</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gridSpan w:val="2"/>
          </w:tcPr>
          <w:p>
            <w:pPr>
              <w:ind w:left="420"/>
              <w:spacing w:after="0"/>
              <w:rPr>
                <w:sz w:val="20"/>
                <w:szCs w:val="20"/>
                <w:color w:val="auto"/>
              </w:rPr>
            </w:pPr>
            <w:r>
              <w:rPr>
                <w:rFonts w:ascii="Arial" w:cs="Arial" w:eastAsia="Arial" w:hAnsi="Arial"/>
                <w:sz w:val="18"/>
                <w:szCs w:val="18"/>
                <w:color w:val="auto"/>
              </w:rPr>
              <w:t>Total assets</w:t>
            </w: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6,699</w:t>
            </w:r>
          </w:p>
        </w:tc>
        <w:tc>
          <w:tcPr>
            <w:tcW w:w="8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6,737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7,174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6,983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6,894</w:t>
            </w:r>
          </w:p>
        </w:tc>
        <w:tc>
          <w:tcPr>
            <w:tcW w:w="4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6,699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6,894</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44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459" w:right="239" w:bottom="0" w:gutter="0" w:footer="0" w:header="0"/>
        </w:sectPr>
      </w:pPr>
    </w:p>
    <w:bookmarkStart w:id="36" w:name="page37"/>
    <w:bookmarkEnd w:id="3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Deposits</w:t>
            </w:r>
          </w:p>
        </w:tc>
        <w:tc>
          <w:tcPr>
            <w:tcW w:w="8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5,823</w:t>
            </w:r>
          </w:p>
        </w:tc>
        <w:tc>
          <w:tcPr>
            <w:tcW w:w="9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5,822</w:t>
            </w:r>
          </w:p>
        </w:tc>
        <w:tc>
          <w:tcPr>
            <w:tcW w:w="9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6,001</w:t>
            </w:r>
          </w:p>
        </w:tc>
        <w:tc>
          <w:tcPr>
            <w:tcW w:w="9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6,098</w:t>
            </w:r>
          </w:p>
        </w:tc>
        <w:tc>
          <w:tcPr>
            <w:tcW w:w="108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6,005</w:t>
            </w:r>
          </w:p>
        </w:tc>
        <w:tc>
          <w:tcPr>
            <w:tcW w:w="9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(3)</w:t>
            </w:r>
          </w:p>
        </w:tc>
        <w:tc>
          <w:tcPr>
            <w:tcW w:w="10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5,823</w:t>
            </w:r>
          </w:p>
        </w:tc>
        <w:tc>
          <w:tcPr>
            <w:tcW w:w="108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6,005</w:t>
            </w:r>
          </w:p>
        </w:tc>
        <w:tc>
          <w:tcPr>
            <w:tcW w:w="9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(3)</w:t>
            </w:r>
          </w:p>
        </w:tc>
      </w:tr>
      <w:tr>
        <w:trPr>
          <w:trHeight w:val="216"/>
        </w:trPr>
        <w:tc>
          <w:tcPr>
            <w:tcW w:w="2600" w:type="dxa"/>
            <w:vAlign w:val="bottom"/>
          </w:tcPr>
          <w:p>
            <w:pPr>
              <w:ind w:left="440"/>
              <w:spacing w:after="0"/>
              <w:rPr>
                <w:sz w:val="20"/>
                <w:szCs w:val="20"/>
                <w:color w:val="auto"/>
              </w:rPr>
            </w:pPr>
            <w:r>
              <w:rPr>
                <w:rFonts w:ascii="Arial" w:cs="Arial" w:eastAsia="Arial" w:hAnsi="Arial"/>
                <w:sz w:val="18"/>
                <w:szCs w:val="18"/>
                <w:color w:val="auto"/>
              </w:rPr>
              <w:t>Shareholders’ equity</w:t>
            </w:r>
          </w:p>
        </w:tc>
        <w:tc>
          <w:tcPr>
            <w:tcW w:w="880" w:type="dxa"/>
            <w:vAlign w:val="bottom"/>
          </w:tcPr>
          <w:p>
            <w:pPr>
              <w:jc w:val="right"/>
              <w:ind w:right="152"/>
              <w:spacing w:after="0"/>
              <w:rPr>
                <w:sz w:val="20"/>
                <w:szCs w:val="20"/>
                <w:color w:val="auto"/>
              </w:rPr>
            </w:pPr>
            <w:r>
              <w:rPr>
                <w:rFonts w:ascii="Arial" w:cs="Arial" w:eastAsia="Arial" w:hAnsi="Arial"/>
                <w:sz w:val="18"/>
                <w:szCs w:val="18"/>
                <w:color w:val="auto"/>
              </w:rPr>
              <w:t>585</w:t>
            </w:r>
          </w:p>
        </w:tc>
        <w:tc>
          <w:tcPr>
            <w:tcW w:w="980" w:type="dxa"/>
            <w:vAlign w:val="bottom"/>
          </w:tcPr>
          <w:p>
            <w:pPr>
              <w:jc w:val="right"/>
              <w:ind w:right="172"/>
              <w:spacing w:after="0"/>
              <w:rPr>
                <w:sz w:val="20"/>
                <w:szCs w:val="20"/>
                <w:color w:val="auto"/>
              </w:rPr>
            </w:pPr>
            <w:r>
              <w:rPr>
                <w:rFonts w:ascii="Arial" w:cs="Arial" w:eastAsia="Arial" w:hAnsi="Arial"/>
                <w:sz w:val="18"/>
                <w:szCs w:val="18"/>
                <w:color w:val="auto"/>
              </w:rPr>
              <w:t>576</w:t>
            </w: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580</w:t>
            </w:r>
          </w:p>
        </w:tc>
        <w:tc>
          <w:tcPr>
            <w:tcW w:w="980" w:type="dxa"/>
            <w:vAlign w:val="bottom"/>
          </w:tcPr>
          <w:p>
            <w:pPr>
              <w:jc w:val="right"/>
              <w:ind w:right="152"/>
              <w:spacing w:after="0"/>
              <w:rPr>
                <w:sz w:val="20"/>
                <w:szCs w:val="20"/>
                <w:color w:val="auto"/>
              </w:rPr>
            </w:pPr>
            <w:r>
              <w:rPr>
                <w:rFonts w:ascii="Arial" w:cs="Arial" w:eastAsia="Arial" w:hAnsi="Arial"/>
                <w:sz w:val="18"/>
                <w:szCs w:val="18"/>
                <w:color w:val="auto"/>
              </w:rPr>
              <w:t>575</w:t>
            </w:r>
          </w:p>
        </w:tc>
        <w:tc>
          <w:tcPr>
            <w:tcW w:w="1080" w:type="dxa"/>
            <w:vAlign w:val="bottom"/>
          </w:tcPr>
          <w:p>
            <w:pPr>
              <w:jc w:val="right"/>
              <w:ind w:right="272"/>
              <w:spacing w:after="0"/>
              <w:rPr>
                <w:sz w:val="20"/>
                <w:szCs w:val="20"/>
                <w:color w:val="auto"/>
              </w:rPr>
            </w:pPr>
            <w:r>
              <w:rPr>
                <w:rFonts w:ascii="Arial" w:cs="Arial" w:eastAsia="Arial" w:hAnsi="Arial"/>
                <w:sz w:val="18"/>
                <w:szCs w:val="18"/>
                <w:color w:val="auto"/>
              </w:rPr>
              <w:t>583</w:t>
            </w:r>
          </w:p>
        </w:tc>
        <w:tc>
          <w:tcPr>
            <w:tcW w:w="94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92"/>
              <w:spacing w:after="0"/>
              <w:rPr>
                <w:sz w:val="20"/>
                <w:szCs w:val="20"/>
                <w:color w:val="auto"/>
              </w:rPr>
            </w:pPr>
            <w:r>
              <w:rPr>
                <w:rFonts w:ascii="Arial" w:cs="Arial" w:eastAsia="Arial" w:hAnsi="Arial"/>
                <w:sz w:val="18"/>
                <w:szCs w:val="18"/>
                <w:color w:val="auto"/>
              </w:rPr>
              <w:t>585</w:t>
            </w:r>
          </w:p>
        </w:tc>
        <w:tc>
          <w:tcPr>
            <w:tcW w:w="1080" w:type="dxa"/>
            <w:vAlign w:val="bottom"/>
          </w:tcPr>
          <w:p>
            <w:pPr>
              <w:jc w:val="right"/>
              <w:ind w:right="232"/>
              <w:spacing w:after="0"/>
              <w:rPr>
                <w:sz w:val="20"/>
                <w:szCs w:val="20"/>
                <w:color w:val="auto"/>
              </w:rPr>
            </w:pPr>
            <w:r>
              <w:rPr>
                <w:rFonts w:ascii="Arial" w:cs="Arial" w:eastAsia="Arial" w:hAnsi="Arial"/>
                <w:sz w:val="18"/>
                <w:szCs w:val="18"/>
                <w:color w:val="auto"/>
              </w:rPr>
              <w:t>583</w:t>
            </w:r>
          </w:p>
        </w:tc>
        <w:tc>
          <w:tcPr>
            <w:tcW w:w="900" w:type="dxa"/>
            <w:vAlign w:val="bottom"/>
          </w:tcPr>
          <w:p>
            <w:pPr>
              <w:jc w:val="right"/>
              <w:ind w:right="292"/>
              <w:spacing w:after="0"/>
              <w:rPr>
                <w:sz w:val="20"/>
                <w:szCs w:val="20"/>
                <w:color w:val="auto"/>
              </w:rPr>
            </w:pPr>
            <w:r>
              <w:rPr>
                <w:rFonts w:ascii="Arial" w:cs="Arial" w:eastAsia="Arial" w:hAnsi="Arial"/>
                <w:sz w:val="18"/>
                <w:szCs w:val="18"/>
                <w:color w:val="auto"/>
              </w:rPr>
              <w:t>—</w:t>
            </w:r>
          </w:p>
        </w:tc>
      </w:tr>
      <w:tr>
        <w:trPr>
          <w:trHeight w:val="208"/>
        </w:trPr>
        <w:tc>
          <w:tcPr>
            <w:tcW w:w="260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2"/>
              </w:rPr>
              <w:t>Common shares outstanding</w:t>
            </w:r>
          </w:p>
        </w:tc>
        <w:tc>
          <w:tcPr>
            <w:tcW w:w="8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24"/>
        </w:trPr>
        <w:tc>
          <w:tcPr>
            <w:tcW w:w="2600" w:type="dxa"/>
            <w:vAlign w:val="bottom"/>
            <w:shd w:val="clear" w:color="auto" w:fill="CCEEFF"/>
          </w:tcPr>
          <w:p>
            <w:pPr>
              <w:ind w:left="660"/>
              <w:spacing w:after="0"/>
              <w:rPr>
                <w:sz w:val="20"/>
                <w:szCs w:val="20"/>
                <w:color w:val="auto"/>
              </w:rPr>
            </w:pPr>
            <w:r>
              <w:rPr>
                <w:rFonts w:ascii="Arial" w:cs="Arial" w:eastAsia="Arial" w:hAnsi="Arial"/>
                <w:sz w:val="18"/>
                <w:szCs w:val="18"/>
                <w:i w:val="1"/>
                <w:iCs w:val="1"/>
                <w:color w:val="auto"/>
              </w:rPr>
              <w:t>(thousands)</w:t>
            </w:r>
          </w:p>
        </w:tc>
        <w:tc>
          <w:tcPr>
            <w:tcW w:w="8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57,710</w:t>
            </w:r>
          </w:p>
        </w:tc>
        <w:tc>
          <w:tcPr>
            <w:tcW w:w="9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57,641</w:t>
            </w:r>
          </w:p>
        </w:tc>
        <w:tc>
          <w:tcPr>
            <w:tcW w:w="9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57,603</w:t>
            </w:r>
          </w:p>
        </w:tc>
        <w:tc>
          <w:tcPr>
            <w:tcW w:w="9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57,561</w:t>
            </w:r>
          </w:p>
        </w:tc>
        <w:tc>
          <w:tcPr>
            <w:tcW w:w="108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57,510</w:t>
            </w:r>
          </w:p>
        </w:tc>
        <w:tc>
          <w:tcPr>
            <w:tcW w:w="9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57,710</w:t>
            </w:r>
          </w:p>
        </w:tc>
        <w:tc>
          <w:tcPr>
            <w:tcW w:w="108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57,510</w:t>
            </w:r>
          </w:p>
        </w:tc>
        <w:tc>
          <w:tcPr>
            <w:tcW w:w="900" w:type="dxa"/>
            <w:vAlign w:val="bottom"/>
            <w:shd w:val="clear" w:color="auto" w:fill="CCEEFF"/>
          </w:tcPr>
          <w:p>
            <w:pPr>
              <w:spacing w:after="0"/>
              <w:rPr>
                <w:sz w:val="19"/>
                <w:szCs w:val="19"/>
                <w:color w:val="auto"/>
              </w:rPr>
            </w:pPr>
          </w:p>
        </w:tc>
      </w:tr>
    </w:tbl>
    <w:p>
      <w:pPr>
        <w:spacing w:after="0" w:line="187" w:lineRule="exact"/>
        <w:rPr>
          <w:sz w:val="20"/>
          <w:szCs w:val="20"/>
          <w:color w:val="auto"/>
        </w:rPr>
      </w:pPr>
    </w:p>
    <w:p>
      <w:pPr>
        <w:ind w:left="460" w:hanging="452"/>
        <w:spacing w:after="0"/>
        <w:tabs>
          <w:tab w:leader="none" w:pos="460" w:val="left"/>
        </w:tabs>
        <w:numPr>
          <w:ilvl w:val="0"/>
          <w:numId w:val="6"/>
        </w:numPr>
        <w:rPr>
          <w:rFonts w:ascii="Arial" w:cs="Arial" w:eastAsia="Arial" w:hAnsi="Arial"/>
          <w:sz w:val="20"/>
          <w:szCs w:val="20"/>
          <w:color w:val="auto"/>
          <w:vertAlign w:val="superscript"/>
        </w:rPr>
      </w:pPr>
      <w:r>
        <w:rPr>
          <w:rFonts w:ascii="Arial" w:cs="Arial" w:eastAsia="Arial" w:hAnsi="Arial"/>
          <w:sz w:val="16"/>
          <w:szCs w:val="16"/>
          <w:color w:val="auto"/>
        </w:rPr>
        <w:t>Net loss available to common shareholders, which is net of preferred stock dividends, divided by average realized common equity, which excludes</w:t>
      </w:r>
    </w:p>
    <w:p>
      <w:pPr>
        <w:spacing w:after="0" w:line="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accumulated other comprehensive income (loss). </w:t>
      </w:r>
      <w:r>
        <w:rPr>
          <w:rFonts w:ascii="Arial" w:cs="Arial" w:eastAsia="Arial" w:hAnsi="Arial"/>
          <w:sz w:val="10"/>
          <w:szCs w:val="10"/>
          <w:color w:val="auto"/>
        </w:rPr>
        <w:t>(2)</w:t>
      </w:r>
      <w:r>
        <w:rPr>
          <w:rFonts w:ascii="Arial" w:cs="Arial" w:eastAsia="Arial" w:hAnsi="Arial"/>
          <w:sz w:val="16"/>
          <w:szCs w:val="16"/>
          <w:color w:val="auto"/>
        </w:rPr>
        <w:t xml:space="preserve"> Excludes effect of acquisition related intangibles and associated amortization. </w:t>
      </w:r>
      <w:r>
        <w:rPr>
          <w:rFonts w:ascii="Arial" w:cs="Arial" w:eastAsia="Arial" w:hAnsi="Arial"/>
          <w:sz w:val="10"/>
          <w:szCs w:val="10"/>
          <w:color w:val="auto"/>
        </w:rPr>
        <w:t>(3)</w:t>
      </w:r>
      <w:r>
        <w:rPr>
          <w:rFonts w:ascii="Arial" w:cs="Arial" w:eastAsia="Arial" w:hAnsi="Arial"/>
          <w:sz w:val="16"/>
          <w:szCs w:val="16"/>
          <w:color w:val="auto"/>
        </w:rPr>
        <w:t xml:space="preserve"> Annualized.</w:t>
      </w:r>
    </w:p>
    <w:p>
      <w:pPr>
        <w:spacing w:after="0" w:line="24" w:lineRule="exact"/>
        <w:rPr>
          <w:sz w:val="20"/>
          <w:szCs w:val="20"/>
          <w:color w:val="auto"/>
        </w:rPr>
      </w:pPr>
    </w:p>
    <w:p>
      <w:pPr>
        <w:ind w:left="5620" w:right="4440" w:hanging="5612"/>
        <w:spacing w:after="0" w:line="517" w:lineRule="auto"/>
        <w:tabs>
          <w:tab w:leader="none" w:pos="448" w:val="left"/>
        </w:tabs>
        <w:numPr>
          <w:ilvl w:val="0"/>
          <w:numId w:val="7"/>
        </w:numPr>
        <w:rPr>
          <w:rFonts w:ascii="Arial" w:cs="Arial" w:eastAsia="Arial" w:hAnsi="Arial"/>
          <w:sz w:val="16"/>
          <w:szCs w:val="16"/>
          <w:color w:val="auto"/>
        </w:rPr>
      </w:pPr>
      <w:r>
        <w:rPr>
          <w:rFonts w:ascii="Arial" w:cs="Arial" w:eastAsia="Arial" w:hAnsi="Arial"/>
          <w:sz w:val="16"/>
          <w:szCs w:val="16"/>
          <w:color w:val="auto"/>
        </w:rPr>
        <w:t>Excludes loans and foreclosed properties covered by loss sharing agreements with the FDIC. 34</w:t>
      </w:r>
    </w:p>
    <w:p>
      <w:pPr>
        <w:sectPr>
          <w:pgSz w:w="11900" w:h="16838" w:orient="portrait"/>
          <w:cols w:equalWidth="0" w:num="1">
            <w:col w:w="11420"/>
          </w:cols>
          <w:pgMar w:left="240" w:top="140"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 Continued - Non-GAAP Performance Measures Reconciliation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 except per share</w:t>
            </w:r>
          </w:p>
        </w:tc>
        <w:tc>
          <w:tcPr>
            <w:tcW w:w="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2012</w:t>
            </w:r>
          </w:p>
        </w:tc>
        <w:tc>
          <w:tcPr>
            <w:tcW w:w="3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For the Nine</w:t>
            </w:r>
          </w:p>
        </w:tc>
        <w:tc>
          <w:tcPr>
            <w:tcW w:w="0" w:type="dxa"/>
            <w:vAlign w:val="bottom"/>
          </w:tcPr>
          <w:p>
            <w:pPr>
              <w:spacing w:after="0"/>
              <w:rPr>
                <w:sz w:val="1"/>
                <w:szCs w:val="1"/>
                <w:color w:val="auto"/>
              </w:rPr>
            </w:pPr>
          </w:p>
        </w:tc>
      </w:tr>
      <w:tr>
        <w:trPr>
          <w:trHeight w:val="136"/>
        </w:trPr>
        <w:tc>
          <w:tcPr>
            <w:tcW w:w="4100" w:type="dxa"/>
            <w:vAlign w:val="bottom"/>
            <w:gridSpan w:val="2"/>
            <w:vMerge w:val="continue"/>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right"/>
              <w:ind w:right="480"/>
              <w:spacing w:after="0" w:line="129" w:lineRule="exact"/>
              <w:rPr>
                <w:sz w:val="20"/>
                <w:szCs w:val="20"/>
                <w:color w:val="auto"/>
              </w:rPr>
            </w:pPr>
            <w:r>
              <w:rPr>
                <w:rFonts w:ascii="Arial" w:cs="Arial" w:eastAsia="Arial" w:hAnsi="Arial"/>
                <w:sz w:val="14"/>
                <w:szCs w:val="14"/>
                <w:b w:val="1"/>
                <w:bCs w:val="1"/>
                <w:color w:val="auto"/>
                <w:w w:val="97"/>
              </w:rPr>
              <w:t>Third</w:t>
            </w:r>
          </w:p>
        </w:tc>
        <w:tc>
          <w:tcPr>
            <w:tcW w:w="960" w:type="dxa"/>
            <w:vAlign w:val="bottom"/>
            <w:gridSpan w:val="3"/>
          </w:tcPr>
          <w:p>
            <w:pPr>
              <w:jc w:val="center"/>
              <w:ind w:right="380"/>
              <w:spacing w:after="0" w:line="129" w:lineRule="exact"/>
              <w:rPr>
                <w:sz w:val="20"/>
                <w:szCs w:val="20"/>
                <w:color w:val="auto"/>
              </w:rPr>
            </w:pPr>
            <w:r>
              <w:rPr>
                <w:rFonts w:ascii="Arial" w:cs="Arial" w:eastAsia="Arial" w:hAnsi="Arial"/>
                <w:sz w:val="14"/>
                <w:szCs w:val="14"/>
                <w:b w:val="1"/>
                <w:bCs w:val="1"/>
                <w:color w:val="auto"/>
                <w:w w:val="82"/>
              </w:rPr>
              <w:t>Second</w:t>
            </w:r>
          </w:p>
        </w:tc>
        <w:tc>
          <w:tcPr>
            <w:tcW w:w="80" w:type="dxa"/>
            <w:vAlign w:val="bottom"/>
          </w:tcPr>
          <w:p>
            <w:pPr>
              <w:spacing w:after="0"/>
              <w:rPr>
                <w:sz w:val="11"/>
                <w:szCs w:val="11"/>
                <w:color w:val="auto"/>
              </w:rPr>
            </w:pPr>
          </w:p>
        </w:tc>
        <w:tc>
          <w:tcPr>
            <w:tcW w:w="760" w:type="dxa"/>
            <w:vAlign w:val="bottom"/>
            <w:gridSpan w:val="2"/>
          </w:tcPr>
          <w:p>
            <w:pPr>
              <w:jc w:val="right"/>
              <w:ind w:right="420"/>
              <w:spacing w:after="0" w:line="129" w:lineRule="exact"/>
              <w:rPr>
                <w:sz w:val="20"/>
                <w:szCs w:val="20"/>
                <w:color w:val="auto"/>
              </w:rPr>
            </w:pPr>
            <w:r>
              <w:rPr>
                <w:rFonts w:ascii="Arial" w:cs="Arial" w:eastAsia="Arial" w:hAnsi="Arial"/>
                <w:sz w:val="14"/>
                <w:szCs w:val="14"/>
                <w:b w:val="1"/>
                <w:bCs w:val="1"/>
                <w:color w:val="auto"/>
              </w:rPr>
              <w:t>First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right"/>
              <w:ind w:right="460"/>
              <w:spacing w:after="0" w:line="129" w:lineRule="exact"/>
              <w:rPr>
                <w:sz w:val="20"/>
                <w:szCs w:val="20"/>
                <w:color w:val="auto"/>
              </w:rPr>
            </w:pPr>
            <w:r>
              <w:rPr>
                <w:rFonts w:ascii="Arial" w:cs="Arial" w:eastAsia="Arial" w:hAnsi="Arial"/>
                <w:sz w:val="14"/>
                <w:szCs w:val="14"/>
                <w:b w:val="1"/>
                <w:bCs w:val="1"/>
                <w:color w:val="auto"/>
                <w:w w:val="85"/>
              </w:rPr>
              <w:t>Fourth</w:t>
            </w:r>
          </w:p>
        </w:tc>
        <w:tc>
          <w:tcPr>
            <w:tcW w:w="100" w:type="dxa"/>
            <w:vAlign w:val="bottom"/>
          </w:tcPr>
          <w:p>
            <w:pPr>
              <w:spacing w:after="0"/>
              <w:rPr>
                <w:sz w:val="11"/>
                <w:szCs w:val="11"/>
                <w:color w:val="auto"/>
              </w:rPr>
            </w:pPr>
          </w:p>
        </w:tc>
        <w:tc>
          <w:tcPr>
            <w:tcW w:w="820" w:type="dxa"/>
            <w:vAlign w:val="bottom"/>
            <w:gridSpan w:val="2"/>
          </w:tcPr>
          <w:p>
            <w:pPr>
              <w:jc w:val="right"/>
              <w:ind w:right="420"/>
              <w:spacing w:after="0" w:line="129" w:lineRule="exact"/>
              <w:rPr>
                <w:sz w:val="20"/>
                <w:szCs w:val="20"/>
                <w:color w:val="auto"/>
              </w:rPr>
            </w:pPr>
            <w:r>
              <w:rPr>
                <w:rFonts w:ascii="Arial" w:cs="Arial" w:eastAsia="Arial" w:hAnsi="Arial"/>
                <w:sz w:val="14"/>
                <w:szCs w:val="14"/>
                <w:b w:val="1"/>
                <w:bCs w:val="1"/>
                <w:color w:val="auto"/>
              </w:rPr>
              <w:t>Third</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80" w:type="dxa"/>
            <w:vAlign w:val="bottom"/>
            <w:gridSpan w:val="6"/>
          </w:tcPr>
          <w:p>
            <w:pPr>
              <w:jc w:val="right"/>
              <w:ind w:right="660"/>
              <w:spacing w:after="0" w:line="129" w:lineRule="exact"/>
              <w:rPr>
                <w:sz w:val="20"/>
                <w:szCs w:val="20"/>
                <w:color w:val="auto"/>
              </w:rPr>
            </w:pPr>
            <w:r>
              <w:rPr>
                <w:rFonts w:ascii="Arial" w:cs="Arial" w:eastAsia="Arial" w:hAnsi="Arial"/>
                <w:sz w:val="14"/>
                <w:szCs w:val="14"/>
                <w:b w:val="1"/>
                <w:bCs w:val="1"/>
                <w:color w:val="auto"/>
              </w:rPr>
              <w:t>Months Ended</w:t>
            </w:r>
          </w:p>
        </w:tc>
        <w:tc>
          <w:tcPr>
            <w:tcW w:w="0" w:type="dxa"/>
            <w:vAlign w:val="bottom"/>
          </w:tcPr>
          <w:p>
            <w:pPr>
              <w:spacing w:after="0"/>
              <w:rPr>
                <w:sz w:val="1"/>
                <w:szCs w:val="1"/>
                <w:color w:val="auto"/>
              </w:rPr>
            </w:pPr>
          </w:p>
        </w:tc>
      </w:tr>
      <w:tr>
        <w:trPr>
          <w:trHeight w:val="122"/>
        </w:trPr>
        <w:tc>
          <w:tcPr>
            <w:tcW w:w="4100" w:type="dxa"/>
            <w:vAlign w:val="bottom"/>
            <w:gridSpan w:val="2"/>
          </w:tcPr>
          <w:p>
            <w:pPr>
              <w:spacing w:after="0" w:line="102" w:lineRule="exact"/>
              <w:rPr>
                <w:sz w:val="20"/>
                <w:szCs w:val="20"/>
                <w:color w:val="auto"/>
              </w:rPr>
            </w:pPr>
            <w:r>
              <w:rPr>
                <w:rFonts w:ascii="Arial" w:cs="Arial" w:eastAsia="Arial" w:hAnsi="Arial"/>
                <w:sz w:val="11"/>
                <w:szCs w:val="11"/>
                <w:i w:val="1"/>
                <w:iCs w:val="1"/>
                <w:color w:val="auto"/>
              </w:rPr>
              <w:t>data; taxable equivalent)</w:t>
            </w:r>
          </w:p>
        </w:tc>
        <w:tc>
          <w:tcPr>
            <w:tcW w:w="500" w:type="dxa"/>
            <w:vAlign w:val="bottom"/>
          </w:tcPr>
          <w:p>
            <w:pPr>
              <w:spacing w:after="0"/>
              <w:rPr>
                <w:sz w:val="10"/>
                <w:szCs w:val="10"/>
                <w:color w:val="auto"/>
              </w:rPr>
            </w:pPr>
          </w:p>
        </w:tc>
        <w:tc>
          <w:tcPr>
            <w:tcW w:w="940" w:type="dxa"/>
            <w:vAlign w:val="bottom"/>
            <w:gridSpan w:val="3"/>
          </w:tcPr>
          <w:p>
            <w:pPr>
              <w:jc w:val="right"/>
              <w:ind w:right="420"/>
              <w:spacing w:after="0" w:line="102" w:lineRule="exact"/>
              <w:rPr>
                <w:sz w:val="20"/>
                <w:szCs w:val="20"/>
                <w:color w:val="auto"/>
              </w:rPr>
            </w:pPr>
            <w:r>
              <w:rPr>
                <w:rFonts w:ascii="Arial" w:cs="Arial" w:eastAsia="Arial" w:hAnsi="Arial"/>
                <w:sz w:val="11"/>
                <w:szCs w:val="11"/>
                <w:b w:val="1"/>
                <w:bCs w:val="1"/>
                <w:color w:val="auto"/>
              </w:rPr>
              <w:t>Quarter</w:t>
            </w:r>
          </w:p>
        </w:tc>
        <w:tc>
          <w:tcPr>
            <w:tcW w:w="960" w:type="dxa"/>
            <w:vAlign w:val="bottom"/>
            <w:gridSpan w:val="3"/>
          </w:tcPr>
          <w:p>
            <w:pPr>
              <w:jc w:val="center"/>
              <w:ind w:right="360"/>
              <w:spacing w:after="0" w:line="102" w:lineRule="exact"/>
              <w:rPr>
                <w:sz w:val="20"/>
                <w:szCs w:val="20"/>
                <w:color w:val="auto"/>
              </w:rPr>
            </w:pPr>
            <w:r>
              <w:rPr>
                <w:rFonts w:ascii="Arial" w:cs="Arial" w:eastAsia="Arial" w:hAnsi="Arial"/>
                <w:sz w:val="11"/>
                <w:szCs w:val="11"/>
                <w:b w:val="1"/>
                <w:bCs w:val="1"/>
                <w:color w:val="auto"/>
              </w:rPr>
              <w:t>Quarter</w:t>
            </w:r>
          </w:p>
        </w:tc>
        <w:tc>
          <w:tcPr>
            <w:tcW w:w="840" w:type="dxa"/>
            <w:vAlign w:val="bottom"/>
            <w:gridSpan w:val="3"/>
          </w:tcPr>
          <w:p>
            <w:pPr>
              <w:jc w:val="right"/>
              <w:ind w:right="320"/>
              <w:spacing w:after="0" w:line="102" w:lineRule="exact"/>
              <w:rPr>
                <w:sz w:val="20"/>
                <w:szCs w:val="20"/>
                <w:color w:val="auto"/>
              </w:rPr>
            </w:pPr>
            <w:r>
              <w:rPr>
                <w:rFonts w:ascii="Arial" w:cs="Arial" w:eastAsia="Arial" w:hAnsi="Arial"/>
                <w:sz w:val="11"/>
                <w:szCs w:val="11"/>
                <w:b w:val="1"/>
                <w:bCs w:val="1"/>
                <w:color w:val="auto"/>
              </w:rPr>
              <w:t>Quarter</w:t>
            </w:r>
          </w:p>
        </w:tc>
        <w:tc>
          <w:tcPr>
            <w:tcW w:w="100" w:type="dxa"/>
            <w:vAlign w:val="bottom"/>
          </w:tcPr>
          <w:p>
            <w:pPr>
              <w:spacing w:after="0"/>
              <w:rPr>
                <w:sz w:val="10"/>
                <w:szCs w:val="10"/>
                <w:color w:val="auto"/>
              </w:rPr>
            </w:pPr>
          </w:p>
        </w:tc>
        <w:tc>
          <w:tcPr>
            <w:tcW w:w="960" w:type="dxa"/>
            <w:vAlign w:val="bottom"/>
            <w:gridSpan w:val="3"/>
          </w:tcPr>
          <w:p>
            <w:pPr>
              <w:jc w:val="right"/>
              <w:ind w:right="420"/>
              <w:spacing w:after="0" w:line="102" w:lineRule="exact"/>
              <w:rPr>
                <w:sz w:val="20"/>
                <w:szCs w:val="20"/>
                <w:color w:val="auto"/>
              </w:rPr>
            </w:pPr>
            <w:r>
              <w:rPr>
                <w:rFonts w:ascii="Arial" w:cs="Arial" w:eastAsia="Arial" w:hAnsi="Arial"/>
                <w:sz w:val="11"/>
                <w:szCs w:val="11"/>
                <w:b w:val="1"/>
                <w:bCs w:val="1"/>
                <w:color w:val="auto"/>
              </w:rPr>
              <w:t>Quarter</w:t>
            </w:r>
          </w:p>
        </w:tc>
        <w:tc>
          <w:tcPr>
            <w:tcW w:w="100" w:type="dxa"/>
            <w:vAlign w:val="bottom"/>
          </w:tcPr>
          <w:p>
            <w:pPr>
              <w:spacing w:after="0"/>
              <w:rPr>
                <w:sz w:val="10"/>
                <w:szCs w:val="10"/>
                <w:color w:val="auto"/>
              </w:rPr>
            </w:pPr>
          </w:p>
        </w:tc>
        <w:tc>
          <w:tcPr>
            <w:tcW w:w="820" w:type="dxa"/>
            <w:vAlign w:val="bottom"/>
            <w:gridSpan w:val="2"/>
          </w:tcPr>
          <w:p>
            <w:pPr>
              <w:jc w:val="right"/>
              <w:ind w:right="360"/>
              <w:spacing w:after="0" w:line="102" w:lineRule="exact"/>
              <w:rPr>
                <w:sz w:val="20"/>
                <w:szCs w:val="20"/>
                <w:color w:val="auto"/>
              </w:rPr>
            </w:pPr>
            <w:r>
              <w:rPr>
                <w:rFonts w:ascii="Arial" w:cs="Arial" w:eastAsia="Arial" w:hAnsi="Arial"/>
                <w:sz w:val="11"/>
                <w:szCs w:val="11"/>
                <w:b w:val="1"/>
                <w:bCs w:val="1"/>
                <w:color w:val="auto"/>
              </w:rPr>
              <w:t>Quarter</w:t>
            </w: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jc w:val="right"/>
              <w:ind w:right="115"/>
              <w:spacing w:after="0" w:line="102" w:lineRule="exact"/>
              <w:rPr>
                <w:sz w:val="20"/>
                <w:szCs w:val="20"/>
                <w:color w:val="auto"/>
              </w:rPr>
            </w:pPr>
            <w:r>
              <w:rPr>
                <w:rFonts w:ascii="Arial" w:cs="Arial" w:eastAsia="Arial" w:hAnsi="Arial"/>
                <w:sz w:val="11"/>
                <w:szCs w:val="11"/>
                <w:b w:val="1"/>
                <w:bCs w:val="1"/>
                <w:color w:val="auto"/>
              </w:rPr>
              <w:t>2012</w:t>
            </w:r>
          </w:p>
        </w:tc>
        <w:tc>
          <w:tcPr>
            <w:tcW w:w="2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right"/>
              <w:ind w:right="153"/>
              <w:spacing w:after="0" w:line="102" w:lineRule="exact"/>
              <w:rPr>
                <w:sz w:val="20"/>
                <w:szCs w:val="20"/>
                <w:color w:val="auto"/>
              </w:rPr>
            </w:pPr>
            <w:r>
              <w:rPr>
                <w:rFonts w:ascii="Arial" w:cs="Arial" w:eastAsia="Arial" w:hAnsi="Arial"/>
                <w:sz w:val="11"/>
                <w:szCs w:val="11"/>
                <w:b w:val="1"/>
                <w:bCs w:val="1"/>
                <w:color w:val="auto"/>
              </w:rPr>
              <w:t>2011</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800" w:type="dxa"/>
            <w:vAlign w:val="bottom"/>
            <w:tcBorders>
              <w:top w:val="single" w:sz="8" w:color="auto"/>
              <w:bottom w:val="single" w:sz="8" w:color="CCEEFF"/>
            </w:tcBorders>
          </w:tcPr>
          <w:p>
            <w:pPr>
              <w:spacing w:after="0" w:line="20" w:lineRule="exact"/>
              <w:rPr>
                <w:sz w:val="1"/>
                <w:szCs w:val="1"/>
                <w:color w:val="auto"/>
              </w:rPr>
            </w:pPr>
          </w:p>
        </w:tc>
        <w:tc>
          <w:tcPr>
            <w:tcW w:w="23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100" w:type="dxa"/>
            <w:vAlign w:val="bottom"/>
            <w:gridSpan w:val="2"/>
            <w:shd w:val="clear" w:color="auto" w:fill="CCEEFF"/>
          </w:tcPr>
          <w:p>
            <w:pPr>
              <w:spacing w:after="0" w:line="183" w:lineRule="exact"/>
              <w:rPr>
                <w:sz w:val="20"/>
                <w:szCs w:val="20"/>
                <w:color w:val="auto"/>
              </w:rPr>
            </w:pPr>
            <w:r>
              <w:rPr>
                <w:rFonts w:ascii="Arial" w:cs="Arial" w:eastAsia="Arial" w:hAnsi="Arial"/>
                <w:sz w:val="18"/>
                <w:szCs w:val="18"/>
                <w:b w:val="1"/>
                <w:bCs w:val="1"/>
                <w:color w:val="auto"/>
              </w:rPr>
              <w:t>Interest revenue reconciliation</w:t>
            </w: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100" w:type="dxa"/>
            <w:vAlign w:val="bottom"/>
            <w:gridSpan w:val="2"/>
          </w:tcPr>
          <w:p>
            <w:pPr>
              <w:spacing w:after="0"/>
              <w:rPr>
                <w:sz w:val="20"/>
                <w:szCs w:val="20"/>
                <w:color w:val="auto"/>
              </w:rPr>
            </w:pPr>
            <w:r>
              <w:rPr>
                <w:rFonts w:ascii="Arial" w:cs="Arial" w:eastAsia="Arial" w:hAnsi="Arial"/>
                <w:sz w:val="18"/>
                <w:szCs w:val="18"/>
                <w:color w:val="auto"/>
              </w:rPr>
              <w:t>Interest revenue - taxable equivalent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w w:val="83"/>
              </w:rPr>
              <w:t>65,978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w w:val="83"/>
              </w:rPr>
              <w:t>66,780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70,221</w:t>
            </w:r>
          </w:p>
        </w:tc>
        <w:tc>
          <w:tcPr>
            <w:tcW w:w="2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w w:val="87"/>
              </w:rPr>
              <w:t>71,905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74,543</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202,979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227,439</w:t>
            </w:r>
          </w:p>
        </w:tc>
        <w:tc>
          <w:tcPr>
            <w:tcW w:w="0" w:type="dxa"/>
            <w:vAlign w:val="bottom"/>
          </w:tcPr>
          <w:p>
            <w:pPr>
              <w:spacing w:after="0"/>
              <w:rPr>
                <w:sz w:val="1"/>
                <w:szCs w:val="1"/>
                <w:color w:val="auto"/>
              </w:rPr>
            </w:pPr>
          </w:p>
        </w:tc>
      </w:tr>
      <w:tr>
        <w:trPr>
          <w:trHeight w:val="216"/>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Taxable equivalent adjustment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(419)</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(444)</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(423)</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(1,284)</w:t>
            </w:r>
          </w:p>
        </w:tc>
        <w:tc>
          <w:tcPr>
            <w:tcW w:w="0" w:type="dxa"/>
            <w:vAlign w:val="bottom"/>
          </w:tcPr>
          <w:p>
            <w:pPr>
              <w:spacing w:after="0"/>
              <w:rPr>
                <w:sz w:val="1"/>
                <w:szCs w:val="1"/>
                <w:color w:val="auto"/>
              </w:rPr>
            </w:pPr>
          </w:p>
        </w:tc>
      </w:tr>
      <w:tr>
        <w:trPr>
          <w:trHeight w:val="20"/>
        </w:trPr>
        <w:tc>
          <w:tcPr>
            <w:tcW w:w="4100" w:type="dxa"/>
            <w:vAlign w:val="bottom"/>
            <w:gridSpan w:val="2"/>
            <w:vMerge w:val="restart"/>
          </w:tcPr>
          <w:p>
            <w:pPr>
              <w:ind w:left="440"/>
              <w:spacing w:after="0"/>
              <w:rPr>
                <w:sz w:val="20"/>
                <w:szCs w:val="20"/>
                <w:color w:val="auto"/>
              </w:rPr>
            </w:pPr>
            <w:r>
              <w:rPr>
                <w:rFonts w:ascii="Arial" w:cs="Arial" w:eastAsia="Arial" w:hAnsi="Arial"/>
                <w:sz w:val="18"/>
                <w:szCs w:val="18"/>
                <w:color w:val="auto"/>
              </w:rPr>
              <w:t>Interest revenue (GAAP)</w:t>
            </w: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100" w:type="dxa"/>
            <w:vAlign w:val="bottom"/>
            <w:gridSpan w:val="2"/>
            <w:vMerge w:val="continue"/>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w w:val="83"/>
              </w:rPr>
              <w:t>65,559</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w w:val="83"/>
              </w:rPr>
              <w:t>66,336</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69,775</w:t>
            </w:r>
          </w:p>
        </w:tc>
        <w:tc>
          <w:tcPr>
            <w:tcW w:w="26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w w:val="87"/>
              </w:rPr>
              <w:t>71,482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74,123</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201,670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226,155</w:t>
            </w: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interest revenue reconciliation</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gridSpan w:val="2"/>
          </w:tcPr>
          <w:p>
            <w:pPr>
              <w:spacing w:after="0"/>
              <w:rPr>
                <w:sz w:val="20"/>
                <w:szCs w:val="20"/>
                <w:color w:val="auto"/>
              </w:rPr>
            </w:pPr>
            <w:r>
              <w:rPr>
                <w:rFonts w:ascii="Arial" w:cs="Arial" w:eastAsia="Arial" w:hAnsi="Arial"/>
                <w:sz w:val="18"/>
                <w:szCs w:val="18"/>
                <w:color w:val="auto"/>
              </w:rPr>
              <w:t>Net interest revenue - taxable equivalent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w w:val="83"/>
              </w:rPr>
              <w:t>57,371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w w:val="83"/>
              </w:rPr>
              <w:t>56,836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58,864</w:t>
            </w:r>
          </w:p>
        </w:tc>
        <w:tc>
          <w:tcPr>
            <w:tcW w:w="2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w w:val="87"/>
              </w:rPr>
              <w:t>59,050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59,281</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173,071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174,619</w:t>
            </w:r>
          </w:p>
        </w:tc>
        <w:tc>
          <w:tcPr>
            <w:tcW w:w="0" w:type="dxa"/>
            <w:vAlign w:val="bottom"/>
          </w:tcPr>
          <w:p>
            <w:pPr>
              <w:spacing w:after="0"/>
              <w:rPr>
                <w:sz w:val="1"/>
                <w:szCs w:val="1"/>
                <w:color w:val="auto"/>
              </w:rPr>
            </w:pPr>
          </w:p>
        </w:tc>
      </w:tr>
      <w:tr>
        <w:trPr>
          <w:trHeight w:val="216"/>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Taxable equivalent adjustment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(419)</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(444)</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(423)</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(1,284)</w:t>
            </w:r>
          </w:p>
        </w:tc>
        <w:tc>
          <w:tcPr>
            <w:tcW w:w="0" w:type="dxa"/>
            <w:vAlign w:val="bottom"/>
          </w:tcPr>
          <w:p>
            <w:pPr>
              <w:spacing w:after="0"/>
              <w:rPr>
                <w:sz w:val="1"/>
                <w:szCs w:val="1"/>
                <w:color w:val="auto"/>
              </w:rPr>
            </w:pPr>
          </w:p>
        </w:tc>
      </w:tr>
      <w:tr>
        <w:trPr>
          <w:trHeight w:val="20"/>
        </w:trPr>
        <w:tc>
          <w:tcPr>
            <w:tcW w:w="4100" w:type="dxa"/>
            <w:vAlign w:val="bottom"/>
            <w:gridSpan w:val="2"/>
            <w:vMerge w:val="restart"/>
          </w:tcPr>
          <w:p>
            <w:pPr>
              <w:ind w:left="440"/>
              <w:spacing w:after="0"/>
              <w:rPr>
                <w:sz w:val="20"/>
                <w:szCs w:val="20"/>
                <w:color w:val="auto"/>
              </w:rPr>
            </w:pPr>
            <w:r>
              <w:rPr>
                <w:rFonts w:ascii="Arial" w:cs="Arial" w:eastAsia="Arial" w:hAnsi="Arial"/>
                <w:sz w:val="18"/>
                <w:szCs w:val="18"/>
                <w:color w:val="auto"/>
              </w:rPr>
              <w:t>Net interest revenue (GAAP)</w:t>
            </w: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100" w:type="dxa"/>
            <w:vAlign w:val="bottom"/>
            <w:gridSpan w:val="2"/>
            <w:vMerge w:val="continue"/>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w w:val="83"/>
              </w:rPr>
              <w:t>56,952</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w w:val="83"/>
              </w:rPr>
              <w:t>56,392</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58,418</w:t>
            </w:r>
          </w:p>
        </w:tc>
        <w:tc>
          <w:tcPr>
            <w:tcW w:w="26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w w:val="87"/>
              </w:rPr>
              <w:t>58,627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58,861</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171,762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173,335</w:t>
            </w: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revenue reconciliation</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gridSpan w:val="2"/>
          </w:tcPr>
          <w:p>
            <w:pPr>
              <w:spacing w:after="0"/>
              <w:rPr>
                <w:sz w:val="20"/>
                <w:szCs w:val="20"/>
                <w:color w:val="auto"/>
              </w:rPr>
            </w:pPr>
            <w:r>
              <w:rPr>
                <w:rFonts w:ascii="Arial" w:cs="Arial" w:eastAsia="Arial" w:hAnsi="Arial"/>
                <w:sz w:val="18"/>
                <w:szCs w:val="18"/>
                <w:color w:val="auto"/>
              </w:rPr>
              <w:t>Total operating revenue</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w w:val="83"/>
              </w:rPr>
              <w:t>55,635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w w:val="83"/>
              </w:rPr>
              <w:t>51,703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59,243</w:t>
            </w:r>
          </w:p>
        </w:tc>
        <w:tc>
          <w:tcPr>
            <w:tcW w:w="2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w w:val="87"/>
              </w:rPr>
              <w:t>57,717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34,779</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166,581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(25,140)</w:t>
            </w:r>
          </w:p>
        </w:tc>
        <w:tc>
          <w:tcPr>
            <w:tcW w:w="0" w:type="dxa"/>
            <w:vAlign w:val="bottom"/>
          </w:tcPr>
          <w:p>
            <w:pPr>
              <w:spacing w:after="0"/>
              <w:rPr>
                <w:sz w:val="1"/>
                <w:szCs w:val="1"/>
                <w:color w:val="auto"/>
              </w:rPr>
            </w:pPr>
          </w:p>
        </w:tc>
      </w:tr>
      <w:tr>
        <w:trPr>
          <w:trHeight w:val="216"/>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Taxable equivalent adjustment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(419)</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(444)</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(423)</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(1,284)</w:t>
            </w:r>
          </w:p>
        </w:tc>
        <w:tc>
          <w:tcPr>
            <w:tcW w:w="0" w:type="dxa"/>
            <w:vAlign w:val="bottom"/>
          </w:tcPr>
          <w:p>
            <w:pPr>
              <w:spacing w:after="0"/>
              <w:rPr>
                <w:sz w:val="1"/>
                <w:szCs w:val="1"/>
                <w:color w:val="auto"/>
              </w:rPr>
            </w:pPr>
          </w:p>
        </w:tc>
      </w:tr>
      <w:tr>
        <w:trPr>
          <w:trHeight w:val="20"/>
        </w:trPr>
        <w:tc>
          <w:tcPr>
            <w:tcW w:w="4100" w:type="dxa"/>
            <w:vAlign w:val="bottom"/>
            <w:gridSpan w:val="2"/>
            <w:vMerge w:val="restart"/>
          </w:tcPr>
          <w:p>
            <w:pPr>
              <w:ind w:left="440"/>
              <w:spacing w:after="0"/>
              <w:rPr>
                <w:sz w:val="20"/>
                <w:szCs w:val="20"/>
                <w:color w:val="auto"/>
              </w:rPr>
            </w:pPr>
            <w:r>
              <w:rPr>
                <w:rFonts w:ascii="Arial" w:cs="Arial" w:eastAsia="Arial" w:hAnsi="Arial"/>
                <w:sz w:val="18"/>
                <w:szCs w:val="18"/>
                <w:color w:val="auto"/>
              </w:rPr>
              <w:t>Total revenue (GAAP)</w:t>
            </w: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100" w:type="dxa"/>
            <w:vAlign w:val="bottom"/>
            <w:gridSpan w:val="2"/>
            <w:vMerge w:val="continue"/>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w w:val="83"/>
              </w:rPr>
              <w:t>55,216</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w w:val="83"/>
              </w:rPr>
              <w:t>51,259</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58,797</w:t>
            </w:r>
          </w:p>
        </w:tc>
        <w:tc>
          <w:tcPr>
            <w:tcW w:w="26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w w:val="87"/>
              </w:rPr>
              <w:t>57,294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34,359</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165,272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(26,424)</w:t>
            </w: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Income (loss) before taxes reconciliation</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gridSpan w:val="2"/>
          </w:tcPr>
          <w:p>
            <w:pPr>
              <w:spacing w:after="0"/>
              <w:rPr>
                <w:sz w:val="20"/>
                <w:szCs w:val="20"/>
                <w:color w:val="auto"/>
              </w:rPr>
            </w:pPr>
            <w:r>
              <w:rPr>
                <w:rFonts w:ascii="Arial" w:cs="Arial" w:eastAsia="Arial" w:hAnsi="Arial"/>
                <w:sz w:val="18"/>
                <w:szCs w:val="18"/>
                <w:color w:val="auto"/>
              </w:rPr>
              <w:t>Income (loss) before taxes</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w w:val="83"/>
              </w:rPr>
              <w:t>10,852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7,393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12,288</w:t>
            </w:r>
          </w:p>
        </w:tc>
        <w:tc>
          <w:tcPr>
            <w:tcW w:w="2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6,637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(11,741)</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30,533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(235,659)</w:t>
            </w:r>
          </w:p>
        </w:tc>
        <w:tc>
          <w:tcPr>
            <w:tcW w:w="0" w:type="dxa"/>
            <w:vAlign w:val="bottom"/>
          </w:tcPr>
          <w:p>
            <w:pPr>
              <w:spacing w:after="0"/>
              <w:rPr>
                <w:sz w:val="1"/>
                <w:szCs w:val="1"/>
                <w:color w:val="auto"/>
              </w:rPr>
            </w:pPr>
          </w:p>
        </w:tc>
      </w:tr>
      <w:tr>
        <w:trPr>
          <w:trHeight w:val="216"/>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Taxable equivalent adjustment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(419)</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(444)</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(423)</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(1,284)</w:t>
            </w:r>
          </w:p>
        </w:tc>
        <w:tc>
          <w:tcPr>
            <w:tcW w:w="0" w:type="dxa"/>
            <w:vAlign w:val="bottom"/>
          </w:tcPr>
          <w:p>
            <w:pPr>
              <w:spacing w:after="0"/>
              <w:rPr>
                <w:sz w:val="1"/>
                <w:szCs w:val="1"/>
                <w:color w:val="auto"/>
              </w:rPr>
            </w:pPr>
          </w:p>
        </w:tc>
      </w:tr>
      <w:tr>
        <w:trPr>
          <w:trHeight w:val="20"/>
        </w:trPr>
        <w:tc>
          <w:tcPr>
            <w:tcW w:w="4100" w:type="dxa"/>
            <w:vAlign w:val="bottom"/>
            <w:gridSpan w:val="2"/>
            <w:vMerge w:val="restart"/>
          </w:tcPr>
          <w:p>
            <w:pPr>
              <w:ind w:left="440"/>
              <w:spacing w:after="0"/>
              <w:rPr>
                <w:sz w:val="20"/>
                <w:szCs w:val="20"/>
                <w:color w:val="auto"/>
              </w:rPr>
            </w:pPr>
            <w:r>
              <w:rPr>
                <w:rFonts w:ascii="Arial" w:cs="Arial" w:eastAsia="Arial" w:hAnsi="Arial"/>
                <w:sz w:val="18"/>
                <w:szCs w:val="18"/>
                <w:color w:val="auto"/>
              </w:rPr>
              <w:t>Income (loss) before taxes (GAAP)</w:t>
            </w: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100" w:type="dxa"/>
            <w:vAlign w:val="bottom"/>
            <w:gridSpan w:val="2"/>
            <w:vMerge w:val="continue"/>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w w:val="83"/>
              </w:rPr>
              <w:t>10,433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6,949</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11,842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6,214</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(12,161)</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29,224</w:t>
            </w:r>
          </w:p>
        </w:tc>
        <w:tc>
          <w:tcPr>
            <w:tcW w:w="2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(236,943)</w:t>
            </w: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Income tax (benefit) expense reconciliation</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gridSpan w:val="2"/>
          </w:tcPr>
          <w:p>
            <w:pPr>
              <w:spacing w:after="0"/>
              <w:rPr>
                <w:sz w:val="20"/>
                <w:szCs w:val="20"/>
                <w:color w:val="auto"/>
              </w:rPr>
            </w:pPr>
            <w:r>
              <w:rPr>
                <w:rFonts w:ascii="Arial" w:cs="Arial" w:eastAsia="Arial" w:hAnsi="Arial"/>
                <w:sz w:val="18"/>
                <w:szCs w:val="18"/>
                <w:color w:val="auto"/>
              </w:rPr>
              <w:t>Income tax (benefit) expense</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284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894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760</w:t>
            </w:r>
          </w:p>
        </w:tc>
        <w:tc>
          <w:tcPr>
            <w:tcW w:w="2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w w:val="91"/>
              </w:rPr>
              <w:t>(3,264)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(402)</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1,938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988</w:t>
            </w:r>
          </w:p>
        </w:tc>
        <w:tc>
          <w:tcPr>
            <w:tcW w:w="0" w:type="dxa"/>
            <w:vAlign w:val="bottom"/>
          </w:tcPr>
          <w:p>
            <w:pPr>
              <w:spacing w:after="0"/>
              <w:rPr>
                <w:sz w:val="1"/>
                <w:szCs w:val="1"/>
                <w:color w:val="auto"/>
              </w:rPr>
            </w:pPr>
          </w:p>
        </w:tc>
      </w:tr>
      <w:tr>
        <w:trPr>
          <w:trHeight w:val="216"/>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Taxable equivalent adjustment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(419)</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(444)</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(423)</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(1,284)</w:t>
            </w:r>
          </w:p>
        </w:tc>
        <w:tc>
          <w:tcPr>
            <w:tcW w:w="0" w:type="dxa"/>
            <w:vAlign w:val="bottom"/>
          </w:tcPr>
          <w:p>
            <w:pPr>
              <w:spacing w:after="0"/>
              <w:rPr>
                <w:sz w:val="1"/>
                <w:szCs w:val="1"/>
                <w:color w:val="auto"/>
              </w:rPr>
            </w:pPr>
          </w:p>
        </w:tc>
      </w:tr>
      <w:tr>
        <w:trPr>
          <w:trHeight w:val="20"/>
        </w:trPr>
        <w:tc>
          <w:tcPr>
            <w:tcW w:w="4100" w:type="dxa"/>
            <w:vAlign w:val="bottom"/>
            <w:gridSpan w:val="2"/>
            <w:vMerge w:val="restart"/>
          </w:tcPr>
          <w:p>
            <w:pPr>
              <w:ind w:left="440"/>
              <w:spacing w:after="0"/>
              <w:rPr>
                <w:sz w:val="20"/>
                <w:szCs w:val="20"/>
                <w:color w:val="auto"/>
              </w:rPr>
            </w:pPr>
            <w:r>
              <w:rPr>
                <w:rFonts w:ascii="Arial" w:cs="Arial" w:eastAsia="Arial" w:hAnsi="Arial"/>
                <w:sz w:val="18"/>
                <w:szCs w:val="18"/>
                <w:color w:val="auto"/>
              </w:rPr>
              <w:t>Income tax (benefit) expense (GAAP)</w:t>
            </w: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100" w:type="dxa"/>
            <w:vAlign w:val="bottom"/>
            <w:gridSpan w:val="2"/>
            <w:vMerge w:val="continue"/>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(135)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450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314</w:t>
            </w:r>
          </w:p>
        </w:tc>
        <w:tc>
          <w:tcPr>
            <w:tcW w:w="26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w w:val="91"/>
              </w:rPr>
              <w:t>(3,687)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(822)</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629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Book value per common share reconciliation</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gridSpan w:val="2"/>
          </w:tcPr>
          <w:p>
            <w:pPr>
              <w:spacing w:after="0"/>
              <w:rPr>
                <w:sz w:val="20"/>
                <w:szCs w:val="20"/>
                <w:color w:val="auto"/>
              </w:rPr>
            </w:pPr>
            <w:r>
              <w:rPr>
                <w:rFonts w:ascii="Arial" w:cs="Arial" w:eastAsia="Arial" w:hAnsi="Arial"/>
                <w:sz w:val="18"/>
                <w:szCs w:val="18"/>
                <w:color w:val="auto"/>
              </w:rPr>
              <w:t>Tangible book value per common share</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6.64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6.48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6.54</w:t>
            </w:r>
          </w:p>
        </w:tc>
        <w:tc>
          <w:tcPr>
            <w:tcW w:w="2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6.47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6.61</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6.64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6.61</w:t>
            </w:r>
          </w:p>
        </w:tc>
        <w:tc>
          <w:tcPr>
            <w:tcW w:w="0" w:type="dxa"/>
            <w:vAlign w:val="bottom"/>
          </w:tcPr>
          <w:p>
            <w:pPr>
              <w:spacing w:after="0"/>
              <w:rPr>
                <w:sz w:val="1"/>
                <w:szCs w:val="1"/>
                <w:color w:val="auto"/>
              </w:rPr>
            </w:pPr>
          </w:p>
        </w:tc>
      </w:tr>
      <w:tr>
        <w:trPr>
          <w:trHeight w:val="216"/>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goodwill and other intangibles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4100" w:type="dxa"/>
            <w:vAlign w:val="bottom"/>
            <w:gridSpan w:val="2"/>
            <w:vMerge w:val="restart"/>
          </w:tcPr>
          <w:p>
            <w:pPr>
              <w:ind w:left="440"/>
              <w:spacing w:after="0"/>
              <w:rPr>
                <w:sz w:val="20"/>
                <w:szCs w:val="20"/>
                <w:color w:val="auto"/>
              </w:rPr>
            </w:pPr>
            <w:r>
              <w:rPr>
                <w:rFonts w:ascii="Arial" w:cs="Arial" w:eastAsia="Arial" w:hAnsi="Arial"/>
                <w:sz w:val="18"/>
                <w:szCs w:val="18"/>
                <w:color w:val="auto"/>
              </w:rPr>
              <w:t>Book value per common share (GAAP)</w:t>
            </w: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100" w:type="dxa"/>
            <w:vAlign w:val="bottom"/>
            <w:gridSpan w:val="2"/>
            <w:vMerge w:val="continue"/>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6.75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6.61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6.68</w:t>
            </w:r>
          </w:p>
        </w:tc>
        <w:tc>
          <w:tcPr>
            <w:tcW w:w="26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6.62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6.77</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6.75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6.77</w:t>
            </w: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Average equity to assets reconciliation</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gridSpan w:val="2"/>
          </w:tcPr>
          <w:p>
            <w:pPr>
              <w:spacing w:after="0"/>
              <w:rPr>
                <w:sz w:val="20"/>
                <w:szCs w:val="20"/>
                <w:color w:val="auto"/>
              </w:rPr>
            </w:pPr>
            <w:r>
              <w:rPr>
                <w:rFonts w:ascii="Arial" w:cs="Arial" w:eastAsia="Arial" w:hAnsi="Arial"/>
                <w:sz w:val="18"/>
                <w:szCs w:val="18"/>
                <w:color w:val="auto"/>
              </w:rPr>
              <w:t>Tangible common equity to assets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5.73%</w:t>
            </w: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5.45%</w:t>
            </w:r>
          </w:p>
        </w:tc>
        <w:tc>
          <w:tcPr>
            <w:tcW w:w="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5.33%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5.38%</w:t>
            </w: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5.65%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5.50%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16"/>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preferred equity</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2.93</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2.79</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2.78</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0"/>
        </w:trPr>
        <w:tc>
          <w:tcPr>
            <w:tcW w:w="4100" w:type="dxa"/>
            <w:vAlign w:val="bottom"/>
            <w:gridSpan w:val="2"/>
            <w:vMerge w:val="restart"/>
          </w:tcPr>
          <w:p>
            <w:pPr>
              <w:ind w:left="440"/>
              <w:spacing w:after="0"/>
              <w:rPr>
                <w:sz w:val="20"/>
                <w:szCs w:val="20"/>
                <w:color w:val="auto"/>
              </w:rPr>
            </w:pPr>
            <w:r>
              <w:rPr>
                <w:rFonts w:ascii="Arial" w:cs="Arial" w:eastAsia="Arial" w:hAnsi="Arial"/>
                <w:sz w:val="18"/>
                <w:szCs w:val="18"/>
                <w:color w:val="auto"/>
              </w:rPr>
              <w:t>Tangible equity to assets</w:t>
            </w: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100" w:type="dxa"/>
            <w:vAlign w:val="bottom"/>
            <w:gridSpan w:val="2"/>
            <w:vMerge w:val="continue"/>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8.66</w:t>
            </w:r>
          </w:p>
        </w:tc>
        <w:tc>
          <w:tcPr>
            <w:tcW w:w="100" w:type="dxa"/>
            <w:vAlign w:val="bottom"/>
          </w:tcPr>
          <w:p>
            <w:pPr>
              <w:spacing w:after="0"/>
              <w:rPr>
                <w:sz w:val="19"/>
                <w:szCs w:val="19"/>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8.24</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8.08</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8.16</w:t>
            </w:r>
          </w:p>
        </w:tc>
        <w:tc>
          <w:tcPr>
            <w:tcW w:w="100" w:type="dxa"/>
            <w:vAlign w:val="bottom"/>
          </w:tcPr>
          <w:p>
            <w:pPr>
              <w:spacing w:after="0"/>
              <w:rPr>
                <w:sz w:val="19"/>
                <w:szCs w:val="19"/>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8.42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8.32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7.47</w:t>
            </w:r>
          </w:p>
        </w:tc>
        <w:tc>
          <w:tcPr>
            <w:tcW w:w="0" w:type="dxa"/>
            <w:vAlign w:val="bottom"/>
          </w:tcPr>
          <w:p>
            <w:pPr>
              <w:spacing w:after="0"/>
              <w:rPr>
                <w:sz w:val="1"/>
                <w:szCs w:val="1"/>
                <w:color w:val="auto"/>
              </w:rPr>
            </w:pPr>
          </w:p>
        </w:tc>
      </w:tr>
      <w:tr>
        <w:trPr>
          <w:trHeight w:val="218"/>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goodwill and other intangibles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.09</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4100" w:type="dxa"/>
            <w:vAlign w:val="bottom"/>
            <w:gridSpan w:val="2"/>
            <w:vMerge w:val="restart"/>
          </w:tcPr>
          <w:p>
            <w:pPr>
              <w:ind w:left="440"/>
              <w:spacing w:after="0"/>
              <w:rPr>
                <w:sz w:val="20"/>
                <w:szCs w:val="20"/>
                <w:color w:val="auto"/>
              </w:rPr>
            </w:pPr>
            <w:r>
              <w:rPr>
                <w:rFonts w:ascii="Arial" w:cs="Arial" w:eastAsia="Arial" w:hAnsi="Arial"/>
                <w:sz w:val="18"/>
                <w:szCs w:val="18"/>
                <w:color w:val="auto"/>
              </w:rPr>
              <w:t>Equity to assets (GAAP)</w:t>
            </w: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100" w:type="dxa"/>
            <w:vAlign w:val="bottom"/>
            <w:gridSpan w:val="2"/>
            <w:vMerge w:val="continue"/>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8.75%</w:t>
            </w:r>
          </w:p>
        </w:tc>
        <w:tc>
          <w:tcPr>
            <w:tcW w:w="10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8.33%</w:t>
            </w:r>
          </w:p>
        </w:tc>
        <w:tc>
          <w:tcPr>
            <w:tcW w:w="8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8.19%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8.28%</w:t>
            </w:r>
          </w:p>
        </w:tc>
        <w:tc>
          <w:tcPr>
            <w:tcW w:w="10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8.55%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8.42%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7.58%</w:t>
            </w: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00" w:type="dxa"/>
            <w:vAlign w:val="bottom"/>
            <w:gridSpan w:val="2"/>
            <w:shd w:val="clear" w:color="auto" w:fill="CCEEFF"/>
          </w:tcPr>
          <w:p>
            <w:pPr>
              <w:spacing w:after="0" w:line="197" w:lineRule="exact"/>
              <w:rPr>
                <w:sz w:val="20"/>
                <w:szCs w:val="20"/>
                <w:color w:val="auto"/>
              </w:rPr>
            </w:pPr>
            <w:r>
              <w:rPr>
                <w:rFonts w:ascii="Arial" w:cs="Arial" w:eastAsia="Arial" w:hAnsi="Arial"/>
                <w:sz w:val="18"/>
                <w:szCs w:val="18"/>
                <w:b w:val="1"/>
                <w:bCs w:val="1"/>
                <w:color w:val="auto"/>
                <w:w w:val="98"/>
              </w:rPr>
              <w:t>Tangible common equity to risk-weighted assets</w:t>
            </w: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0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reconciliation</w:t>
            </w: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100" w:type="dxa"/>
            <w:vAlign w:val="bottom"/>
            <w:gridSpan w:val="2"/>
          </w:tcPr>
          <w:p>
            <w:pPr>
              <w:spacing w:after="0"/>
              <w:rPr>
                <w:sz w:val="20"/>
                <w:szCs w:val="20"/>
                <w:color w:val="auto"/>
              </w:rPr>
            </w:pPr>
            <w:r>
              <w:rPr>
                <w:rFonts w:ascii="Arial" w:cs="Arial" w:eastAsia="Arial" w:hAnsi="Arial"/>
                <w:sz w:val="18"/>
                <w:szCs w:val="18"/>
                <w:color w:val="auto"/>
              </w:rPr>
              <w:t>Tangible common equity to risk-weighted assets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8.44%</w:t>
            </w: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8.37%</w:t>
            </w:r>
          </w:p>
        </w:tc>
        <w:tc>
          <w:tcPr>
            <w:tcW w:w="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8.21%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8.25%</w:t>
            </w: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8.52%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8.44%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8.52%</w:t>
            </w:r>
          </w:p>
        </w:tc>
        <w:tc>
          <w:tcPr>
            <w:tcW w:w="0" w:type="dxa"/>
            <w:vAlign w:val="bottom"/>
          </w:tcPr>
          <w:p>
            <w:pPr>
              <w:spacing w:after="0"/>
              <w:rPr>
                <w:sz w:val="1"/>
                <w:szCs w:val="1"/>
                <w:color w:val="auto"/>
              </w:rPr>
            </w:pPr>
          </w:p>
        </w:tc>
      </w:tr>
      <w:tr>
        <w:trPr>
          <w:trHeight w:val="216"/>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other comprehensive income</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.28</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4100" w:type="dxa"/>
            <w:vAlign w:val="bottom"/>
            <w:gridSpan w:val="2"/>
          </w:tcPr>
          <w:p>
            <w:pPr>
              <w:spacing w:after="0"/>
              <w:rPr>
                <w:sz w:val="20"/>
                <w:szCs w:val="20"/>
                <w:color w:val="auto"/>
              </w:rPr>
            </w:pPr>
            <w:r>
              <w:rPr>
                <w:rFonts w:ascii="Arial" w:cs="Arial" w:eastAsia="Arial" w:hAnsi="Arial"/>
                <w:sz w:val="18"/>
                <w:szCs w:val="18"/>
                <w:color w:val="auto"/>
              </w:rPr>
              <w:t>Effect of trust preferred</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1.19</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preferred equity</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4.29</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4.35</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4.29</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0"/>
        </w:trPr>
        <w:tc>
          <w:tcPr>
            <w:tcW w:w="4100" w:type="dxa"/>
            <w:vAlign w:val="bottom"/>
            <w:gridSpan w:val="2"/>
            <w:vMerge w:val="restart"/>
          </w:tcPr>
          <w:p>
            <w:pPr>
              <w:ind w:left="440"/>
              <w:spacing w:after="0"/>
              <w:rPr>
                <w:sz w:val="20"/>
                <w:szCs w:val="20"/>
                <w:color w:val="auto"/>
              </w:rPr>
            </w:pPr>
            <w:r>
              <w:rPr>
                <w:rFonts w:ascii="Arial" w:cs="Arial" w:eastAsia="Arial" w:hAnsi="Arial"/>
                <w:sz w:val="18"/>
                <w:szCs w:val="18"/>
                <w:color w:val="auto"/>
              </w:rPr>
              <w:t>Tier I capital ratio (Regulatory)</w:t>
            </w: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100" w:type="dxa"/>
            <w:vAlign w:val="bottom"/>
            <w:gridSpan w:val="2"/>
            <w:vMerge w:val="continue"/>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14.26 %</w:t>
            </w:r>
          </w:p>
        </w:tc>
        <w:tc>
          <w:tcPr>
            <w:tcW w:w="10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14.19 %</w:t>
            </w:r>
          </w:p>
        </w:tc>
        <w:tc>
          <w:tcPr>
            <w:tcW w:w="8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13.69 %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13.69 %</w:t>
            </w:r>
          </w:p>
        </w:tc>
        <w:tc>
          <w:tcPr>
            <w:tcW w:w="10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13.75%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14.26%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13.75%</w:t>
            </w: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United reported net income of $10.6 million for the third quarter of 2012. This compared to a net loss of $11.3 million for the same period in 2011. For the third quarter of 2012, diluted earnings per common share was $.13. This compared to a loss per common share of $.25 for the third quarter of 2011. The classification of United’s largest loan relationship and establishment of a $25 million specific reserve for expected losses on that relationship resulted in the loss in the third quarter of 2011. For the nine months ended September 30, 2012, United reported net income of $28.6 million compared to a net loss of $237 million for the same period in 2011. The loss for the nine months ended September 30, 2011 reflects the Board of Directors’ decision in the first quarter of 2011 to adopt the Problem Asset Disposition Plan to quickly dispose of problem assets following the Private Placement at the end of the first quarter. Diluted earnings per common share was $.34 for the nine months ended September 30, 2012, compared with a loss per common share of $7.23 for the same period in 2011.</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Interest Revenue (Taxable Equivalent)</w:t>
      </w:r>
    </w:p>
    <w:p>
      <w:pPr>
        <w:spacing w:after="0" w:line="9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Net interest revenue (the difference between the interest earned on assets and the interest paid on deposits and borrowed funds) is the single largest component of total revenue. United actively manages this revenue source to provide optimal levels of revenue while balancing interest rate, credit and liquidity risks. Taxable equivalent net interest revenue for the three months ended September 30, 2012 was $57.4 million, down $1.91 million, or 3%, from the third quarter of 2011. The decrease in net interest revenue for the third quarter of 2012 compared to the third quarter of 2011 was mostly due to lower yields on the securities and loan portfolios and a smaller balance of interest-earning assets. United continues its intense focus on loan and deposit pricing in an effort to maintain a steady level of net interest revenue.</w:t>
      </w:r>
    </w:p>
    <w:p>
      <w:pPr>
        <w:spacing w:after="0" w:line="14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Average loans decreased $46.7 million, or 1%, from the third quarter of last year. The decrease in the loan portfolio has begun to stabilize, however there is a high level of competition for quality lending relationships, which continues to put pressure on pricing. While loan balances have declined, United continues to make new loans. During the third quarter of 2012, United funded $137 million in new loans, primarily commercial, small business and residential real estate loans in north Georgia, the Atlanta MSA, east Tennessee and coastal Georgia. The increase in residential real estate loans is primarily the result of the promotion of a new home equity line product.</w:t>
      </w:r>
    </w:p>
    <w:p>
      <w:pPr>
        <w:spacing w:after="0" w:line="143"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Average interest-earning assets for the third quarter of 2012 decreased $284 million, or 4%, from the same period in 2011. In addition to the decrease in average loans, average investment securities decreased $179 million from the third quarter of 2011. The average yield on interest-earning assets for the three months ended September 30, 2012, was 4.14%, down 33 basis points from 4.47% for the same period of 2011. The most significant factors in the lower earning asset yield were the lower average yields on the loan and securities portfolios. For the third quarter of 2012, the yield on loans decreased 44 basis points and the yield on securities decreased 55 basis points from the same period a year ago. Partially offsetting the lower loan and securities yields was a higher average yield on other interest-earnings assets due to the use of reverse repurchase agreements including collateral swap transactions where United enters into a repurchase agreement and reverse repurchase agreement or offsetting securities lending transactions simultaneously with the same counterparty subject to a master netting agreement. In these transactions, the offsetting balances are netted on the balance sheet.</w:t>
      </w:r>
    </w:p>
    <w:p>
      <w:pPr>
        <w:spacing w:after="0" w:line="118"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Average interest-bearing liabilities decreased $569 million, or 11%, from the third quarter of 2011 due to the rolling off of higher-cost brokered deposits and certificates of deposit as core transaction deposits increased $232 million while overall funding needs decreased. The average cost of interest-bearing liabilities for the third quarter of 2012 was .71% compared to 1.12% for the same period of 2011, reflecting United’s ability to reduce deposit pricing. Also contributing to the overall lower rate on interest-bearing liabilities was a shift in the mix of deposits away from more expensive time deposits toward lower-rate transaction deposits.</w:t>
      </w:r>
    </w:p>
    <w:p>
      <w:pPr>
        <w:spacing w:after="0" w:line="143"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The banking industry uses two ratios to measure relative profitability of net interest revenue. The net interest spread measures the difference between the average yield on interest-earning assets and the average rate paid on interest-bearing liabilities. The interest rate spread eliminates the effect of non-interest-bearing deposits and gives a direct perspective on the effect of market interest rate movements. The net interest margin is an indication of the profitability of a company’s balance sheet, and is defined as net interest revenue as a percent of average total interest-earning assets, which includes the positive effect of funding a portion of interest-earning assets with customers’ non-interest-bearing deposits and stockholders’ equity.</w:t>
      </w:r>
    </w:p>
    <w:p>
      <w:pPr>
        <w:spacing w:after="0" w:line="11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For the three months ended September 30, 2012 and 2011, the net interest spread was 3.43% and 3.35%, respectively, while the net interest margin was 3.60% and 3.55%, respectively. Much of the improvement in both ratios is due to shrinking the balance sheet through a smaller securities portfolio and a smaller balance of certificates of deposit.</w:t>
      </w:r>
    </w:p>
    <w:p>
      <w:pPr>
        <w:spacing w:after="0" w:line="14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For the first nine months of 2012, net interest revenue was $173 million, a decrease of $1.55 million, or 1%, from the first nine months of 2011. Average earning assets decreased $248 million, or 4%, during the first nine months of 2012 compared to the same period a year earlier. The yield on earning assets decreased 33 basis points from 4.46% for the nine months ended September 30, 2011 to 4.13% for the nine months ended September 30, 2012 due to declining average loan yields and the abnormally high prepayment activity on mortgage-backed securities in the securities portfolio during 2012. This prepayment activity suppressed the securities portfolio yield by accelerating the amortization of bond purchase premiums and the yields at which the proceeds were reinvested fell short of the yields of the bonds they replaced. The cost of interest-bearing liabilities over the same period decreased 45 basis points. The combined effect of a lower level of interest-earning assets and the decrease in yield on interest-earning assets, which was less than the decrease in cost of interest-bearing liabilities resulted in the net interest margin increasing 10 basis points from the nine months ended September 30, 2011 to the nine months ended September 30, 2012.</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The following table shows the relationship between interest revenue and expense, and the average amounts of interest-earning assets and interest-bearing liabilities for the three months ended September 30, 2012 and 2011.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2 - Average Consolidated Balance Sheets and Net Interest Analysis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September 30,</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right"/>
              <w:ind w:right="276"/>
              <w:spacing w:after="0"/>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right"/>
              <w:ind w:right="276"/>
              <w:spacing w:after="0"/>
              <w:rPr>
                <w:sz w:val="20"/>
                <w:szCs w:val="20"/>
                <w:color w:val="auto"/>
              </w:rPr>
            </w:pPr>
            <w:r>
              <w:rPr>
                <w:rFonts w:ascii="Arial" w:cs="Arial" w:eastAsia="Arial" w:hAnsi="Arial"/>
                <w:sz w:val="14"/>
                <w:szCs w:val="14"/>
                <w:b w:val="1"/>
                <w:bCs w:val="1"/>
                <w:color w:val="auto"/>
              </w:rPr>
              <w:t>2011</w:t>
            </w:r>
          </w:p>
        </w:tc>
        <w:tc>
          <w:tcPr>
            <w:tcW w:w="3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506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(dollars in thousands, taxable equivalent)</w:t>
            </w:r>
          </w:p>
        </w:tc>
        <w:tc>
          <w:tcPr>
            <w:tcW w:w="1040" w:type="dxa"/>
            <w:vAlign w:val="bottom"/>
          </w:tcPr>
          <w:p>
            <w:pPr>
              <w:spacing w:after="0"/>
              <w:rPr>
                <w:sz w:val="12"/>
                <w:szCs w:val="12"/>
                <w:color w:val="auto"/>
              </w:rPr>
            </w:pPr>
          </w:p>
        </w:tc>
        <w:tc>
          <w:tcPr>
            <w:tcW w:w="940" w:type="dxa"/>
            <w:vAlign w:val="bottom"/>
            <w:gridSpan w:val="2"/>
          </w:tcPr>
          <w:p>
            <w:pPr>
              <w:jc w:val="right"/>
              <w:ind w:right="300"/>
              <w:spacing w:after="0" w:line="143" w:lineRule="exact"/>
              <w:rPr>
                <w:sz w:val="20"/>
                <w:szCs w:val="20"/>
                <w:color w:val="auto"/>
              </w:rPr>
            </w:pPr>
            <w:r>
              <w:rPr>
                <w:rFonts w:ascii="Arial" w:cs="Arial" w:eastAsia="Arial" w:hAnsi="Arial"/>
                <w:sz w:val="14"/>
                <w:szCs w:val="14"/>
                <w:b w:val="1"/>
                <w:bCs w:val="1"/>
                <w:color w:val="auto"/>
              </w:rPr>
              <w:t>Average</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ind w:left="80"/>
              <w:spacing w:after="0" w:line="143" w:lineRule="exact"/>
              <w:rPr>
                <w:sz w:val="20"/>
                <w:szCs w:val="20"/>
                <w:color w:val="auto"/>
              </w:rPr>
            </w:pPr>
            <w:r>
              <w:rPr>
                <w:rFonts w:ascii="Arial" w:cs="Arial" w:eastAsia="Arial" w:hAnsi="Arial"/>
                <w:sz w:val="14"/>
                <w:szCs w:val="14"/>
                <w:b w:val="1"/>
                <w:bCs w:val="1"/>
                <w:color w:val="auto"/>
                <w:w w:val="98"/>
              </w:rPr>
              <w:t>Avg.</w:t>
            </w:r>
          </w:p>
        </w:tc>
        <w:tc>
          <w:tcPr>
            <w:tcW w:w="400" w:type="dxa"/>
            <w:vAlign w:val="bottom"/>
          </w:tcPr>
          <w:p>
            <w:pPr>
              <w:spacing w:after="0"/>
              <w:rPr>
                <w:sz w:val="12"/>
                <w:szCs w:val="12"/>
                <w:color w:val="auto"/>
              </w:rPr>
            </w:pPr>
          </w:p>
        </w:tc>
        <w:tc>
          <w:tcPr>
            <w:tcW w:w="940" w:type="dxa"/>
            <w:vAlign w:val="bottom"/>
            <w:gridSpan w:val="2"/>
          </w:tcPr>
          <w:p>
            <w:pPr>
              <w:jc w:val="right"/>
              <w:ind w:right="320"/>
              <w:spacing w:after="0" w:line="143" w:lineRule="exact"/>
              <w:rPr>
                <w:sz w:val="20"/>
                <w:szCs w:val="20"/>
                <w:color w:val="auto"/>
              </w:rPr>
            </w:pPr>
            <w:r>
              <w:rPr>
                <w:rFonts w:ascii="Arial" w:cs="Arial" w:eastAsia="Arial" w:hAnsi="Arial"/>
                <w:sz w:val="14"/>
                <w:szCs w:val="14"/>
                <w:b w:val="1"/>
                <w:bCs w:val="1"/>
                <w:color w:val="auto"/>
              </w:rPr>
              <w:t>Average</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ind w:left="60"/>
              <w:spacing w:after="0" w:line="143" w:lineRule="exact"/>
              <w:rPr>
                <w:sz w:val="20"/>
                <w:szCs w:val="20"/>
                <w:color w:val="auto"/>
              </w:rPr>
            </w:pPr>
            <w:r>
              <w:rPr>
                <w:rFonts w:ascii="Arial" w:cs="Arial" w:eastAsia="Arial" w:hAnsi="Arial"/>
                <w:sz w:val="14"/>
                <w:szCs w:val="14"/>
                <w:b w:val="1"/>
                <w:bCs w:val="1"/>
                <w:color w:val="auto"/>
              </w:rPr>
              <w:t>Avg.</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5060" w:type="dxa"/>
            <w:vAlign w:val="bottom"/>
            <w:gridSpan w:val="3"/>
            <w:vMerge w:val="continue"/>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gridSpan w:val="2"/>
          </w:tcPr>
          <w:p>
            <w:pPr>
              <w:jc w:val="right"/>
              <w:ind w:right="320"/>
              <w:spacing w:after="0" w:line="148" w:lineRule="exact"/>
              <w:rPr>
                <w:sz w:val="20"/>
                <w:szCs w:val="20"/>
                <w:color w:val="auto"/>
              </w:rPr>
            </w:pPr>
            <w:r>
              <w:rPr>
                <w:rFonts w:ascii="Arial" w:cs="Arial" w:eastAsia="Arial" w:hAnsi="Arial"/>
                <w:sz w:val="14"/>
                <w:szCs w:val="14"/>
                <w:b w:val="1"/>
                <w:bCs w:val="1"/>
                <w:color w:val="auto"/>
              </w:rPr>
              <w:t>Balance</w:t>
            </w:r>
          </w:p>
        </w:tc>
        <w:tc>
          <w:tcPr>
            <w:tcW w:w="160" w:type="dxa"/>
            <w:vAlign w:val="bottom"/>
          </w:tcPr>
          <w:p>
            <w:pPr>
              <w:spacing w:after="0"/>
              <w:rPr>
                <w:sz w:val="14"/>
                <w:szCs w:val="14"/>
                <w:color w:val="auto"/>
              </w:rPr>
            </w:pPr>
          </w:p>
        </w:tc>
        <w:tc>
          <w:tcPr>
            <w:tcW w:w="860" w:type="dxa"/>
            <w:vAlign w:val="bottom"/>
            <w:gridSpan w:val="2"/>
          </w:tcPr>
          <w:p>
            <w:pPr>
              <w:ind w:left="60"/>
              <w:spacing w:after="0" w:line="148" w:lineRule="exact"/>
              <w:rPr>
                <w:sz w:val="20"/>
                <w:szCs w:val="20"/>
                <w:color w:val="auto"/>
              </w:rPr>
            </w:pPr>
            <w:r>
              <w:rPr>
                <w:rFonts w:ascii="Arial" w:cs="Arial" w:eastAsia="Arial" w:hAnsi="Arial"/>
                <w:sz w:val="14"/>
                <w:szCs w:val="14"/>
                <w:b w:val="1"/>
                <w:bCs w:val="1"/>
                <w:color w:val="auto"/>
              </w:rPr>
              <w:t>Interest</w:t>
            </w:r>
          </w:p>
        </w:tc>
        <w:tc>
          <w:tcPr>
            <w:tcW w:w="800" w:type="dxa"/>
            <w:vAlign w:val="bottom"/>
            <w:gridSpan w:val="2"/>
          </w:tcPr>
          <w:p>
            <w:pPr>
              <w:ind w:left="60"/>
              <w:spacing w:after="0" w:line="148" w:lineRule="exact"/>
              <w:rPr>
                <w:sz w:val="20"/>
                <w:szCs w:val="20"/>
                <w:color w:val="auto"/>
              </w:rPr>
            </w:pPr>
            <w:r>
              <w:rPr>
                <w:rFonts w:ascii="Arial" w:cs="Arial" w:eastAsia="Arial" w:hAnsi="Arial"/>
                <w:sz w:val="14"/>
                <w:szCs w:val="14"/>
                <w:b w:val="1"/>
                <w:bCs w:val="1"/>
                <w:color w:val="auto"/>
              </w:rPr>
              <w:t>Rate</w:t>
            </w:r>
          </w:p>
        </w:tc>
        <w:tc>
          <w:tcPr>
            <w:tcW w:w="940" w:type="dxa"/>
            <w:vAlign w:val="bottom"/>
            <w:gridSpan w:val="2"/>
          </w:tcPr>
          <w:p>
            <w:pPr>
              <w:jc w:val="right"/>
              <w:ind w:right="320"/>
              <w:spacing w:after="0" w:line="148" w:lineRule="exact"/>
              <w:rPr>
                <w:sz w:val="20"/>
                <w:szCs w:val="20"/>
                <w:color w:val="auto"/>
              </w:rPr>
            </w:pPr>
            <w:r>
              <w:rPr>
                <w:rFonts w:ascii="Arial" w:cs="Arial" w:eastAsia="Arial" w:hAnsi="Arial"/>
                <w:sz w:val="14"/>
                <w:szCs w:val="14"/>
                <w:b w:val="1"/>
                <w:bCs w:val="1"/>
                <w:color w:val="auto"/>
              </w:rPr>
              <w:t>Balance</w:t>
            </w:r>
          </w:p>
        </w:tc>
        <w:tc>
          <w:tcPr>
            <w:tcW w:w="140" w:type="dxa"/>
            <w:vAlign w:val="bottom"/>
          </w:tcPr>
          <w:p>
            <w:pPr>
              <w:spacing w:after="0"/>
              <w:rPr>
                <w:sz w:val="14"/>
                <w:szCs w:val="14"/>
                <w:color w:val="auto"/>
              </w:rPr>
            </w:pPr>
          </w:p>
        </w:tc>
        <w:tc>
          <w:tcPr>
            <w:tcW w:w="580" w:type="dxa"/>
            <w:vAlign w:val="bottom"/>
          </w:tcPr>
          <w:p>
            <w:pPr>
              <w:jc w:val="right"/>
              <w:spacing w:after="0" w:line="148" w:lineRule="exact"/>
              <w:rPr>
                <w:sz w:val="20"/>
                <w:szCs w:val="20"/>
                <w:color w:val="auto"/>
              </w:rPr>
            </w:pPr>
            <w:r>
              <w:rPr>
                <w:rFonts w:ascii="Arial" w:cs="Arial" w:eastAsia="Arial" w:hAnsi="Arial"/>
                <w:sz w:val="14"/>
                <w:szCs w:val="14"/>
                <w:b w:val="1"/>
                <w:bCs w:val="1"/>
                <w:color w:val="auto"/>
                <w:w w:val="98"/>
              </w:rPr>
              <w:t>Interest</w:t>
            </w:r>
          </w:p>
        </w:tc>
        <w:tc>
          <w:tcPr>
            <w:tcW w:w="300" w:type="dxa"/>
            <w:vAlign w:val="bottom"/>
          </w:tcPr>
          <w:p>
            <w:pPr>
              <w:spacing w:after="0"/>
              <w:rPr>
                <w:sz w:val="14"/>
                <w:szCs w:val="14"/>
                <w:color w:val="auto"/>
              </w:rPr>
            </w:pPr>
          </w:p>
        </w:tc>
        <w:tc>
          <w:tcPr>
            <w:tcW w:w="600" w:type="dxa"/>
            <w:vAlign w:val="bottom"/>
            <w:gridSpan w:val="2"/>
          </w:tcPr>
          <w:p>
            <w:pPr>
              <w:ind w:left="60"/>
              <w:spacing w:after="0" w:line="148" w:lineRule="exact"/>
              <w:rPr>
                <w:sz w:val="20"/>
                <w:szCs w:val="20"/>
                <w:color w:val="auto"/>
              </w:rPr>
            </w:pPr>
            <w:r>
              <w:rPr>
                <w:rFonts w:ascii="Arial" w:cs="Arial" w:eastAsia="Arial" w:hAnsi="Arial"/>
                <w:sz w:val="14"/>
                <w:szCs w:val="14"/>
                <w:b w:val="1"/>
                <w:bCs w:val="1"/>
                <w:color w:val="auto"/>
              </w:rPr>
              <w:t>Rate</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38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Assets:</w:t>
            </w:r>
          </w:p>
        </w:tc>
        <w:tc>
          <w:tcPr>
            <w:tcW w:w="266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Interest-earning assets:</w:t>
            </w:r>
          </w:p>
        </w:tc>
        <w:tc>
          <w:tcPr>
            <w:tcW w:w="10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 xml:space="preserve">Loans, net of unearned income </w:t>
            </w:r>
            <w:r>
              <w:rPr>
                <w:rFonts w:ascii="Arial" w:cs="Arial" w:eastAsia="Arial" w:hAnsi="Arial"/>
                <w:sz w:val="11"/>
                <w:szCs w:val="11"/>
                <w:color w:val="auto"/>
              </w:rPr>
              <w:t>(1)(2)</w:t>
            </w:r>
          </w:p>
        </w:tc>
        <w:tc>
          <w:tcPr>
            <w:tcW w:w="19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$4,147,220</w:t>
            </w:r>
          </w:p>
        </w:tc>
        <w:tc>
          <w:tcPr>
            <w:tcW w:w="10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$53,963</w:t>
            </w:r>
          </w:p>
        </w:tc>
        <w:tc>
          <w:tcPr>
            <w:tcW w:w="8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5.18 %</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$4,193,951</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$59,394</w:t>
            </w:r>
          </w:p>
        </w:tc>
        <w:tc>
          <w:tcPr>
            <w:tcW w:w="9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w w:val="96"/>
              </w:rPr>
              <w:t>5.62 %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tcPr>
          <w:p>
            <w:pPr>
              <w:ind w:left="420"/>
              <w:spacing w:after="0"/>
              <w:rPr>
                <w:sz w:val="20"/>
                <w:szCs w:val="20"/>
                <w:color w:val="auto"/>
              </w:rPr>
            </w:pPr>
            <w:r>
              <w:rPr>
                <w:rFonts w:ascii="Arial" w:cs="Arial" w:eastAsia="Arial" w:hAnsi="Arial"/>
                <w:sz w:val="18"/>
                <w:szCs w:val="18"/>
                <w:color w:val="auto"/>
              </w:rPr>
              <w:t xml:space="preserve">Taxable securities </w:t>
            </w:r>
            <w:r>
              <w:rPr>
                <w:rFonts w:ascii="Arial" w:cs="Arial" w:eastAsia="Arial" w:hAnsi="Arial"/>
                <w:sz w:val="11"/>
                <w:szCs w:val="11"/>
                <w:color w:val="auto"/>
              </w:rPr>
              <w:t>(3)</w:t>
            </w:r>
          </w:p>
        </w:tc>
        <w:tc>
          <w:tcPr>
            <w:tcW w:w="1980" w:type="dxa"/>
            <w:vAlign w:val="bottom"/>
            <w:gridSpan w:val="3"/>
          </w:tcPr>
          <w:p>
            <w:pPr>
              <w:jc w:val="right"/>
              <w:ind w:right="140"/>
              <w:spacing w:after="0"/>
              <w:rPr>
                <w:sz w:val="20"/>
                <w:szCs w:val="20"/>
                <w:color w:val="auto"/>
              </w:rPr>
            </w:pPr>
            <w:r>
              <w:rPr>
                <w:rFonts w:ascii="Arial" w:cs="Arial" w:eastAsia="Arial" w:hAnsi="Arial"/>
                <w:sz w:val="18"/>
                <w:szCs w:val="18"/>
                <w:color w:val="auto"/>
              </w:rPr>
              <w:t>1,947,780</w:t>
            </w:r>
          </w:p>
        </w:tc>
        <w:tc>
          <w:tcPr>
            <w:tcW w:w="1020" w:type="dxa"/>
            <w:vAlign w:val="bottom"/>
            <w:gridSpan w:val="3"/>
          </w:tcPr>
          <w:p>
            <w:pPr>
              <w:jc w:val="right"/>
              <w:ind w:right="280"/>
              <w:spacing w:after="0"/>
              <w:rPr>
                <w:sz w:val="20"/>
                <w:szCs w:val="20"/>
                <w:color w:val="auto"/>
              </w:rPr>
            </w:pPr>
            <w:r>
              <w:rPr>
                <w:rFonts w:ascii="Arial" w:cs="Arial" w:eastAsia="Arial" w:hAnsi="Arial"/>
                <w:sz w:val="18"/>
                <w:szCs w:val="18"/>
                <w:color w:val="auto"/>
              </w:rPr>
              <w:t>10,481</w:t>
            </w: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2.15</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2,125,154</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14,324</w:t>
            </w:r>
          </w:p>
        </w:tc>
        <w:tc>
          <w:tcPr>
            <w:tcW w:w="900" w:type="dxa"/>
            <w:vAlign w:val="bottom"/>
            <w:gridSpan w:val="3"/>
          </w:tcPr>
          <w:p>
            <w:pPr>
              <w:jc w:val="right"/>
              <w:ind w:right="20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 xml:space="preserve">Tax-exempt securities </w:t>
            </w:r>
            <w:r>
              <w:rPr>
                <w:rFonts w:ascii="Arial" w:cs="Arial" w:eastAsia="Arial" w:hAnsi="Arial"/>
                <w:sz w:val="11"/>
                <w:szCs w:val="11"/>
                <w:color w:val="auto"/>
              </w:rPr>
              <w:t>(1)(3)</w:t>
            </w:r>
          </w:p>
        </w:tc>
        <w:tc>
          <w:tcPr>
            <w:tcW w:w="19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22,895</w:t>
            </w:r>
          </w:p>
        </w:tc>
        <w:tc>
          <w:tcPr>
            <w:tcW w:w="10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368</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6.43</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24,675</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gridSpan w:val="2"/>
          </w:tcPr>
          <w:p>
            <w:pPr>
              <w:ind w:left="420"/>
              <w:spacing w:after="0"/>
              <w:rPr>
                <w:sz w:val="20"/>
                <w:szCs w:val="20"/>
                <w:color w:val="auto"/>
              </w:rPr>
            </w:pPr>
            <w:r>
              <w:rPr>
                <w:rFonts w:ascii="Arial" w:cs="Arial" w:eastAsia="Arial" w:hAnsi="Arial"/>
                <w:sz w:val="18"/>
                <w:szCs w:val="18"/>
                <w:color w:val="auto"/>
              </w:rPr>
              <w:t>Federal funds sold and other interest-earning assets</w:t>
            </w:r>
          </w:p>
        </w:tc>
        <w:tc>
          <w:tcPr>
            <w:tcW w:w="104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227,950</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1,166</w:t>
            </w:r>
          </w:p>
        </w:tc>
        <w:tc>
          <w:tcPr>
            <w:tcW w:w="280" w:type="dxa"/>
            <w:vAlign w:val="bottom"/>
          </w:tcPr>
          <w:p>
            <w:pPr>
              <w:spacing w:after="0"/>
              <w:rPr>
                <w:sz w:val="19"/>
                <w:szCs w:val="19"/>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2.05</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286,194</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w:t>
            </w:r>
          </w:p>
        </w:tc>
        <w:tc>
          <w:tcPr>
            <w:tcW w:w="900" w:type="dxa"/>
            <w:vAlign w:val="bottom"/>
            <w:gridSpan w:val="3"/>
          </w:tcPr>
          <w:p>
            <w:pPr>
              <w:jc w:val="right"/>
              <w:ind w:right="2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shd w:val="clear" w:color="auto" w:fill="CCEEFF"/>
          </w:tcPr>
          <w:p>
            <w:pPr>
              <w:ind w:left="860"/>
              <w:spacing w:after="0"/>
              <w:rPr>
                <w:sz w:val="20"/>
                <w:szCs w:val="20"/>
                <w:color w:val="auto"/>
              </w:rPr>
            </w:pPr>
            <w:r>
              <w:rPr>
                <w:rFonts w:ascii="Arial" w:cs="Arial" w:eastAsia="Arial" w:hAnsi="Arial"/>
                <w:sz w:val="18"/>
                <w:szCs w:val="18"/>
                <w:b w:val="1"/>
                <w:bCs w:val="1"/>
                <w:color w:val="auto"/>
              </w:rPr>
              <w:t>Total interest-earning assets</w:t>
            </w:r>
          </w:p>
        </w:tc>
        <w:tc>
          <w:tcPr>
            <w:tcW w:w="19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6,345,845</w:t>
            </w:r>
          </w:p>
        </w:tc>
        <w:tc>
          <w:tcPr>
            <w:tcW w:w="10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65,978</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4.14</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6,629,974</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74,543</w:t>
            </w: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222"/>
        </w:trPr>
        <w:tc>
          <w:tcPr>
            <w:tcW w:w="5060" w:type="dxa"/>
            <w:vAlign w:val="bottom"/>
            <w:gridSpan w:val="3"/>
          </w:tcPr>
          <w:p>
            <w:pPr>
              <w:spacing w:after="0"/>
              <w:rPr>
                <w:sz w:val="20"/>
                <w:szCs w:val="20"/>
                <w:color w:val="auto"/>
              </w:rPr>
            </w:pPr>
            <w:r>
              <w:rPr>
                <w:rFonts w:ascii="Arial" w:cs="Arial" w:eastAsia="Arial" w:hAnsi="Arial"/>
                <w:sz w:val="18"/>
                <w:szCs w:val="18"/>
                <w:color w:val="auto"/>
              </w:rPr>
              <w:t>Non-interest-earning assets:</w:t>
            </w:r>
          </w:p>
        </w:tc>
        <w:tc>
          <w:tcPr>
            <w:tcW w:w="10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Allowance for loan losses</w:t>
            </w:r>
          </w:p>
        </w:tc>
        <w:tc>
          <w:tcPr>
            <w:tcW w:w="19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(112,034)</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(128,654)</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tcPr>
          <w:p>
            <w:pPr>
              <w:ind w:left="420"/>
              <w:spacing w:after="0"/>
              <w:rPr>
                <w:sz w:val="20"/>
                <w:szCs w:val="20"/>
                <w:color w:val="auto"/>
              </w:rPr>
            </w:pPr>
            <w:r>
              <w:rPr>
                <w:rFonts w:ascii="Arial" w:cs="Arial" w:eastAsia="Arial" w:hAnsi="Arial"/>
                <w:sz w:val="18"/>
                <w:szCs w:val="18"/>
                <w:color w:val="auto"/>
              </w:rPr>
              <w:t>Cash and due from banks</w:t>
            </w:r>
          </w:p>
        </w:tc>
        <w:tc>
          <w:tcPr>
            <w:tcW w:w="1980" w:type="dxa"/>
            <w:vAlign w:val="bottom"/>
            <w:gridSpan w:val="3"/>
          </w:tcPr>
          <w:p>
            <w:pPr>
              <w:jc w:val="right"/>
              <w:ind w:right="140"/>
              <w:spacing w:after="0"/>
              <w:rPr>
                <w:sz w:val="20"/>
                <w:szCs w:val="20"/>
                <w:color w:val="auto"/>
              </w:rPr>
            </w:pPr>
            <w:r>
              <w:rPr>
                <w:rFonts w:ascii="Arial" w:cs="Arial" w:eastAsia="Arial" w:hAnsi="Arial"/>
                <w:sz w:val="18"/>
                <w:szCs w:val="18"/>
                <w:color w:val="auto"/>
              </w:rPr>
              <w:t>51,705</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53,500</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Premises and equipment</w:t>
            </w:r>
          </w:p>
        </w:tc>
        <w:tc>
          <w:tcPr>
            <w:tcW w:w="19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171,608</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177,798</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gridSpan w:val="2"/>
          </w:tcPr>
          <w:p>
            <w:pPr>
              <w:ind w:left="420"/>
              <w:spacing w:after="0"/>
              <w:rPr>
                <w:sz w:val="20"/>
                <w:szCs w:val="20"/>
                <w:color w:val="auto"/>
              </w:rPr>
            </w:pPr>
            <w:r>
              <w:rPr>
                <w:rFonts w:ascii="Arial" w:cs="Arial" w:eastAsia="Arial" w:hAnsi="Arial"/>
                <w:sz w:val="18"/>
                <w:szCs w:val="18"/>
                <w:color w:val="auto"/>
              </w:rPr>
              <w:t xml:space="preserve">Other assets </w:t>
            </w:r>
            <w:r>
              <w:rPr>
                <w:rFonts w:ascii="Arial" w:cs="Arial" w:eastAsia="Arial" w:hAnsi="Arial"/>
                <w:sz w:val="11"/>
                <w:szCs w:val="11"/>
                <w:color w:val="auto"/>
              </w:rPr>
              <w:t>(3)</w:t>
            </w:r>
          </w:p>
        </w:tc>
        <w:tc>
          <w:tcPr>
            <w:tcW w:w="104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190,439</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267,349</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shd w:val="clear" w:color="auto" w:fill="CCEEFF"/>
          </w:tcPr>
          <w:p>
            <w:pPr>
              <w:ind w:left="860"/>
              <w:spacing w:after="0"/>
              <w:rPr>
                <w:sz w:val="20"/>
                <w:szCs w:val="20"/>
                <w:color w:val="auto"/>
              </w:rPr>
            </w:pPr>
            <w:r>
              <w:rPr>
                <w:rFonts w:ascii="Arial" w:cs="Arial" w:eastAsia="Arial" w:hAnsi="Arial"/>
                <w:sz w:val="18"/>
                <w:szCs w:val="18"/>
                <w:b w:val="1"/>
                <w:bCs w:val="1"/>
                <w:color w:val="auto"/>
              </w:rPr>
              <w:t>Total assets</w:t>
            </w:r>
          </w:p>
        </w:tc>
        <w:tc>
          <w:tcPr>
            <w:tcW w:w="19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6,647,563</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6,999,967</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0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060" w:type="dxa"/>
            <w:vAlign w:val="bottom"/>
            <w:gridSpan w:val="3"/>
            <w:vMerge w:val="continue"/>
          </w:tcPr>
          <w:p>
            <w:pPr>
              <w:spacing w:after="0"/>
              <w:rPr>
                <w:sz w:val="18"/>
                <w:szCs w:val="18"/>
                <w:color w:val="auto"/>
              </w:rPr>
            </w:pPr>
          </w:p>
        </w:tc>
        <w:tc>
          <w:tcPr>
            <w:tcW w:w="10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Interest-bearing liabilities:</w:t>
            </w:r>
          </w:p>
        </w:tc>
        <w:tc>
          <w:tcPr>
            <w:tcW w:w="10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tcPr>
          <w:p>
            <w:pPr>
              <w:ind w:left="420"/>
              <w:spacing w:after="0"/>
              <w:rPr>
                <w:sz w:val="20"/>
                <w:szCs w:val="20"/>
                <w:color w:val="auto"/>
              </w:rPr>
            </w:pPr>
            <w:r>
              <w:rPr>
                <w:rFonts w:ascii="Arial" w:cs="Arial" w:eastAsia="Arial" w:hAnsi="Arial"/>
                <w:sz w:val="18"/>
                <w:szCs w:val="18"/>
                <w:color w:val="auto"/>
              </w:rPr>
              <w:t>Interest-bearing deposits:</w:t>
            </w:r>
          </w:p>
        </w:tc>
        <w:tc>
          <w:tcPr>
            <w:tcW w:w="10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NOW</w:t>
            </w:r>
          </w:p>
        </w:tc>
        <w:tc>
          <w:tcPr>
            <w:tcW w:w="19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$1,176,087</w:t>
            </w:r>
          </w:p>
        </w:tc>
        <w:tc>
          <w:tcPr>
            <w:tcW w:w="10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447</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$1,258,929</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tcPr>
          <w:p>
            <w:pPr>
              <w:ind w:left="420"/>
              <w:spacing w:after="0"/>
              <w:rPr>
                <w:sz w:val="20"/>
                <w:szCs w:val="20"/>
                <w:color w:val="auto"/>
              </w:rPr>
            </w:pPr>
            <w:r>
              <w:rPr>
                <w:rFonts w:ascii="Arial" w:cs="Arial" w:eastAsia="Arial" w:hAnsi="Arial"/>
                <w:sz w:val="18"/>
                <w:szCs w:val="18"/>
                <w:color w:val="auto"/>
              </w:rPr>
              <w:t>Money market</w:t>
            </w:r>
          </w:p>
        </w:tc>
        <w:tc>
          <w:tcPr>
            <w:tcW w:w="1980" w:type="dxa"/>
            <w:vAlign w:val="bottom"/>
            <w:gridSpan w:val="3"/>
          </w:tcPr>
          <w:p>
            <w:pPr>
              <w:jc w:val="right"/>
              <w:ind w:right="140"/>
              <w:spacing w:after="0"/>
              <w:rPr>
                <w:sz w:val="20"/>
                <w:szCs w:val="20"/>
                <w:color w:val="auto"/>
              </w:rPr>
            </w:pPr>
            <w:r>
              <w:rPr>
                <w:rFonts w:ascii="Arial" w:cs="Arial" w:eastAsia="Arial" w:hAnsi="Arial"/>
                <w:sz w:val="18"/>
                <w:szCs w:val="18"/>
                <w:color w:val="auto"/>
              </w:rPr>
              <w:t>1,157,655</w:t>
            </w:r>
          </w:p>
        </w:tc>
        <w:tc>
          <w:tcPr>
            <w:tcW w:w="1020" w:type="dxa"/>
            <w:vAlign w:val="bottom"/>
            <w:gridSpan w:val="3"/>
          </w:tcPr>
          <w:p>
            <w:pPr>
              <w:jc w:val="right"/>
              <w:ind w:right="280"/>
              <w:spacing w:after="0"/>
              <w:rPr>
                <w:sz w:val="20"/>
                <w:szCs w:val="20"/>
                <w:color w:val="auto"/>
              </w:rPr>
            </w:pPr>
            <w:r>
              <w:rPr>
                <w:rFonts w:ascii="Arial" w:cs="Arial" w:eastAsia="Arial" w:hAnsi="Arial"/>
                <w:sz w:val="18"/>
                <w:szCs w:val="18"/>
                <w:color w:val="auto"/>
              </w:rPr>
              <w:t>599</w:t>
            </w: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.21</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1,024,559</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1,129</w:t>
            </w:r>
          </w:p>
        </w:tc>
        <w:tc>
          <w:tcPr>
            <w:tcW w:w="900" w:type="dxa"/>
            <w:vAlign w:val="bottom"/>
            <w:gridSpan w:val="3"/>
          </w:tcPr>
          <w:p>
            <w:pPr>
              <w:jc w:val="right"/>
              <w:ind w:right="2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Savings</w:t>
            </w:r>
          </w:p>
        </w:tc>
        <w:tc>
          <w:tcPr>
            <w:tcW w:w="19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221,186</w:t>
            </w:r>
          </w:p>
        </w:tc>
        <w:tc>
          <w:tcPr>
            <w:tcW w:w="10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37</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.07</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199,793</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tcPr>
          <w:p>
            <w:pPr>
              <w:ind w:left="420"/>
              <w:spacing w:after="0"/>
              <w:rPr>
                <w:sz w:val="20"/>
                <w:szCs w:val="20"/>
                <w:color w:val="auto"/>
              </w:rPr>
            </w:pPr>
            <w:r>
              <w:rPr>
                <w:rFonts w:ascii="Arial" w:cs="Arial" w:eastAsia="Arial" w:hAnsi="Arial"/>
                <w:sz w:val="18"/>
                <w:szCs w:val="18"/>
                <w:color w:val="auto"/>
              </w:rPr>
              <w:t>Time less than $100,000</w:t>
            </w:r>
          </w:p>
        </w:tc>
        <w:tc>
          <w:tcPr>
            <w:tcW w:w="1980" w:type="dxa"/>
            <w:vAlign w:val="bottom"/>
            <w:gridSpan w:val="3"/>
          </w:tcPr>
          <w:p>
            <w:pPr>
              <w:jc w:val="right"/>
              <w:ind w:right="140"/>
              <w:spacing w:after="0"/>
              <w:rPr>
                <w:sz w:val="20"/>
                <w:szCs w:val="20"/>
                <w:color w:val="auto"/>
              </w:rPr>
            </w:pPr>
            <w:r>
              <w:rPr>
                <w:rFonts w:ascii="Arial" w:cs="Arial" w:eastAsia="Arial" w:hAnsi="Arial"/>
                <w:sz w:val="18"/>
                <w:szCs w:val="18"/>
                <w:color w:val="auto"/>
              </w:rPr>
              <w:t>1,144,103</w:t>
            </w:r>
          </w:p>
        </w:tc>
        <w:tc>
          <w:tcPr>
            <w:tcW w:w="1020" w:type="dxa"/>
            <w:vAlign w:val="bottom"/>
            <w:gridSpan w:val="3"/>
          </w:tcPr>
          <w:p>
            <w:pPr>
              <w:jc w:val="right"/>
              <w:ind w:right="280"/>
              <w:spacing w:after="0"/>
              <w:rPr>
                <w:sz w:val="20"/>
                <w:szCs w:val="20"/>
                <w:color w:val="auto"/>
              </w:rPr>
            </w:pPr>
            <w:r>
              <w:rPr>
                <w:rFonts w:ascii="Arial" w:cs="Arial" w:eastAsia="Arial" w:hAnsi="Arial"/>
                <w:sz w:val="18"/>
                <w:szCs w:val="18"/>
                <w:color w:val="auto"/>
              </w:rPr>
              <w:t>2,260</w:t>
            </w: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.79</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1,448,024</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4,539</w:t>
            </w:r>
          </w:p>
        </w:tc>
        <w:tc>
          <w:tcPr>
            <w:tcW w:w="900" w:type="dxa"/>
            <w:vAlign w:val="bottom"/>
            <w:gridSpan w:val="3"/>
          </w:tcPr>
          <w:p>
            <w:pPr>
              <w:jc w:val="right"/>
              <w:ind w:right="20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Time greater than $100,000</w:t>
            </w:r>
          </w:p>
        </w:tc>
        <w:tc>
          <w:tcPr>
            <w:tcW w:w="19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750,828</w:t>
            </w:r>
          </w:p>
        </w:tc>
        <w:tc>
          <w:tcPr>
            <w:tcW w:w="10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1,876</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.99</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940,864</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3,456</w:t>
            </w: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gridSpan w:val="2"/>
          </w:tcPr>
          <w:p>
            <w:pPr>
              <w:ind w:left="420"/>
              <w:spacing w:after="0"/>
              <w:rPr>
                <w:sz w:val="20"/>
                <w:szCs w:val="20"/>
                <w:color w:val="auto"/>
              </w:rPr>
            </w:pPr>
            <w:r>
              <w:rPr>
                <w:rFonts w:ascii="Arial" w:cs="Arial" w:eastAsia="Arial" w:hAnsi="Arial"/>
                <w:sz w:val="18"/>
                <w:szCs w:val="18"/>
                <w:color w:val="auto"/>
              </w:rPr>
              <w:t>Brokered time deposits</w:t>
            </w:r>
          </w:p>
        </w:tc>
        <w:tc>
          <w:tcPr>
            <w:tcW w:w="104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176,114</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w:t>
            </w:r>
          </w:p>
        </w:tc>
        <w:tc>
          <w:tcPr>
            <w:tcW w:w="280" w:type="dxa"/>
            <w:vAlign w:val="bottom"/>
          </w:tcPr>
          <w:p>
            <w:pPr>
              <w:spacing w:after="0"/>
              <w:rPr>
                <w:sz w:val="19"/>
                <w:szCs w:val="19"/>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1.08</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260,423</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1,091</w:t>
            </w:r>
          </w:p>
        </w:tc>
        <w:tc>
          <w:tcPr>
            <w:tcW w:w="900" w:type="dxa"/>
            <w:vAlign w:val="bottom"/>
            <w:gridSpan w:val="3"/>
          </w:tcPr>
          <w:p>
            <w:pPr>
              <w:jc w:val="right"/>
              <w:ind w:right="20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 interest-bearing deposits</w:t>
            </w:r>
          </w:p>
        </w:tc>
        <w:tc>
          <w:tcPr>
            <w:tcW w:w="104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4,625,973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5,695</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.49</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5,132,592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11,098</w:t>
            </w: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40" w:type="dxa"/>
            <w:vAlign w:val="bottom"/>
            <w:gridSpan w:val="2"/>
          </w:tcPr>
          <w:p>
            <w:pPr>
              <w:ind w:left="420"/>
              <w:spacing w:after="0"/>
              <w:rPr>
                <w:sz w:val="20"/>
                <w:szCs w:val="20"/>
                <w:color w:val="auto"/>
              </w:rPr>
            </w:pPr>
            <w:r>
              <w:rPr>
                <w:rFonts w:ascii="Arial" w:cs="Arial" w:eastAsia="Arial" w:hAnsi="Arial"/>
                <w:sz w:val="18"/>
                <w:szCs w:val="18"/>
                <w:color w:val="auto"/>
              </w:rPr>
              <w:t>Federal funds purchased and other borrowings</w:t>
            </w:r>
          </w:p>
        </w:tc>
        <w:tc>
          <w:tcPr>
            <w:tcW w:w="1980" w:type="dxa"/>
            <w:vAlign w:val="bottom"/>
            <w:gridSpan w:val="3"/>
          </w:tcPr>
          <w:p>
            <w:pPr>
              <w:jc w:val="right"/>
              <w:ind w:right="140"/>
              <w:spacing w:after="0"/>
              <w:rPr>
                <w:sz w:val="20"/>
                <w:szCs w:val="20"/>
                <w:color w:val="auto"/>
              </w:rPr>
            </w:pPr>
            <w:r>
              <w:rPr>
                <w:rFonts w:ascii="Arial" w:cs="Arial" w:eastAsia="Arial" w:hAnsi="Arial"/>
                <w:sz w:val="18"/>
                <w:szCs w:val="18"/>
                <w:color w:val="auto"/>
              </w:rPr>
              <w:t>55,994</w:t>
            </w:r>
          </w:p>
        </w:tc>
        <w:tc>
          <w:tcPr>
            <w:tcW w:w="1020" w:type="dxa"/>
            <w:vAlign w:val="bottom"/>
            <w:gridSpan w:val="3"/>
          </w:tcPr>
          <w:p>
            <w:pPr>
              <w:jc w:val="right"/>
              <w:ind w:right="280"/>
              <w:spacing w:after="0"/>
              <w:rPr>
                <w:sz w:val="20"/>
                <w:szCs w:val="20"/>
                <w:color w:val="auto"/>
              </w:rPr>
            </w:pPr>
            <w:r>
              <w:rPr>
                <w:rFonts w:ascii="Arial" w:cs="Arial" w:eastAsia="Arial" w:hAnsi="Arial"/>
                <w:sz w:val="18"/>
                <w:szCs w:val="18"/>
                <w:color w:val="auto"/>
              </w:rPr>
              <w:t>514</w:t>
            </w: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3.65</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103,850</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1,081</w:t>
            </w:r>
          </w:p>
        </w:tc>
        <w:tc>
          <w:tcPr>
            <w:tcW w:w="900" w:type="dxa"/>
            <w:vAlign w:val="bottom"/>
            <w:gridSpan w:val="3"/>
          </w:tcPr>
          <w:p>
            <w:pPr>
              <w:jc w:val="right"/>
              <w:ind w:right="200"/>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Federal Home Loan Bank advances</w:t>
            </w:r>
          </w:p>
        </w:tc>
        <w:tc>
          <w:tcPr>
            <w:tcW w:w="19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44,473</w:t>
            </w:r>
          </w:p>
        </w:tc>
        <w:tc>
          <w:tcPr>
            <w:tcW w:w="10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26</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.23</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40,625</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gridSpan w:val="2"/>
          </w:tcPr>
          <w:p>
            <w:pPr>
              <w:ind w:left="420"/>
              <w:spacing w:after="0"/>
              <w:rPr>
                <w:sz w:val="20"/>
                <w:szCs w:val="20"/>
                <w:color w:val="auto"/>
              </w:rPr>
            </w:pPr>
            <w:r>
              <w:rPr>
                <w:rFonts w:ascii="Arial" w:cs="Arial" w:eastAsia="Arial" w:hAnsi="Arial"/>
                <w:sz w:val="18"/>
                <w:szCs w:val="18"/>
                <w:color w:val="auto"/>
              </w:rPr>
              <w:t>Long-term debt</w:t>
            </w:r>
          </w:p>
        </w:tc>
        <w:tc>
          <w:tcPr>
            <w:tcW w:w="104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120,276</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2,372</w:t>
            </w:r>
          </w:p>
        </w:tc>
        <w:tc>
          <w:tcPr>
            <w:tcW w:w="280" w:type="dxa"/>
            <w:vAlign w:val="bottom"/>
          </w:tcPr>
          <w:p>
            <w:pPr>
              <w:spacing w:after="0"/>
              <w:rPr>
                <w:sz w:val="19"/>
                <w:szCs w:val="19"/>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7.85</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138,457</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2,642</w:t>
            </w:r>
          </w:p>
        </w:tc>
        <w:tc>
          <w:tcPr>
            <w:tcW w:w="900" w:type="dxa"/>
            <w:vAlign w:val="bottom"/>
            <w:gridSpan w:val="3"/>
          </w:tcPr>
          <w:p>
            <w:pPr>
              <w:jc w:val="right"/>
              <w:ind w:right="200"/>
              <w:spacing w:after="0"/>
              <w:rPr>
                <w:sz w:val="20"/>
                <w:szCs w:val="20"/>
                <w:color w:val="auto"/>
              </w:rPr>
            </w:pPr>
            <w:r>
              <w:rPr>
                <w:rFonts w:ascii="Arial" w:cs="Arial" w:eastAsia="Arial" w:hAnsi="Arial"/>
                <w:sz w:val="18"/>
                <w:szCs w:val="18"/>
                <w:color w:val="auto"/>
              </w:rPr>
              <w:t>7.57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 borrowed funds</w:t>
            </w:r>
          </w:p>
        </w:tc>
        <w:tc>
          <w:tcPr>
            <w:tcW w:w="104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220,743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2,912</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5.25</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282,932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4,164</w:t>
            </w: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40" w:type="dxa"/>
            <w:vAlign w:val="bottom"/>
            <w:gridSpan w:val="2"/>
          </w:tcPr>
          <w:p>
            <w:pPr>
              <w:ind w:left="860"/>
              <w:spacing w:after="0"/>
              <w:rPr>
                <w:sz w:val="20"/>
                <w:szCs w:val="20"/>
                <w:color w:val="auto"/>
              </w:rPr>
            </w:pPr>
            <w:r>
              <w:rPr>
                <w:rFonts w:ascii="Arial" w:cs="Arial" w:eastAsia="Arial" w:hAnsi="Arial"/>
                <w:sz w:val="18"/>
                <w:szCs w:val="18"/>
                <w:b w:val="1"/>
                <w:bCs w:val="1"/>
                <w:color w:val="auto"/>
              </w:rPr>
              <w:t>Total interest-bearing liabilities</w:t>
            </w:r>
          </w:p>
        </w:tc>
        <w:tc>
          <w:tcPr>
            <w:tcW w:w="1980" w:type="dxa"/>
            <w:vAlign w:val="bottom"/>
            <w:gridSpan w:val="3"/>
          </w:tcPr>
          <w:p>
            <w:pPr>
              <w:jc w:val="right"/>
              <w:ind w:right="140"/>
              <w:spacing w:after="0"/>
              <w:rPr>
                <w:sz w:val="20"/>
                <w:szCs w:val="20"/>
                <w:color w:val="auto"/>
              </w:rPr>
            </w:pPr>
            <w:r>
              <w:rPr>
                <w:rFonts w:ascii="Arial" w:cs="Arial" w:eastAsia="Arial" w:hAnsi="Arial"/>
                <w:sz w:val="18"/>
                <w:szCs w:val="18"/>
                <w:color w:val="auto"/>
              </w:rPr>
              <w:t>4,846,716</w:t>
            </w:r>
          </w:p>
        </w:tc>
        <w:tc>
          <w:tcPr>
            <w:tcW w:w="1020" w:type="dxa"/>
            <w:vAlign w:val="bottom"/>
            <w:gridSpan w:val="3"/>
          </w:tcPr>
          <w:p>
            <w:pPr>
              <w:jc w:val="right"/>
              <w:ind w:right="280"/>
              <w:spacing w:after="0"/>
              <w:rPr>
                <w:sz w:val="20"/>
                <w:szCs w:val="20"/>
                <w:color w:val="auto"/>
              </w:rPr>
            </w:pPr>
            <w:r>
              <w:rPr>
                <w:rFonts w:ascii="Arial" w:cs="Arial" w:eastAsia="Arial" w:hAnsi="Arial"/>
                <w:sz w:val="18"/>
                <w:szCs w:val="18"/>
                <w:color w:val="auto"/>
              </w:rPr>
              <w:t>8,607</w:t>
            </w: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.71</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5,415,524</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15,262</w:t>
            </w:r>
          </w:p>
        </w:tc>
        <w:tc>
          <w:tcPr>
            <w:tcW w:w="900" w:type="dxa"/>
            <w:vAlign w:val="bottom"/>
            <w:gridSpan w:val="3"/>
          </w:tcPr>
          <w:p>
            <w:pPr>
              <w:jc w:val="right"/>
              <w:ind w:right="20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Non-interest-bearing liabilities:</w:t>
            </w:r>
          </w:p>
        </w:tc>
        <w:tc>
          <w:tcPr>
            <w:tcW w:w="10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tcPr>
          <w:p>
            <w:pPr>
              <w:ind w:left="420"/>
              <w:spacing w:after="0"/>
              <w:rPr>
                <w:sz w:val="20"/>
                <w:szCs w:val="20"/>
                <w:color w:val="auto"/>
              </w:rPr>
            </w:pPr>
            <w:r>
              <w:rPr>
                <w:rFonts w:ascii="Arial" w:cs="Arial" w:eastAsia="Arial" w:hAnsi="Arial"/>
                <w:sz w:val="18"/>
                <w:szCs w:val="18"/>
                <w:color w:val="auto"/>
              </w:rPr>
              <w:t>Non-interest-bearing deposits</w:t>
            </w:r>
          </w:p>
        </w:tc>
        <w:tc>
          <w:tcPr>
            <w:tcW w:w="1980" w:type="dxa"/>
            <w:vAlign w:val="bottom"/>
            <w:gridSpan w:val="3"/>
          </w:tcPr>
          <w:p>
            <w:pPr>
              <w:jc w:val="right"/>
              <w:ind w:right="140"/>
              <w:spacing w:after="0"/>
              <w:rPr>
                <w:sz w:val="20"/>
                <w:szCs w:val="20"/>
                <w:color w:val="auto"/>
              </w:rPr>
            </w:pPr>
            <w:r>
              <w:rPr>
                <w:rFonts w:ascii="Arial" w:cs="Arial" w:eastAsia="Arial" w:hAnsi="Arial"/>
                <w:sz w:val="18"/>
                <w:szCs w:val="18"/>
                <w:color w:val="auto"/>
              </w:rPr>
              <w:t>1,163,471</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928,788</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liabilities</w:t>
            </w:r>
          </w:p>
        </w:tc>
        <w:tc>
          <w:tcPr>
            <w:tcW w:w="104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55,607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57,427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040" w:type="dxa"/>
            <w:vAlign w:val="bottom"/>
            <w:gridSpan w:val="2"/>
          </w:tcPr>
          <w:p>
            <w:pPr>
              <w:ind w:left="860"/>
              <w:spacing w:after="0"/>
              <w:rPr>
                <w:sz w:val="20"/>
                <w:szCs w:val="20"/>
                <w:color w:val="auto"/>
              </w:rPr>
            </w:pPr>
            <w:r>
              <w:rPr>
                <w:rFonts w:ascii="Arial" w:cs="Arial" w:eastAsia="Arial" w:hAnsi="Arial"/>
                <w:sz w:val="18"/>
                <w:szCs w:val="18"/>
                <w:color w:val="auto"/>
              </w:rPr>
              <w:t>Total liabilities</w:t>
            </w:r>
          </w:p>
        </w:tc>
        <w:tc>
          <w:tcPr>
            <w:tcW w:w="1980" w:type="dxa"/>
            <w:vAlign w:val="bottom"/>
            <w:gridSpan w:val="3"/>
          </w:tcPr>
          <w:p>
            <w:pPr>
              <w:jc w:val="right"/>
              <w:ind w:right="140"/>
              <w:spacing w:after="0"/>
              <w:rPr>
                <w:sz w:val="20"/>
                <w:szCs w:val="20"/>
                <w:color w:val="auto"/>
              </w:rPr>
            </w:pPr>
            <w:r>
              <w:rPr>
                <w:rFonts w:ascii="Arial" w:cs="Arial" w:eastAsia="Arial" w:hAnsi="Arial"/>
                <w:sz w:val="18"/>
                <w:szCs w:val="18"/>
                <w:color w:val="auto"/>
              </w:rPr>
              <w:t>6,065,794</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6,401,739</w:t>
            </w: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04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581,769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598,228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40" w:type="dxa"/>
            <w:vAlign w:val="bottom"/>
            <w:gridSpan w:val="2"/>
          </w:tcPr>
          <w:p>
            <w:pPr>
              <w:ind w:left="860"/>
              <w:spacing w:after="0"/>
              <w:rPr>
                <w:sz w:val="20"/>
                <w:szCs w:val="20"/>
                <w:color w:val="auto"/>
              </w:rPr>
            </w:pPr>
            <w:r>
              <w:rPr>
                <w:rFonts w:ascii="Arial" w:cs="Arial" w:eastAsia="Arial" w:hAnsi="Arial"/>
                <w:sz w:val="18"/>
                <w:szCs w:val="18"/>
                <w:b w:val="1"/>
                <w:bCs w:val="1"/>
                <w:color w:val="auto"/>
              </w:rPr>
              <w:t>Total liabilities and shareholders’ equity</w:t>
            </w:r>
          </w:p>
        </w:tc>
        <w:tc>
          <w:tcPr>
            <w:tcW w:w="1980" w:type="dxa"/>
            <w:vAlign w:val="bottom"/>
            <w:gridSpan w:val="3"/>
          </w:tcPr>
          <w:p>
            <w:pPr>
              <w:jc w:val="right"/>
              <w:ind w:right="1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6,647,563</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6,999,967</w:t>
            </w: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interest revenue</w:t>
            </w:r>
          </w:p>
        </w:tc>
        <w:tc>
          <w:tcPr>
            <w:tcW w:w="10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57,371</w:t>
            </w: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59,281</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60" w:type="dxa"/>
            <w:vAlign w:val="bottom"/>
            <w:gridSpan w:val="3"/>
            <w:vMerge w:val="restart"/>
          </w:tcPr>
          <w:p>
            <w:pPr>
              <w:spacing w:after="0"/>
              <w:rPr>
                <w:sz w:val="20"/>
                <w:szCs w:val="20"/>
                <w:color w:val="auto"/>
              </w:rPr>
            </w:pPr>
            <w:r>
              <w:rPr>
                <w:rFonts w:ascii="Arial" w:cs="Arial" w:eastAsia="Arial" w:hAnsi="Arial"/>
                <w:sz w:val="18"/>
                <w:szCs w:val="18"/>
                <w:color w:val="auto"/>
              </w:rPr>
              <w:t>Net interest-rate spread</w:t>
            </w:r>
          </w:p>
        </w:tc>
        <w:tc>
          <w:tcPr>
            <w:tcW w:w="1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auto"/>
              </w:rPr>
              <w:t>3.43 %</w:t>
            </w: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gridSpan w:val="3"/>
            <w:vMerge w:val="restart"/>
          </w:tcPr>
          <w:p>
            <w:pPr>
              <w:ind w:left="340"/>
              <w:spacing w:after="0"/>
              <w:rPr>
                <w:sz w:val="20"/>
                <w:szCs w:val="20"/>
                <w:color w:val="auto"/>
              </w:rPr>
            </w:pPr>
            <w:r>
              <w:rPr>
                <w:rFonts w:ascii="Arial" w:cs="Arial" w:eastAsia="Arial" w:hAnsi="Arial"/>
                <w:sz w:val="18"/>
                <w:szCs w:val="18"/>
                <w:color w:val="auto"/>
                <w:w w:val="96"/>
              </w:rPr>
              <w:t>3.35 %</w:t>
            </w:r>
          </w:p>
        </w:tc>
        <w:tc>
          <w:tcPr>
            <w:tcW w:w="0" w:type="dxa"/>
            <w:vAlign w:val="bottom"/>
          </w:tcPr>
          <w:p>
            <w:pPr>
              <w:spacing w:after="0" w:line="20" w:lineRule="exact"/>
              <w:rPr>
                <w:sz w:val="1"/>
                <w:szCs w:val="1"/>
                <w:color w:val="auto"/>
              </w:rPr>
            </w:pPr>
          </w:p>
        </w:tc>
      </w:tr>
      <w:tr>
        <w:trPr>
          <w:trHeight w:val="209"/>
        </w:trPr>
        <w:tc>
          <w:tcPr>
            <w:tcW w:w="5060" w:type="dxa"/>
            <w:vAlign w:val="bottom"/>
            <w:gridSpan w:val="3"/>
            <w:vMerge w:val="continue"/>
          </w:tcPr>
          <w:p>
            <w:pPr>
              <w:spacing w:after="0"/>
              <w:rPr>
                <w:sz w:val="18"/>
                <w:szCs w:val="18"/>
                <w:color w:val="auto"/>
              </w:rPr>
            </w:pPr>
          </w:p>
        </w:tc>
        <w:tc>
          <w:tcPr>
            <w:tcW w:w="10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 xml:space="preserve">Net interest margin </w:t>
            </w:r>
            <w:r>
              <w:rPr>
                <w:rFonts w:ascii="Arial" w:cs="Arial" w:eastAsia="Arial" w:hAnsi="Arial"/>
                <w:sz w:val="11"/>
                <w:szCs w:val="11"/>
                <w:color w:val="auto"/>
              </w:rPr>
              <w:t>(4)</w:t>
            </w:r>
          </w:p>
        </w:tc>
        <w:tc>
          <w:tcPr>
            <w:tcW w:w="10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3.60 %</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w w:val="96"/>
              </w:rPr>
              <w:t>3.55 %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380" w:hanging="452"/>
        <w:spacing w:after="0" w:line="228" w:lineRule="auto"/>
        <w:tabs>
          <w:tab w:leader="none" w:pos="460" w:val="left"/>
        </w:tabs>
        <w:numPr>
          <w:ilvl w:val="0"/>
          <w:numId w:val="8"/>
        </w:numPr>
        <w:rPr>
          <w:rFonts w:ascii="Arial" w:cs="Arial" w:eastAsia="Arial" w:hAnsi="Arial"/>
          <w:sz w:val="22"/>
          <w:szCs w:val="22"/>
          <w:color w:val="auto"/>
          <w:vertAlign w:val="superscript"/>
        </w:rPr>
      </w:pPr>
      <w:r>
        <w:rPr>
          <w:rFonts w:ascii="Arial" w:cs="Arial" w:eastAsia="Arial" w:hAnsi="Arial"/>
          <w:sz w:val="18"/>
          <w:szCs w:val="18"/>
          <w:color w:val="auto"/>
        </w:rPr>
        <w:t>Interest revenue on tax-exempt securities and loans has been increased to reflect comparable interest on taxable securities and loans. The rate used was 39%, reflecting the statutory federal income tax rate and the federal tax adjusted state income tax rate.</w:t>
      </w:r>
    </w:p>
    <w:p>
      <w:pPr>
        <w:spacing w:after="0" w:line="1" w:lineRule="exact"/>
        <w:rPr>
          <w:rFonts w:ascii="Arial" w:cs="Arial" w:eastAsia="Arial" w:hAnsi="Arial"/>
          <w:sz w:val="22"/>
          <w:szCs w:val="22"/>
          <w:color w:val="auto"/>
          <w:vertAlign w:val="superscript"/>
        </w:rPr>
      </w:pPr>
    </w:p>
    <w:p>
      <w:pPr>
        <w:ind w:left="460" w:hanging="452"/>
        <w:spacing w:after="0" w:line="225" w:lineRule="auto"/>
        <w:tabs>
          <w:tab w:leader="none" w:pos="460" w:val="left"/>
        </w:tabs>
        <w:numPr>
          <w:ilvl w:val="0"/>
          <w:numId w:val="8"/>
        </w:numPr>
        <w:rPr>
          <w:rFonts w:ascii="Arial" w:cs="Arial" w:eastAsia="Arial" w:hAnsi="Arial"/>
          <w:sz w:val="20"/>
          <w:szCs w:val="20"/>
          <w:color w:val="auto"/>
          <w:vertAlign w:val="superscript"/>
        </w:rPr>
      </w:pPr>
      <w:r>
        <w:rPr>
          <w:rFonts w:ascii="Arial" w:cs="Arial" w:eastAsia="Arial" w:hAnsi="Arial"/>
          <w:sz w:val="16"/>
          <w:szCs w:val="16"/>
          <w:color w:val="auto"/>
        </w:rPr>
        <w:t>Included in the average balance of loans outstanding are loans where the accrual of interest has been discontinued and loans that are held for sale.</w:t>
      </w:r>
    </w:p>
    <w:p>
      <w:pPr>
        <w:spacing w:after="0" w:line="8" w:lineRule="exact"/>
        <w:rPr>
          <w:rFonts w:ascii="Arial" w:cs="Arial" w:eastAsia="Arial" w:hAnsi="Arial"/>
          <w:sz w:val="20"/>
          <w:szCs w:val="20"/>
          <w:color w:val="auto"/>
          <w:vertAlign w:val="superscript"/>
        </w:rPr>
      </w:pPr>
    </w:p>
    <w:p>
      <w:pPr>
        <w:ind w:left="460" w:right="200" w:hanging="452"/>
        <w:spacing w:after="0" w:line="221" w:lineRule="auto"/>
        <w:tabs>
          <w:tab w:leader="none" w:pos="460" w:val="left"/>
        </w:tabs>
        <w:numPr>
          <w:ilvl w:val="0"/>
          <w:numId w:val="8"/>
        </w:numPr>
        <w:rPr>
          <w:rFonts w:ascii="Arial" w:cs="Arial" w:eastAsia="Arial" w:hAnsi="Arial"/>
          <w:sz w:val="22"/>
          <w:szCs w:val="22"/>
          <w:color w:val="auto"/>
          <w:vertAlign w:val="superscript"/>
        </w:rPr>
      </w:pPr>
      <w:r>
        <w:rPr>
          <w:rFonts w:ascii="Arial" w:cs="Arial" w:eastAsia="Arial" w:hAnsi="Arial"/>
          <w:sz w:val="18"/>
          <w:szCs w:val="18"/>
          <w:color w:val="auto"/>
        </w:rPr>
        <w:t>Securities available for sale are shown at amortized cost. Pretax unrealized gains of $22.9 million in 2012 and $37.9 million in 2011 are included in other assets for purposes of this presentation.</w:t>
      </w:r>
    </w:p>
    <w:p>
      <w:pPr>
        <w:ind w:left="460" w:hanging="452"/>
        <w:spacing w:after="0" w:line="205" w:lineRule="auto"/>
        <w:tabs>
          <w:tab w:leader="none" w:pos="460" w:val="left"/>
        </w:tabs>
        <w:numPr>
          <w:ilvl w:val="0"/>
          <w:numId w:val="8"/>
        </w:numPr>
        <w:rPr>
          <w:rFonts w:ascii="Arial" w:cs="Arial" w:eastAsia="Arial" w:hAnsi="Arial"/>
          <w:sz w:val="22"/>
          <w:szCs w:val="22"/>
          <w:color w:val="auto"/>
          <w:vertAlign w:val="superscript"/>
        </w:rPr>
      </w:pPr>
      <w:r>
        <w:rPr>
          <w:rFonts w:ascii="Arial" w:cs="Arial" w:eastAsia="Arial" w:hAnsi="Arial"/>
          <w:sz w:val="18"/>
          <w:szCs w:val="18"/>
          <w:color w:val="auto"/>
        </w:rPr>
        <w:t>Net interest margin is taxable equivalent net-interest revenue divided by average interest-earning assets.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The following table shows the relationship between interest revenue and expense, and the average amounts of interest-earning assets and interest-bearing liabilities for the nine months ended September 30, 2012 and 2011.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3 - Average Consolidated Balance Sheets and Net Interest Analysis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For the Nine Months Ended September 30,</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w w:val="83"/>
              </w:rPr>
              <w:t>2012</w:t>
            </w:r>
          </w:p>
        </w:tc>
        <w:tc>
          <w:tcPr>
            <w:tcW w:w="2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w w:val="76"/>
              </w:rPr>
              <w:t>2011</w:t>
            </w:r>
          </w:p>
        </w:tc>
        <w:tc>
          <w:tcPr>
            <w:tcW w:w="3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400" w:type="dxa"/>
            <w:vAlign w:val="bottom"/>
            <w:vMerge w:val="restart"/>
          </w:tcPr>
          <w:p>
            <w:pPr>
              <w:spacing w:after="0"/>
              <w:rPr>
                <w:sz w:val="20"/>
                <w:szCs w:val="20"/>
                <w:color w:val="auto"/>
              </w:rPr>
            </w:pPr>
            <w:r>
              <w:rPr>
                <w:rFonts w:ascii="Arial" w:cs="Arial" w:eastAsia="Arial" w:hAnsi="Arial"/>
                <w:sz w:val="14"/>
                <w:szCs w:val="14"/>
                <w:i w:val="1"/>
                <w:iCs w:val="1"/>
                <w:color w:val="auto"/>
                <w:w w:val="93"/>
              </w:rPr>
              <w:t>(dollars in thousands, taxable equivalent)</w:t>
            </w:r>
          </w:p>
        </w:tc>
        <w:tc>
          <w:tcPr>
            <w:tcW w:w="2580" w:type="dxa"/>
            <w:vAlign w:val="bottom"/>
            <w:vMerge w:val="restart"/>
          </w:tcPr>
          <w:p>
            <w:pPr>
              <w:spacing w:after="0"/>
              <w:rPr>
                <w:sz w:val="12"/>
                <w:szCs w:val="12"/>
                <w:color w:val="auto"/>
              </w:rPr>
            </w:pPr>
          </w:p>
        </w:tc>
        <w:tc>
          <w:tcPr>
            <w:tcW w:w="920" w:type="dxa"/>
            <w:vAlign w:val="bottom"/>
          </w:tcPr>
          <w:p>
            <w:pPr>
              <w:spacing w:after="0"/>
              <w:rPr>
                <w:sz w:val="12"/>
                <w:szCs w:val="12"/>
                <w:color w:val="auto"/>
              </w:rPr>
            </w:pPr>
          </w:p>
        </w:tc>
        <w:tc>
          <w:tcPr>
            <w:tcW w:w="1100" w:type="dxa"/>
            <w:vAlign w:val="bottom"/>
            <w:gridSpan w:val="2"/>
          </w:tcPr>
          <w:p>
            <w:pPr>
              <w:jc w:val="right"/>
              <w:ind w:right="460"/>
              <w:spacing w:after="0" w:line="143" w:lineRule="exact"/>
              <w:rPr>
                <w:sz w:val="20"/>
                <w:szCs w:val="20"/>
                <w:color w:val="auto"/>
              </w:rPr>
            </w:pPr>
            <w:r>
              <w:rPr>
                <w:rFonts w:ascii="Arial" w:cs="Arial" w:eastAsia="Arial" w:hAnsi="Arial"/>
                <w:sz w:val="14"/>
                <w:szCs w:val="14"/>
                <w:b w:val="1"/>
                <w:bCs w:val="1"/>
                <w:color w:val="auto"/>
              </w:rPr>
              <w:t>Average</w:t>
            </w: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ind w:left="80"/>
              <w:spacing w:after="0" w:line="143" w:lineRule="exact"/>
              <w:rPr>
                <w:sz w:val="20"/>
                <w:szCs w:val="20"/>
                <w:color w:val="auto"/>
              </w:rPr>
            </w:pPr>
            <w:r>
              <w:rPr>
                <w:rFonts w:ascii="Arial" w:cs="Arial" w:eastAsia="Arial" w:hAnsi="Arial"/>
                <w:sz w:val="14"/>
                <w:szCs w:val="14"/>
                <w:b w:val="1"/>
                <w:bCs w:val="1"/>
                <w:color w:val="auto"/>
                <w:w w:val="98"/>
              </w:rPr>
              <w:t>Avg.</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right"/>
              <w:ind w:right="460"/>
              <w:spacing w:after="0" w:line="143" w:lineRule="exact"/>
              <w:rPr>
                <w:sz w:val="20"/>
                <w:szCs w:val="20"/>
                <w:color w:val="auto"/>
              </w:rPr>
            </w:pPr>
            <w:r>
              <w:rPr>
                <w:rFonts w:ascii="Arial" w:cs="Arial" w:eastAsia="Arial" w:hAnsi="Arial"/>
                <w:sz w:val="14"/>
                <w:szCs w:val="14"/>
                <w:b w:val="1"/>
                <w:bCs w:val="1"/>
                <w:color w:val="auto"/>
              </w:rPr>
              <w:t>Average</w:t>
            </w: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ind w:left="60"/>
              <w:spacing w:after="0" w:line="143" w:lineRule="exact"/>
              <w:rPr>
                <w:sz w:val="20"/>
                <w:szCs w:val="20"/>
                <w:color w:val="auto"/>
              </w:rPr>
            </w:pPr>
            <w:r>
              <w:rPr>
                <w:rFonts w:ascii="Arial" w:cs="Arial" w:eastAsia="Arial" w:hAnsi="Arial"/>
                <w:sz w:val="14"/>
                <w:szCs w:val="14"/>
                <w:b w:val="1"/>
                <w:bCs w:val="1"/>
                <w:color w:val="auto"/>
              </w:rPr>
              <w:t>Avg.</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400" w:type="dxa"/>
            <w:vAlign w:val="bottom"/>
            <w:tcBorders>
              <w:bottom w:val="single" w:sz="8" w:color="auto"/>
            </w:tcBorders>
            <w:vMerge w:val="continue"/>
          </w:tcPr>
          <w:p>
            <w:pPr>
              <w:spacing w:after="0"/>
              <w:rPr>
                <w:sz w:val="14"/>
                <w:szCs w:val="14"/>
                <w:color w:val="auto"/>
              </w:rPr>
            </w:pPr>
          </w:p>
        </w:tc>
        <w:tc>
          <w:tcPr>
            <w:tcW w:w="2580" w:type="dxa"/>
            <w:vAlign w:val="bottom"/>
            <w:vMerge w:val="continue"/>
          </w:tcPr>
          <w:p>
            <w:pPr>
              <w:spacing w:after="0"/>
              <w:rPr>
                <w:sz w:val="14"/>
                <w:szCs w:val="14"/>
                <w:color w:val="auto"/>
              </w:rPr>
            </w:pPr>
          </w:p>
        </w:tc>
        <w:tc>
          <w:tcPr>
            <w:tcW w:w="920" w:type="dxa"/>
            <w:vAlign w:val="bottom"/>
          </w:tcPr>
          <w:p>
            <w:pPr>
              <w:spacing w:after="0"/>
              <w:rPr>
                <w:sz w:val="14"/>
                <w:szCs w:val="14"/>
                <w:color w:val="auto"/>
              </w:rPr>
            </w:pPr>
          </w:p>
        </w:tc>
        <w:tc>
          <w:tcPr>
            <w:tcW w:w="1100" w:type="dxa"/>
            <w:vAlign w:val="bottom"/>
            <w:gridSpan w:val="2"/>
          </w:tcPr>
          <w:p>
            <w:pPr>
              <w:jc w:val="right"/>
              <w:ind w:right="460"/>
              <w:spacing w:after="0" w:line="148" w:lineRule="exact"/>
              <w:rPr>
                <w:sz w:val="20"/>
                <w:szCs w:val="20"/>
                <w:color w:val="auto"/>
              </w:rPr>
            </w:pPr>
            <w:r>
              <w:rPr>
                <w:rFonts w:ascii="Arial" w:cs="Arial" w:eastAsia="Arial" w:hAnsi="Arial"/>
                <w:sz w:val="14"/>
                <w:szCs w:val="14"/>
                <w:b w:val="1"/>
                <w:bCs w:val="1"/>
                <w:color w:val="auto"/>
              </w:rPr>
              <w:t>Balance</w:t>
            </w:r>
          </w:p>
        </w:tc>
        <w:tc>
          <w:tcPr>
            <w:tcW w:w="680" w:type="dxa"/>
            <w:vAlign w:val="bottom"/>
          </w:tcPr>
          <w:p>
            <w:pPr>
              <w:jc w:val="right"/>
              <w:ind w:right="34"/>
              <w:spacing w:after="0" w:line="148" w:lineRule="exact"/>
              <w:rPr>
                <w:sz w:val="20"/>
                <w:szCs w:val="20"/>
                <w:color w:val="auto"/>
              </w:rPr>
            </w:pPr>
            <w:r>
              <w:rPr>
                <w:rFonts w:ascii="Arial" w:cs="Arial" w:eastAsia="Arial" w:hAnsi="Arial"/>
                <w:sz w:val="14"/>
                <w:szCs w:val="14"/>
                <w:b w:val="1"/>
                <w:bCs w:val="1"/>
                <w:color w:val="auto"/>
              </w:rPr>
              <w:t>Interest</w:t>
            </w:r>
          </w:p>
        </w:tc>
        <w:tc>
          <w:tcPr>
            <w:tcW w:w="280" w:type="dxa"/>
            <w:vAlign w:val="bottom"/>
          </w:tcPr>
          <w:p>
            <w:pPr>
              <w:spacing w:after="0"/>
              <w:rPr>
                <w:sz w:val="14"/>
                <w:szCs w:val="14"/>
                <w:color w:val="auto"/>
              </w:rPr>
            </w:pPr>
          </w:p>
        </w:tc>
        <w:tc>
          <w:tcPr>
            <w:tcW w:w="680" w:type="dxa"/>
            <w:vAlign w:val="bottom"/>
            <w:gridSpan w:val="2"/>
          </w:tcPr>
          <w:p>
            <w:pPr>
              <w:ind w:left="80"/>
              <w:spacing w:after="0" w:line="148" w:lineRule="exact"/>
              <w:rPr>
                <w:sz w:val="20"/>
                <w:szCs w:val="20"/>
                <w:color w:val="auto"/>
              </w:rPr>
            </w:pPr>
            <w:r>
              <w:rPr>
                <w:rFonts w:ascii="Arial" w:cs="Arial" w:eastAsia="Arial" w:hAnsi="Arial"/>
                <w:sz w:val="14"/>
                <w:szCs w:val="14"/>
                <w:b w:val="1"/>
                <w:bCs w:val="1"/>
                <w:color w:val="auto"/>
              </w:rPr>
              <w:t>Rate</w:t>
            </w:r>
          </w:p>
        </w:tc>
        <w:tc>
          <w:tcPr>
            <w:tcW w:w="120" w:type="dxa"/>
            <w:vAlign w:val="bottom"/>
          </w:tcPr>
          <w:p>
            <w:pPr>
              <w:spacing w:after="0"/>
              <w:rPr>
                <w:sz w:val="14"/>
                <w:szCs w:val="14"/>
                <w:color w:val="auto"/>
              </w:rPr>
            </w:pPr>
          </w:p>
        </w:tc>
        <w:tc>
          <w:tcPr>
            <w:tcW w:w="1100" w:type="dxa"/>
            <w:vAlign w:val="bottom"/>
            <w:gridSpan w:val="2"/>
          </w:tcPr>
          <w:p>
            <w:pPr>
              <w:jc w:val="right"/>
              <w:ind w:right="480"/>
              <w:spacing w:after="0" w:line="148" w:lineRule="exact"/>
              <w:rPr>
                <w:sz w:val="20"/>
                <w:szCs w:val="20"/>
                <w:color w:val="auto"/>
              </w:rPr>
            </w:pPr>
            <w:r>
              <w:rPr>
                <w:rFonts w:ascii="Arial" w:cs="Arial" w:eastAsia="Arial" w:hAnsi="Arial"/>
                <w:sz w:val="14"/>
                <w:szCs w:val="14"/>
                <w:b w:val="1"/>
                <w:bCs w:val="1"/>
                <w:color w:val="auto"/>
              </w:rPr>
              <w:t>Balance</w:t>
            </w:r>
          </w:p>
        </w:tc>
        <w:tc>
          <w:tcPr>
            <w:tcW w:w="660" w:type="dxa"/>
            <w:vAlign w:val="bottom"/>
          </w:tcPr>
          <w:p>
            <w:pPr>
              <w:jc w:val="right"/>
              <w:ind w:right="14"/>
              <w:spacing w:after="0" w:line="148" w:lineRule="exact"/>
              <w:rPr>
                <w:sz w:val="20"/>
                <w:szCs w:val="20"/>
                <w:color w:val="auto"/>
              </w:rPr>
            </w:pPr>
            <w:r>
              <w:rPr>
                <w:rFonts w:ascii="Arial" w:cs="Arial" w:eastAsia="Arial" w:hAnsi="Arial"/>
                <w:sz w:val="14"/>
                <w:szCs w:val="14"/>
                <w:b w:val="1"/>
                <w:bCs w:val="1"/>
                <w:color w:val="auto"/>
              </w:rPr>
              <w:t>Interest</w:t>
            </w:r>
          </w:p>
        </w:tc>
        <w:tc>
          <w:tcPr>
            <w:tcW w:w="300" w:type="dxa"/>
            <w:vAlign w:val="bottom"/>
          </w:tcPr>
          <w:p>
            <w:pPr>
              <w:spacing w:after="0"/>
              <w:rPr>
                <w:sz w:val="14"/>
                <w:szCs w:val="14"/>
                <w:color w:val="auto"/>
              </w:rPr>
            </w:pPr>
          </w:p>
        </w:tc>
        <w:tc>
          <w:tcPr>
            <w:tcW w:w="600" w:type="dxa"/>
            <w:vAlign w:val="bottom"/>
            <w:gridSpan w:val="2"/>
          </w:tcPr>
          <w:p>
            <w:pPr>
              <w:ind w:left="60"/>
              <w:spacing w:after="0" w:line="148" w:lineRule="exact"/>
              <w:rPr>
                <w:sz w:val="20"/>
                <w:szCs w:val="20"/>
                <w:color w:val="auto"/>
              </w:rPr>
            </w:pPr>
            <w:r>
              <w:rPr>
                <w:rFonts w:ascii="Arial" w:cs="Arial" w:eastAsia="Arial" w:hAnsi="Arial"/>
                <w:sz w:val="14"/>
                <w:szCs w:val="14"/>
                <w:b w:val="1"/>
                <w:bCs w:val="1"/>
                <w:color w:val="auto"/>
              </w:rPr>
              <w:t>Rate</w:t>
            </w:r>
          </w:p>
        </w:tc>
        <w:tc>
          <w:tcPr>
            <w:tcW w:w="0" w:type="dxa"/>
            <w:vAlign w:val="bottom"/>
          </w:tcPr>
          <w:p>
            <w:pPr>
              <w:spacing w:after="0"/>
              <w:rPr>
                <w:sz w:val="1"/>
                <w:szCs w:val="1"/>
                <w:color w:val="auto"/>
              </w:rPr>
            </w:pPr>
          </w:p>
        </w:tc>
      </w:tr>
      <w:tr>
        <w:trPr>
          <w:trHeight w:val="190"/>
        </w:trPr>
        <w:tc>
          <w:tcPr>
            <w:tcW w:w="49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Assets:</w:t>
            </w:r>
          </w:p>
        </w:tc>
        <w:tc>
          <w:tcPr>
            <w:tcW w:w="92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980" w:type="dxa"/>
            <w:vAlign w:val="bottom"/>
            <w:gridSpan w:val="2"/>
          </w:tcPr>
          <w:p>
            <w:pPr>
              <w:spacing w:after="0"/>
              <w:rPr>
                <w:sz w:val="20"/>
                <w:szCs w:val="20"/>
                <w:color w:val="auto"/>
              </w:rPr>
            </w:pPr>
            <w:r>
              <w:rPr>
                <w:rFonts w:ascii="Arial" w:cs="Arial" w:eastAsia="Arial" w:hAnsi="Arial"/>
                <w:sz w:val="18"/>
                <w:szCs w:val="18"/>
                <w:color w:val="auto"/>
              </w:rPr>
              <w:t>Interest-earning assets:</w:t>
            </w:r>
          </w:p>
        </w:tc>
        <w:tc>
          <w:tcPr>
            <w:tcW w:w="9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 xml:space="preserve">Loans, net of unearned income </w:t>
            </w:r>
            <w:r>
              <w:rPr>
                <w:rFonts w:ascii="Arial" w:cs="Arial" w:eastAsia="Arial" w:hAnsi="Arial"/>
                <w:sz w:val="11"/>
                <w:szCs w:val="11"/>
                <w:color w:val="auto"/>
              </w:rPr>
              <w:t>(1)(2)</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$4,157,057</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$164,101</w:t>
            </w:r>
          </w:p>
        </w:tc>
        <w:tc>
          <w:tcPr>
            <w:tcW w:w="9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5.27 %</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$4,351,524</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$181,422</w:t>
            </w:r>
          </w:p>
        </w:tc>
        <w:tc>
          <w:tcPr>
            <w:tcW w:w="9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w w:val="96"/>
              </w:rPr>
              <w:t>5.57 %</w:t>
            </w:r>
          </w:p>
        </w:tc>
        <w:tc>
          <w:tcPr>
            <w:tcW w:w="0" w:type="dxa"/>
            <w:vAlign w:val="bottom"/>
          </w:tcPr>
          <w:p>
            <w:pPr>
              <w:spacing w:after="0"/>
              <w:rPr>
                <w:sz w:val="1"/>
                <w:szCs w:val="1"/>
                <w:color w:val="auto"/>
              </w:rPr>
            </w:pPr>
          </w:p>
        </w:tc>
      </w:tr>
      <w:tr>
        <w:trPr>
          <w:trHeight w:val="216"/>
        </w:trPr>
        <w:tc>
          <w:tcPr>
            <w:tcW w:w="4980" w:type="dxa"/>
            <w:vAlign w:val="bottom"/>
            <w:gridSpan w:val="2"/>
          </w:tcPr>
          <w:p>
            <w:pPr>
              <w:ind w:left="440"/>
              <w:spacing w:after="0"/>
              <w:rPr>
                <w:sz w:val="20"/>
                <w:szCs w:val="20"/>
                <w:color w:val="auto"/>
              </w:rPr>
            </w:pPr>
            <w:r>
              <w:rPr>
                <w:rFonts w:ascii="Arial" w:cs="Arial" w:eastAsia="Arial" w:hAnsi="Arial"/>
                <w:sz w:val="18"/>
                <w:szCs w:val="18"/>
                <w:color w:val="auto"/>
              </w:rPr>
              <w:t xml:space="preserve">Taxable securities </w:t>
            </w:r>
            <w:r>
              <w:rPr>
                <w:rFonts w:ascii="Arial" w:cs="Arial" w:eastAsia="Arial" w:hAnsi="Arial"/>
                <w:sz w:val="11"/>
                <w:szCs w:val="11"/>
                <w:color w:val="auto"/>
              </w:rPr>
              <w:t>(3)</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2,065,112</w:t>
            </w: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34,035</w:t>
            </w:r>
          </w:p>
        </w:tc>
        <w:tc>
          <w:tcPr>
            <w:tcW w:w="960" w:type="dxa"/>
            <w:vAlign w:val="bottom"/>
            <w:gridSpan w:val="3"/>
          </w:tcPr>
          <w:p>
            <w:pPr>
              <w:jc w:val="right"/>
              <w:ind w:right="280"/>
              <w:spacing w:after="0"/>
              <w:rPr>
                <w:sz w:val="20"/>
                <w:szCs w:val="20"/>
                <w:color w:val="auto"/>
              </w:rPr>
            </w:pPr>
            <w:r>
              <w:rPr>
                <w:rFonts w:ascii="Arial" w:cs="Arial" w:eastAsia="Arial" w:hAnsi="Arial"/>
                <w:sz w:val="18"/>
                <w:szCs w:val="18"/>
                <w:color w:val="auto"/>
              </w:rPr>
              <w:t>2.20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1,926,365</w:t>
            </w: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42,210</w:t>
            </w:r>
          </w:p>
        </w:tc>
        <w:tc>
          <w:tcPr>
            <w:tcW w:w="900" w:type="dxa"/>
            <w:vAlign w:val="bottom"/>
            <w:gridSpan w:val="3"/>
          </w:tcPr>
          <w:p>
            <w:pPr>
              <w:jc w:val="right"/>
              <w:ind w:right="200"/>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 xml:space="preserve">Tax-exempt securities </w:t>
            </w:r>
            <w:r>
              <w:rPr>
                <w:rFonts w:ascii="Arial" w:cs="Arial" w:eastAsia="Arial" w:hAnsi="Arial"/>
                <w:sz w:val="11"/>
                <w:szCs w:val="11"/>
                <w:color w:val="auto"/>
              </w:rPr>
              <w:t>(1)(3)</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24,187</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1,207</w:t>
            </w:r>
          </w:p>
        </w:tc>
        <w:tc>
          <w:tcPr>
            <w:tcW w:w="9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6.65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25,178</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1,234</w:t>
            </w: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6.53</w:t>
            </w:r>
          </w:p>
        </w:tc>
        <w:tc>
          <w:tcPr>
            <w:tcW w:w="0" w:type="dxa"/>
            <w:vAlign w:val="bottom"/>
          </w:tcPr>
          <w:p>
            <w:pPr>
              <w:spacing w:after="0"/>
              <w:rPr>
                <w:sz w:val="1"/>
                <w:szCs w:val="1"/>
                <w:color w:val="auto"/>
              </w:rPr>
            </w:pPr>
          </w:p>
        </w:tc>
      </w:tr>
      <w:tr>
        <w:trPr>
          <w:trHeight w:val="223"/>
        </w:trPr>
        <w:tc>
          <w:tcPr>
            <w:tcW w:w="4980" w:type="dxa"/>
            <w:vAlign w:val="bottom"/>
            <w:gridSpan w:val="2"/>
          </w:tcPr>
          <w:p>
            <w:pPr>
              <w:ind w:left="440"/>
              <w:spacing w:after="0"/>
              <w:rPr>
                <w:sz w:val="20"/>
                <w:szCs w:val="20"/>
                <w:color w:val="auto"/>
              </w:rPr>
            </w:pPr>
            <w:r>
              <w:rPr>
                <w:rFonts w:ascii="Arial" w:cs="Arial" w:eastAsia="Arial" w:hAnsi="Arial"/>
                <w:sz w:val="18"/>
                <w:szCs w:val="18"/>
                <w:color w:val="auto"/>
              </w:rPr>
              <w:t>Federal funds sold and other interest-earning assets</w:t>
            </w:r>
          </w:p>
        </w:tc>
        <w:tc>
          <w:tcPr>
            <w:tcW w:w="92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322,998</w:t>
            </w:r>
          </w:p>
        </w:tc>
        <w:tc>
          <w:tcPr>
            <w:tcW w:w="3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3,636</w:t>
            </w:r>
          </w:p>
        </w:tc>
        <w:tc>
          <w:tcPr>
            <w:tcW w:w="960" w:type="dxa"/>
            <w:vAlign w:val="bottom"/>
            <w:gridSpan w:val="3"/>
          </w:tcPr>
          <w:p>
            <w:pPr>
              <w:jc w:val="right"/>
              <w:ind w:right="280"/>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514,392</w:t>
            </w:r>
          </w:p>
        </w:tc>
        <w:tc>
          <w:tcPr>
            <w:tcW w:w="30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2,573</w:t>
            </w:r>
          </w:p>
        </w:tc>
        <w:tc>
          <w:tcPr>
            <w:tcW w:w="900" w:type="dxa"/>
            <w:vAlign w:val="bottom"/>
            <w:gridSpan w:val="3"/>
          </w:tcPr>
          <w:p>
            <w:pPr>
              <w:jc w:val="right"/>
              <w:ind w:right="20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ind w:left="880"/>
              <w:spacing w:after="0"/>
              <w:rPr>
                <w:sz w:val="20"/>
                <w:szCs w:val="20"/>
                <w:color w:val="auto"/>
              </w:rPr>
            </w:pPr>
            <w:r>
              <w:rPr>
                <w:rFonts w:ascii="Arial" w:cs="Arial" w:eastAsia="Arial" w:hAnsi="Arial"/>
                <w:sz w:val="18"/>
                <w:szCs w:val="18"/>
                <w:b w:val="1"/>
                <w:bCs w:val="1"/>
                <w:color w:val="auto"/>
              </w:rPr>
              <w:t>Total interest-earning assets</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6,569,354</w:t>
            </w:r>
          </w:p>
        </w:tc>
        <w:tc>
          <w:tcPr>
            <w:tcW w:w="3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202,979</w:t>
            </w:r>
          </w:p>
        </w:tc>
        <w:tc>
          <w:tcPr>
            <w:tcW w:w="9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4.13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6,817,459</w:t>
            </w:r>
          </w:p>
        </w:tc>
        <w:tc>
          <w:tcPr>
            <w:tcW w:w="30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227,439</w:t>
            </w: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22"/>
        </w:trPr>
        <w:tc>
          <w:tcPr>
            <w:tcW w:w="4980" w:type="dxa"/>
            <w:vAlign w:val="bottom"/>
            <w:gridSpan w:val="2"/>
          </w:tcPr>
          <w:p>
            <w:pPr>
              <w:spacing w:after="0"/>
              <w:rPr>
                <w:sz w:val="20"/>
                <w:szCs w:val="20"/>
                <w:color w:val="auto"/>
              </w:rPr>
            </w:pPr>
            <w:r>
              <w:rPr>
                <w:rFonts w:ascii="Arial" w:cs="Arial" w:eastAsia="Arial" w:hAnsi="Arial"/>
                <w:sz w:val="18"/>
                <w:szCs w:val="18"/>
                <w:color w:val="auto"/>
              </w:rPr>
              <w:t>Non-interest-earning assets:</w:t>
            </w:r>
          </w:p>
        </w:tc>
        <w:tc>
          <w:tcPr>
            <w:tcW w:w="9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9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Allowance for loan losses</w:t>
            </w:r>
          </w:p>
        </w:tc>
        <w:tc>
          <w:tcPr>
            <w:tcW w:w="20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(115,252)</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(145,689)</w:t>
            </w: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gridSpan w:val="2"/>
          </w:tcPr>
          <w:p>
            <w:pPr>
              <w:ind w:left="440"/>
              <w:spacing w:after="0"/>
              <w:rPr>
                <w:sz w:val="20"/>
                <w:szCs w:val="20"/>
                <w:color w:val="auto"/>
              </w:rPr>
            </w:pPr>
            <w:r>
              <w:rPr>
                <w:rFonts w:ascii="Arial" w:cs="Arial" w:eastAsia="Arial" w:hAnsi="Arial"/>
                <w:sz w:val="18"/>
                <w:szCs w:val="18"/>
                <w:color w:val="auto"/>
              </w:rPr>
              <w:t>Cash and due from banks</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52,755</w:t>
            </w: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102,251</w:t>
            </w: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Premises and equipment</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173,410</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178,694</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80" w:type="dxa"/>
            <w:vAlign w:val="bottom"/>
            <w:gridSpan w:val="2"/>
          </w:tcPr>
          <w:p>
            <w:pPr>
              <w:ind w:left="440"/>
              <w:spacing w:after="0"/>
              <w:rPr>
                <w:sz w:val="20"/>
                <w:szCs w:val="20"/>
                <w:color w:val="auto"/>
              </w:rPr>
            </w:pPr>
            <w:r>
              <w:rPr>
                <w:rFonts w:ascii="Arial" w:cs="Arial" w:eastAsia="Arial" w:hAnsi="Arial"/>
                <w:sz w:val="18"/>
                <w:szCs w:val="18"/>
                <w:color w:val="auto"/>
              </w:rPr>
              <w:t xml:space="preserve">Other assets </w:t>
            </w:r>
            <w:r>
              <w:rPr>
                <w:rFonts w:ascii="Arial" w:cs="Arial" w:eastAsia="Arial" w:hAnsi="Arial"/>
                <w:sz w:val="11"/>
                <w:szCs w:val="11"/>
                <w:color w:val="auto"/>
              </w:rPr>
              <w:t>(3)</w:t>
            </w:r>
          </w:p>
        </w:tc>
        <w:tc>
          <w:tcPr>
            <w:tcW w:w="92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214,068</w:t>
            </w: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293,386</w:t>
            </w: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ind w:left="880"/>
              <w:spacing w:after="0"/>
              <w:rPr>
                <w:sz w:val="20"/>
                <w:szCs w:val="20"/>
                <w:color w:val="auto"/>
              </w:rPr>
            </w:pPr>
            <w:r>
              <w:rPr>
                <w:rFonts w:ascii="Arial" w:cs="Arial" w:eastAsia="Arial" w:hAnsi="Arial"/>
                <w:sz w:val="18"/>
                <w:szCs w:val="18"/>
                <w:b w:val="1"/>
                <w:bCs w:val="1"/>
                <w:color w:val="auto"/>
              </w:rPr>
              <w:t>Total assets</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6,894,335</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7,246,101</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9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980" w:type="dxa"/>
            <w:vAlign w:val="bottom"/>
            <w:gridSpan w:val="2"/>
            <w:vMerge w:val="continue"/>
          </w:tcPr>
          <w:p>
            <w:pPr>
              <w:spacing w:after="0"/>
              <w:rPr>
                <w:sz w:val="18"/>
                <w:szCs w:val="18"/>
                <w:color w:val="auto"/>
              </w:rPr>
            </w:pPr>
          </w:p>
        </w:tc>
        <w:tc>
          <w:tcPr>
            <w:tcW w:w="9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Interest-bearing liabilities:</w:t>
            </w:r>
          </w:p>
        </w:tc>
        <w:tc>
          <w:tcPr>
            <w:tcW w:w="9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gridSpan w:val="2"/>
          </w:tcPr>
          <w:p>
            <w:pPr>
              <w:ind w:left="440"/>
              <w:spacing w:after="0"/>
              <w:rPr>
                <w:sz w:val="20"/>
                <w:szCs w:val="20"/>
                <w:color w:val="auto"/>
              </w:rPr>
            </w:pPr>
            <w:r>
              <w:rPr>
                <w:rFonts w:ascii="Arial" w:cs="Arial" w:eastAsia="Arial" w:hAnsi="Arial"/>
                <w:sz w:val="18"/>
                <w:szCs w:val="18"/>
                <w:color w:val="auto"/>
              </w:rPr>
              <w:t>Interest-bearing deposits:</w:t>
            </w:r>
          </w:p>
        </w:tc>
        <w:tc>
          <w:tcPr>
            <w:tcW w:w="9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NOW</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$1,304,159</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1,587</w:t>
            </w:r>
          </w:p>
        </w:tc>
        <w:tc>
          <w:tcPr>
            <w:tcW w:w="9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$1,313,752</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3,191</w:t>
            </w: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4980" w:type="dxa"/>
            <w:vAlign w:val="bottom"/>
            <w:gridSpan w:val="2"/>
          </w:tcPr>
          <w:p>
            <w:pPr>
              <w:ind w:left="440"/>
              <w:spacing w:after="0"/>
              <w:rPr>
                <w:sz w:val="20"/>
                <w:szCs w:val="20"/>
                <w:color w:val="auto"/>
              </w:rPr>
            </w:pPr>
            <w:r>
              <w:rPr>
                <w:rFonts w:ascii="Arial" w:cs="Arial" w:eastAsia="Arial" w:hAnsi="Arial"/>
                <w:sz w:val="18"/>
                <w:szCs w:val="18"/>
                <w:color w:val="auto"/>
              </w:rPr>
              <w:t>Money market</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1,120,091</w:t>
            </w: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1,901</w:t>
            </w:r>
          </w:p>
        </w:tc>
        <w:tc>
          <w:tcPr>
            <w:tcW w:w="960" w:type="dxa"/>
            <w:vAlign w:val="bottom"/>
            <w:gridSpan w:val="3"/>
          </w:tcPr>
          <w:p>
            <w:pPr>
              <w:jc w:val="right"/>
              <w:ind w:right="280"/>
              <w:spacing w:after="0"/>
              <w:rPr>
                <w:sz w:val="20"/>
                <w:szCs w:val="20"/>
                <w:color w:val="auto"/>
              </w:rPr>
            </w:pPr>
            <w:r>
              <w:rPr>
                <w:rFonts w:ascii="Arial" w:cs="Arial" w:eastAsia="Arial" w:hAnsi="Arial"/>
                <w:sz w:val="18"/>
                <w:szCs w:val="18"/>
                <w:color w:val="auto"/>
              </w:rPr>
              <w:t>.23</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977,863</w:t>
            </w: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4,656</w:t>
            </w:r>
          </w:p>
        </w:tc>
        <w:tc>
          <w:tcPr>
            <w:tcW w:w="900" w:type="dxa"/>
            <w:vAlign w:val="bottom"/>
            <w:gridSpan w:val="3"/>
          </w:tcPr>
          <w:p>
            <w:pPr>
              <w:jc w:val="right"/>
              <w:ind w:right="20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Savings</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214,280</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9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.07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194,433</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4980" w:type="dxa"/>
            <w:vAlign w:val="bottom"/>
            <w:gridSpan w:val="2"/>
          </w:tcPr>
          <w:p>
            <w:pPr>
              <w:ind w:left="440"/>
              <w:spacing w:after="0"/>
              <w:rPr>
                <w:sz w:val="20"/>
                <w:szCs w:val="20"/>
                <w:color w:val="auto"/>
              </w:rPr>
            </w:pPr>
            <w:r>
              <w:rPr>
                <w:rFonts w:ascii="Arial" w:cs="Arial" w:eastAsia="Arial" w:hAnsi="Arial"/>
                <w:sz w:val="18"/>
                <w:szCs w:val="18"/>
                <w:color w:val="auto"/>
              </w:rPr>
              <w:t>Time less than $100,000</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1,199,563</w:t>
            </w: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7,806</w:t>
            </w:r>
          </w:p>
        </w:tc>
        <w:tc>
          <w:tcPr>
            <w:tcW w:w="960" w:type="dxa"/>
            <w:vAlign w:val="bottom"/>
            <w:gridSpan w:val="3"/>
          </w:tcPr>
          <w:p>
            <w:pPr>
              <w:jc w:val="right"/>
              <w:ind w:right="280"/>
              <w:spacing w:after="0"/>
              <w:rPr>
                <w:sz w:val="20"/>
                <w:szCs w:val="20"/>
                <w:color w:val="auto"/>
              </w:rPr>
            </w:pPr>
            <w:r>
              <w:rPr>
                <w:rFonts w:ascii="Arial" w:cs="Arial" w:eastAsia="Arial" w:hAnsi="Arial"/>
                <w:sz w:val="18"/>
                <w:szCs w:val="18"/>
                <w:color w:val="auto"/>
              </w:rPr>
              <w:t>.87</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1,509,753</w:t>
            </w: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14,980</w:t>
            </w:r>
          </w:p>
        </w:tc>
        <w:tc>
          <w:tcPr>
            <w:tcW w:w="900" w:type="dxa"/>
            <w:vAlign w:val="bottom"/>
            <w:gridSpan w:val="3"/>
          </w:tcPr>
          <w:p>
            <w:pPr>
              <w:jc w:val="right"/>
              <w:ind w:right="20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Time greater than $100,000</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783,370</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6,354</w:t>
            </w:r>
          </w:p>
        </w:tc>
        <w:tc>
          <w:tcPr>
            <w:tcW w:w="9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1.08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973,335</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11,480</w:t>
            </w: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23"/>
        </w:trPr>
        <w:tc>
          <w:tcPr>
            <w:tcW w:w="4980" w:type="dxa"/>
            <w:vAlign w:val="bottom"/>
            <w:gridSpan w:val="2"/>
          </w:tcPr>
          <w:p>
            <w:pPr>
              <w:ind w:left="440"/>
              <w:spacing w:after="0"/>
              <w:rPr>
                <w:sz w:val="20"/>
                <w:szCs w:val="20"/>
                <w:color w:val="auto"/>
              </w:rPr>
            </w:pPr>
            <w:r>
              <w:rPr>
                <w:rFonts w:ascii="Arial" w:cs="Arial" w:eastAsia="Arial" w:hAnsi="Arial"/>
                <w:sz w:val="18"/>
                <w:szCs w:val="18"/>
                <w:color w:val="auto"/>
              </w:rPr>
              <w:t>Brokered time deposits</w:t>
            </w:r>
          </w:p>
        </w:tc>
        <w:tc>
          <w:tcPr>
            <w:tcW w:w="92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162,682</w:t>
            </w:r>
          </w:p>
        </w:tc>
        <w:tc>
          <w:tcPr>
            <w:tcW w:w="3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1,684</w:t>
            </w:r>
          </w:p>
        </w:tc>
        <w:tc>
          <w:tcPr>
            <w:tcW w:w="960" w:type="dxa"/>
            <w:vAlign w:val="bottom"/>
            <w:gridSpan w:val="3"/>
          </w:tcPr>
          <w:p>
            <w:pPr>
              <w:jc w:val="right"/>
              <w:ind w:right="280"/>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475,687</w:t>
            </w:r>
          </w:p>
        </w:tc>
        <w:tc>
          <w:tcPr>
            <w:tcW w:w="30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5,353</w:t>
            </w:r>
          </w:p>
        </w:tc>
        <w:tc>
          <w:tcPr>
            <w:tcW w:w="900" w:type="dxa"/>
            <w:vAlign w:val="bottom"/>
            <w:gridSpan w:val="3"/>
          </w:tcPr>
          <w:p>
            <w:pPr>
              <w:jc w:val="right"/>
              <w:ind w:right="20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Total interest-bearing deposits</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4,784,145</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19,444</w:t>
            </w:r>
          </w:p>
        </w:tc>
        <w:tc>
          <w:tcPr>
            <w:tcW w:w="9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5,444,823</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39,853</w:t>
            </w: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0"/>
        </w:trPr>
        <w:tc>
          <w:tcPr>
            <w:tcW w:w="4980" w:type="dxa"/>
            <w:vAlign w:val="bottom"/>
            <w:gridSpan w:val="2"/>
            <w:vMerge w:val="restart"/>
          </w:tcPr>
          <w:p>
            <w:pPr>
              <w:ind w:left="440"/>
              <w:spacing w:after="0"/>
              <w:rPr>
                <w:sz w:val="20"/>
                <w:szCs w:val="20"/>
                <w:color w:val="auto"/>
              </w:rPr>
            </w:pPr>
            <w:r>
              <w:rPr>
                <w:rFonts w:ascii="Arial" w:cs="Arial" w:eastAsia="Arial" w:hAnsi="Arial"/>
                <w:sz w:val="18"/>
                <w:szCs w:val="18"/>
                <w:color w:val="auto"/>
              </w:rPr>
              <w:t>Federal funds purchased and other borrowings</w:t>
            </w:r>
          </w:p>
        </w:tc>
        <w:tc>
          <w:tcPr>
            <w:tcW w:w="17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60" w:type="dxa"/>
            <w:vAlign w:val="bottom"/>
            <w:gridSpan w:val="3"/>
            <w:vMerge w:val="restart"/>
          </w:tcPr>
          <w:p>
            <w:pPr>
              <w:jc w:val="right"/>
              <w:ind w:right="280"/>
              <w:spacing w:after="0"/>
              <w:rPr>
                <w:sz w:val="20"/>
                <w:szCs w:val="20"/>
                <w:color w:val="auto"/>
              </w:rPr>
            </w:pPr>
            <w:r>
              <w:rPr>
                <w:rFonts w:ascii="Arial" w:cs="Arial" w:eastAsia="Arial" w:hAnsi="Arial"/>
                <w:sz w:val="18"/>
                <w:szCs w:val="18"/>
                <w:color w:val="auto"/>
              </w:rPr>
              <w:t>3.87</w:t>
            </w:r>
          </w:p>
        </w:tc>
        <w:tc>
          <w:tcPr>
            <w:tcW w:w="9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00" w:type="dxa"/>
            <w:vAlign w:val="bottom"/>
            <w:gridSpan w:val="3"/>
            <w:vMerge w:val="restart"/>
          </w:tcPr>
          <w:p>
            <w:pPr>
              <w:jc w:val="right"/>
              <w:ind w:right="200"/>
              <w:spacing w:after="0"/>
              <w:rPr>
                <w:sz w:val="20"/>
                <w:szCs w:val="20"/>
                <w:color w:val="auto"/>
              </w:rPr>
            </w:pPr>
            <w:r>
              <w:rPr>
                <w:rFonts w:ascii="Arial" w:cs="Arial" w:eastAsia="Arial" w:hAnsi="Arial"/>
                <w:sz w:val="18"/>
                <w:szCs w:val="18"/>
                <w:color w:val="auto"/>
              </w:rPr>
              <w:t>4.16</w:t>
            </w:r>
          </w:p>
        </w:tc>
        <w:tc>
          <w:tcPr>
            <w:tcW w:w="0" w:type="dxa"/>
            <w:vAlign w:val="bottom"/>
          </w:tcPr>
          <w:p>
            <w:pPr>
              <w:spacing w:after="0" w:line="20" w:lineRule="exact"/>
              <w:rPr>
                <w:sz w:val="1"/>
                <w:szCs w:val="1"/>
                <w:color w:val="auto"/>
              </w:rPr>
            </w:pPr>
          </w:p>
        </w:tc>
      </w:tr>
      <w:tr>
        <w:trPr>
          <w:trHeight w:val="203"/>
        </w:trPr>
        <w:tc>
          <w:tcPr>
            <w:tcW w:w="4980" w:type="dxa"/>
            <w:vAlign w:val="bottom"/>
            <w:gridSpan w:val="2"/>
            <w:vMerge w:val="continue"/>
          </w:tcPr>
          <w:p>
            <w:pPr>
              <w:spacing w:after="0"/>
              <w:rPr>
                <w:sz w:val="17"/>
                <w:szCs w:val="17"/>
                <w:color w:val="auto"/>
              </w:rPr>
            </w:pPr>
          </w:p>
        </w:tc>
        <w:tc>
          <w:tcPr>
            <w:tcW w:w="920" w:type="dxa"/>
            <w:vAlign w:val="bottom"/>
          </w:tcPr>
          <w:p>
            <w:pPr>
              <w:spacing w:after="0"/>
              <w:rPr>
                <w:sz w:val="17"/>
                <w:szCs w:val="17"/>
                <w:color w:val="auto"/>
              </w:rPr>
            </w:pPr>
          </w:p>
        </w:tc>
        <w:tc>
          <w:tcPr>
            <w:tcW w:w="8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85,022</w:t>
            </w:r>
          </w:p>
        </w:tc>
        <w:tc>
          <w:tcPr>
            <w:tcW w:w="300" w:type="dxa"/>
            <w:vAlign w:val="bottom"/>
          </w:tcPr>
          <w:p>
            <w:pPr>
              <w:spacing w:after="0"/>
              <w:rPr>
                <w:sz w:val="17"/>
                <w:szCs w:val="17"/>
                <w:color w:val="auto"/>
              </w:rPr>
            </w:pPr>
          </w:p>
        </w:tc>
        <w:tc>
          <w:tcPr>
            <w:tcW w:w="6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2,463</w:t>
            </w:r>
          </w:p>
        </w:tc>
        <w:tc>
          <w:tcPr>
            <w:tcW w:w="96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102,711</w:t>
            </w:r>
          </w:p>
        </w:tc>
        <w:tc>
          <w:tcPr>
            <w:tcW w:w="300" w:type="dxa"/>
            <w:vAlign w:val="bottom"/>
          </w:tcPr>
          <w:p>
            <w:pPr>
              <w:spacing w:after="0"/>
              <w:rPr>
                <w:sz w:val="17"/>
                <w:szCs w:val="17"/>
                <w:color w:val="auto"/>
              </w:rPr>
            </w:pPr>
          </w:p>
        </w:tc>
        <w:tc>
          <w:tcPr>
            <w:tcW w:w="6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3,197</w:t>
            </w:r>
          </w:p>
        </w:tc>
        <w:tc>
          <w:tcPr>
            <w:tcW w:w="90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Federal Home Loan Bank advances</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153,539</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w:t>
            </w:r>
          </w:p>
        </w:tc>
        <w:tc>
          <w:tcPr>
            <w:tcW w:w="9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.77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49,442</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1,601</w:t>
            </w: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23"/>
        </w:trPr>
        <w:tc>
          <w:tcPr>
            <w:tcW w:w="4980" w:type="dxa"/>
            <w:vAlign w:val="bottom"/>
            <w:gridSpan w:val="2"/>
          </w:tcPr>
          <w:p>
            <w:pPr>
              <w:ind w:left="440"/>
              <w:spacing w:after="0"/>
              <w:rPr>
                <w:sz w:val="20"/>
                <w:szCs w:val="20"/>
                <w:color w:val="auto"/>
              </w:rPr>
            </w:pPr>
            <w:r>
              <w:rPr>
                <w:rFonts w:ascii="Arial" w:cs="Arial" w:eastAsia="Arial" w:hAnsi="Arial"/>
                <w:sz w:val="18"/>
                <w:szCs w:val="18"/>
                <w:color w:val="auto"/>
              </w:rPr>
              <w:t>Long-term debt</w:t>
            </w:r>
          </w:p>
        </w:tc>
        <w:tc>
          <w:tcPr>
            <w:tcW w:w="92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120,256</w:t>
            </w:r>
          </w:p>
        </w:tc>
        <w:tc>
          <w:tcPr>
            <w:tcW w:w="3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7,119</w:t>
            </w:r>
          </w:p>
        </w:tc>
        <w:tc>
          <w:tcPr>
            <w:tcW w:w="960" w:type="dxa"/>
            <w:vAlign w:val="bottom"/>
            <w:gridSpan w:val="3"/>
          </w:tcPr>
          <w:p>
            <w:pPr>
              <w:jc w:val="right"/>
              <w:ind w:right="280"/>
              <w:spacing w:after="0"/>
              <w:rPr>
                <w:sz w:val="20"/>
                <w:szCs w:val="20"/>
                <w:color w:val="auto"/>
              </w:rPr>
            </w:pPr>
            <w:r>
              <w:rPr>
                <w:rFonts w:ascii="Arial" w:cs="Arial" w:eastAsia="Arial" w:hAnsi="Arial"/>
                <w:sz w:val="18"/>
                <w:szCs w:val="18"/>
                <w:color w:val="auto"/>
              </w:rPr>
              <w:t>7.91</w:t>
            </w:r>
          </w:p>
        </w:tc>
        <w:tc>
          <w:tcPr>
            <w:tcW w:w="12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146,221</w:t>
            </w:r>
          </w:p>
        </w:tc>
        <w:tc>
          <w:tcPr>
            <w:tcW w:w="30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8,169</w:t>
            </w:r>
          </w:p>
        </w:tc>
        <w:tc>
          <w:tcPr>
            <w:tcW w:w="900" w:type="dxa"/>
            <w:vAlign w:val="bottom"/>
            <w:gridSpan w:val="3"/>
          </w:tcPr>
          <w:p>
            <w:pPr>
              <w:jc w:val="right"/>
              <w:ind w:right="200"/>
              <w:spacing w:after="0"/>
              <w:rPr>
                <w:sz w:val="20"/>
                <w:szCs w:val="20"/>
                <w:color w:val="auto"/>
              </w:rPr>
            </w:pPr>
            <w:r>
              <w:rPr>
                <w:rFonts w:ascii="Arial" w:cs="Arial" w:eastAsia="Arial" w:hAnsi="Arial"/>
                <w:sz w:val="18"/>
                <w:szCs w:val="18"/>
                <w:color w:val="auto"/>
              </w:rPr>
              <w:t>7.47</w:t>
            </w: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Total borrowed funds</w:t>
            </w:r>
          </w:p>
        </w:tc>
        <w:tc>
          <w:tcPr>
            <w:tcW w:w="92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358,817</w:t>
            </w:r>
          </w:p>
        </w:tc>
        <w:tc>
          <w:tcPr>
            <w:tcW w:w="3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10,464</w:t>
            </w:r>
          </w:p>
        </w:tc>
        <w:tc>
          <w:tcPr>
            <w:tcW w:w="9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3.90</w:t>
            </w:r>
          </w:p>
        </w:tc>
        <w:tc>
          <w:tcPr>
            <w:tcW w:w="12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298,374</w:t>
            </w:r>
          </w:p>
        </w:tc>
        <w:tc>
          <w:tcPr>
            <w:tcW w:w="30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12,967</w:t>
            </w: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30"/>
        </w:trPr>
        <w:tc>
          <w:tcPr>
            <w:tcW w:w="4980" w:type="dxa"/>
            <w:vAlign w:val="bottom"/>
            <w:gridSpan w:val="2"/>
          </w:tcPr>
          <w:p>
            <w:pPr>
              <w:ind w:left="880"/>
              <w:spacing w:after="0"/>
              <w:rPr>
                <w:sz w:val="20"/>
                <w:szCs w:val="20"/>
                <w:color w:val="auto"/>
              </w:rPr>
            </w:pPr>
            <w:r>
              <w:rPr>
                <w:rFonts w:ascii="Arial" w:cs="Arial" w:eastAsia="Arial" w:hAnsi="Arial"/>
                <w:sz w:val="18"/>
                <w:szCs w:val="18"/>
                <w:b w:val="1"/>
                <w:bCs w:val="1"/>
                <w:color w:val="auto"/>
              </w:rPr>
              <w:t>Total interest-bearing liabilities</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5,142,962</w:t>
            </w:r>
          </w:p>
        </w:tc>
        <w:tc>
          <w:tcPr>
            <w:tcW w:w="300" w:type="dxa"/>
            <w:vAlign w:val="bottom"/>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29,908</w:t>
            </w:r>
          </w:p>
        </w:tc>
        <w:tc>
          <w:tcPr>
            <w:tcW w:w="960" w:type="dxa"/>
            <w:vAlign w:val="bottom"/>
            <w:gridSpan w:val="3"/>
          </w:tcPr>
          <w:p>
            <w:pPr>
              <w:jc w:val="right"/>
              <w:ind w:right="280"/>
              <w:spacing w:after="0"/>
              <w:rPr>
                <w:sz w:val="20"/>
                <w:szCs w:val="20"/>
                <w:color w:val="auto"/>
              </w:rPr>
            </w:pPr>
            <w:r>
              <w:rPr>
                <w:rFonts w:ascii="Arial" w:cs="Arial" w:eastAsia="Arial" w:hAnsi="Arial"/>
                <w:sz w:val="18"/>
                <w:szCs w:val="18"/>
                <w:color w:val="auto"/>
              </w:rPr>
              <w:t>.78</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5,743,197</w:t>
            </w:r>
          </w:p>
        </w:tc>
        <w:tc>
          <w:tcPr>
            <w:tcW w:w="300" w:type="dxa"/>
            <w:vAlign w:val="bottom"/>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52,820</w:t>
            </w:r>
          </w:p>
        </w:tc>
        <w:tc>
          <w:tcPr>
            <w:tcW w:w="900" w:type="dxa"/>
            <w:vAlign w:val="bottom"/>
            <w:gridSpan w:val="3"/>
          </w:tcPr>
          <w:p>
            <w:pPr>
              <w:jc w:val="right"/>
              <w:ind w:right="20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Non-interest-bearing liabilities:</w:t>
            </w:r>
          </w:p>
        </w:tc>
        <w:tc>
          <w:tcPr>
            <w:tcW w:w="9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gridSpan w:val="2"/>
          </w:tcPr>
          <w:p>
            <w:pPr>
              <w:ind w:left="440"/>
              <w:spacing w:after="0"/>
              <w:rPr>
                <w:sz w:val="20"/>
                <w:szCs w:val="20"/>
                <w:color w:val="auto"/>
              </w:rPr>
            </w:pPr>
            <w:r>
              <w:rPr>
                <w:rFonts w:ascii="Arial" w:cs="Arial" w:eastAsia="Arial" w:hAnsi="Arial"/>
                <w:sz w:val="18"/>
                <w:szCs w:val="18"/>
                <w:color w:val="auto"/>
              </w:rPr>
              <w:t>Non-interest-bearing deposits</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1,105,607</w:t>
            </w: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884,417</w:t>
            </w: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Other liabilities</w:t>
            </w:r>
          </w:p>
        </w:tc>
        <w:tc>
          <w:tcPr>
            <w:tcW w:w="92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65,390</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69,131</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980" w:type="dxa"/>
            <w:vAlign w:val="bottom"/>
            <w:gridSpan w:val="2"/>
          </w:tcPr>
          <w:p>
            <w:pPr>
              <w:ind w:left="880"/>
              <w:spacing w:after="0"/>
              <w:rPr>
                <w:sz w:val="20"/>
                <w:szCs w:val="20"/>
                <w:color w:val="auto"/>
              </w:rPr>
            </w:pPr>
            <w:r>
              <w:rPr>
                <w:rFonts w:ascii="Arial" w:cs="Arial" w:eastAsia="Arial" w:hAnsi="Arial"/>
                <w:sz w:val="18"/>
                <w:szCs w:val="18"/>
                <w:color w:val="auto"/>
              </w:rPr>
              <w:t>Total liabilities</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6,313,959</w:t>
            </w: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6,696,745</w:t>
            </w: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92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580,376</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549,356</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980" w:type="dxa"/>
            <w:vAlign w:val="bottom"/>
            <w:gridSpan w:val="2"/>
          </w:tcPr>
          <w:p>
            <w:pPr>
              <w:ind w:left="880"/>
              <w:spacing w:after="0"/>
              <w:rPr>
                <w:sz w:val="20"/>
                <w:szCs w:val="20"/>
                <w:color w:val="auto"/>
              </w:rPr>
            </w:pPr>
            <w:r>
              <w:rPr>
                <w:rFonts w:ascii="Arial" w:cs="Arial" w:eastAsia="Arial" w:hAnsi="Arial"/>
                <w:sz w:val="18"/>
                <w:szCs w:val="18"/>
                <w:b w:val="1"/>
                <w:bCs w:val="1"/>
                <w:color w:val="auto"/>
              </w:rPr>
              <w:t>Total liabilities and shareholders’ equity</w:t>
            </w:r>
          </w:p>
        </w:tc>
        <w:tc>
          <w:tcPr>
            <w:tcW w:w="17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6,894,335</w:t>
            </w: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7,246,101</w:t>
            </w: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interest revenue</w:t>
            </w:r>
          </w:p>
        </w:tc>
        <w:tc>
          <w:tcPr>
            <w:tcW w:w="9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173,071</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174,619</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gridSpan w:val="2"/>
            <w:vMerge w:val="restart"/>
          </w:tcPr>
          <w:p>
            <w:pPr>
              <w:spacing w:after="0"/>
              <w:rPr>
                <w:sz w:val="20"/>
                <w:szCs w:val="20"/>
                <w:color w:val="auto"/>
              </w:rPr>
            </w:pPr>
            <w:r>
              <w:rPr>
                <w:rFonts w:ascii="Arial" w:cs="Arial" w:eastAsia="Arial" w:hAnsi="Arial"/>
                <w:sz w:val="18"/>
                <w:szCs w:val="18"/>
                <w:color w:val="auto"/>
              </w:rPr>
              <w:t>Net interest-rate spread</w:t>
            </w:r>
          </w:p>
        </w:tc>
        <w:tc>
          <w:tcPr>
            <w:tcW w:w="9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60" w:type="dxa"/>
            <w:vAlign w:val="bottom"/>
            <w:gridSpan w:val="3"/>
            <w:vMerge w:val="restart"/>
          </w:tcPr>
          <w:p>
            <w:pPr>
              <w:ind w:left="340"/>
              <w:spacing w:after="0"/>
              <w:rPr>
                <w:sz w:val="20"/>
                <w:szCs w:val="20"/>
                <w:color w:val="auto"/>
              </w:rPr>
            </w:pPr>
            <w:r>
              <w:rPr>
                <w:rFonts w:ascii="Arial" w:cs="Arial" w:eastAsia="Arial" w:hAnsi="Arial"/>
                <w:sz w:val="18"/>
                <w:szCs w:val="18"/>
                <w:color w:val="auto"/>
              </w:rPr>
              <w:t>3.35 %</w:t>
            </w: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00" w:type="dxa"/>
            <w:vAlign w:val="bottom"/>
            <w:gridSpan w:val="3"/>
            <w:vMerge w:val="restart"/>
          </w:tcPr>
          <w:p>
            <w:pPr>
              <w:ind w:left="340"/>
              <w:spacing w:after="0"/>
              <w:rPr>
                <w:sz w:val="20"/>
                <w:szCs w:val="20"/>
                <w:color w:val="auto"/>
              </w:rPr>
            </w:pPr>
            <w:r>
              <w:rPr>
                <w:rFonts w:ascii="Arial" w:cs="Arial" w:eastAsia="Arial" w:hAnsi="Arial"/>
                <w:sz w:val="18"/>
                <w:szCs w:val="18"/>
                <w:color w:val="auto"/>
                <w:w w:val="96"/>
              </w:rPr>
              <w:t>3.23 %</w:t>
            </w:r>
          </w:p>
        </w:tc>
        <w:tc>
          <w:tcPr>
            <w:tcW w:w="0" w:type="dxa"/>
            <w:vAlign w:val="bottom"/>
          </w:tcPr>
          <w:p>
            <w:pPr>
              <w:spacing w:after="0" w:line="20" w:lineRule="exact"/>
              <w:rPr>
                <w:sz w:val="1"/>
                <w:szCs w:val="1"/>
                <w:color w:val="auto"/>
              </w:rPr>
            </w:pPr>
          </w:p>
        </w:tc>
      </w:tr>
      <w:tr>
        <w:trPr>
          <w:trHeight w:val="209"/>
        </w:trPr>
        <w:tc>
          <w:tcPr>
            <w:tcW w:w="4980" w:type="dxa"/>
            <w:vAlign w:val="bottom"/>
            <w:gridSpan w:val="2"/>
            <w:vMerge w:val="continue"/>
          </w:tcPr>
          <w:p>
            <w:pPr>
              <w:spacing w:after="0"/>
              <w:rPr>
                <w:sz w:val="18"/>
                <w:szCs w:val="18"/>
                <w:color w:val="auto"/>
              </w:rPr>
            </w:pPr>
          </w:p>
        </w:tc>
        <w:tc>
          <w:tcPr>
            <w:tcW w:w="9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6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 xml:space="preserve">Net interest margin </w:t>
            </w:r>
            <w:r>
              <w:rPr>
                <w:rFonts w:ascii="Arial" w:cs="Arial" w:eastAsia="Arial" w:hAnsi="Arial"/>
                <w:sz w:val="11"/>
                <w:szCs w:val="11"/>
                <w:color w:val="auto"/>
              </w:rPr>
              <w:t>(4)</w:t>
            </w:r>
          </w:p>
        </w:tc>
        <w:tc>
          <w:tcPr>
            <w:tcW w:w="9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3.52 %</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w w:val="96"/>
              </w:rPr>
              <w:t>3.42 %</w:t>
            </w: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380" w:hanging="452"/>
        <w:spacing w:after="0" w:line="228" w:lineRule="auto"/>
        <w:tabs>
          <w:tab w:leader="none" w:pos="460" w:val="left"/>
        </w:tabs>
        <w:numPr>
          <w:ilvl w:val="0"/>
          <w:numId w:val="9"/>
        </w:numPr>
        <w:rPr>
          <w:rFonts w:ascii="Arial" w:cs="Arial" w:eastAsia="Arial" w:hAnsi="Arial"/>
          <w:sz w:val="22"/>
          <w:szCs w:val="22"/>
          <w:color w:val="auto"/>
          <w:vertAlign w:val="superscript"/>
        </w:rPr>
      </w:pPr>
      <w:r>
        <w:rPr>
          <w:rFonts w:ascii="Arial" w:cs="Arial" w:eastAsia="Arial" w:hAnsi="Arial"/>
          <w:sz w:val="18"/>
          <w:szCs w:val="18"/>
          <w:color w:val="auto"/>
        </w:rPr>
        <w:t>Interest revenue on tax-exempt securities and loans has been increased to reflect comparable interest on taxable securities and loans. The rate used was 39%, reflecting the statutory federal income tax rate and the federal tax adjusted state income tax rate.</w:t>
      </w:r>
    </w:p>
    <w:p>
      <w:pPr>
        <w:spacing w:after="0" w:line="1" w:lineRule="exact"/>
        <w:rPr>
          <w:rFonts w:ascii="Arial" w:cs="Arial" w:eastAsia="Arial" w:hAnsi="Arial"/>
          <w:sz w:val="22"/>
          <w:szCs w:val="22"/>
          <w:color w:val="auto"/>
          <w:vertAlign w:val="superscript"/>
        </w:rPr>
      </w:pPr>
    </w:p>
    <w:p>
      <w:pPr>
        <w:ind w:left="460" w:hanging="452"/>
        <w:spacing w:after="0" w:line="225" w:lineRule="auto"/>
        <w:tabs>
          <w:tab w:leader="none" w:pos="460" w:val="left"/>
        </w:tabs>
        <w:numPr>
          <w:ilvl w:val="0"/>
          <w:numId w:val="9"/>
        </w:numPr>
        <w:rPr>
          <w:rFonts w:ascii="Arial" w:cs="Arial" w:eastAsia="Arial" w:hAnsi="Arial"/>
          <w:sz w:val="20"/>
          <w:szCs w:val="20"/>
          <w:color w:val="auto"/>
          <w:vertAlign w:val="superscript"/>
        </w:rPr>
      </w:pPr>
      <w:r>
        <w:rPr>
          <w:rFonts w:ascii="Arial" w:cs="Arial" w:eastAsia="Arial" w:hAnsi="Arial"/>
          <w:sz w:val="16"/>
          <w:szCs w:val="16"/>
          <w:color w:val="auto"/>
        </w:rPr>
        <w:t>Included in the average balance of loans outstanding are loans where the accrual of interest has been discontinued and loans that are held for sale.</w:t>
      </w:r>
    </w:p>
    <w:p>
      <w:pPr>
        <w:spacing w:after="0" w:line="8" w:lineRule="exact"/>
        <w:rPr>
          <w:rFonts w:ascii="Arial" w:cs="Arial" w:eastAsia="Arial" w:hAnsi="Arial"/>
          <w:sz w:val="20"/>
          <w:szCs w:val="20"/>
          <w:color w:val="auto"/>
          <w:vertAlign w:val="superscript"/>
        </w:rPr>
      </w:pPr>
    </w:p>
    <w:p>
      <w:pPr>
        <w:ind w:left="460" w:right="200" w:hanging="452"/>
        <w:spacing w:after="0" w:line="221" w:lineRule="auto"/>
        <w:tabs>
          <w:tab w:leader="none" w:pos="460" w:val="left"/>
        </w:tabs>
        <w:numPr>
          <w:ilvl w:val="0"/>
          <w:numId w:val="9"/>
        </w:numPr>
        <w:rPr>
          <w:rFonts w:ascii="Arial" w:cs="Arial" w:eastAsia="Arial" w:hAnsi="Arial"/>
          <w:sz w:val="22"/>
          <w:szCs w:val="22"/>
          <w:color w:val="auto"/>
          <w:vertAlign w:val="superscript"/>
        </w:rPr>
      </w:pPr>
      <w:r>
        <w:rPr>
          <w:rFonts w:ascii="Arial" w:cs="Arial" w:eastAsia="Arial" w:hAnsi="Arial"/>
          <w:sz w:val="18"/>
          <w:szCs w:val="18"/>
          <w:color w:val="auto"/>
        </w:rPr>
        <w:t>Securities available for sale are shown at amortized cost. Pretax unrealized gains of $24.1 million in 2012 and $32.4 million in 2011 are included in other assets for purposes of this presentation.</w:t>
      </w:r>
    </w:p>
    <w:p>
      <w:pPr>
        <w:ind w:left="460" w:hanging="452"/>
        <w:spacing w:after="0" w:line="205" w:lineRule="auto"/>
        <w:tabs>
          <w:tab w:leader="none" w:pos="460" w:val="left"/>
        </w:tabs>
        <w:numPr>
          <w:ilvl w:val="0"/>
          <w:numId w:val="9"/>
        </w:numPr>
        <w:rPr>
          <w:rFonts w:ascii="Arial" w:cs="Arial" w:eastAsia="Arial" w:hAnsi="Arial"/>
          <w:sz w:val="22"/>
          <w:szCs w:val="22"/>
          <w:color w:val="auto"/>
          <w:vertAlign w:val="superscript"/>
        </w:rPr>
      </w:pPr>
      <w:r>
        <w:rPr>
          <w:rFonts w:ascii="Arial" w:cs="Arial" w:eastAsia="Arial" w:hAnsi="Arial"/>
          <w:sz w:val="18"/>
          <w:szCs w:val="18"/>
          <w:color w:val="auto"/>
        </w:rPr>
        <w:t>Net interest margin is taxable equivalent net-interest revenue divided by average interest-earning assets.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following table shows the relative effect on net interest revenue for changes in the average outstanding amounts (volume) of interest-earning assets and interest-bearing liabilities and the rates earned and paid on such assets and liabilities (rate). Variances resulting from a combination of changes in rate and volume are allocated in proportion to the absolute dollar amounts of the change in each category.</w:t>
      </w:r>
    </w:p>
    <w:p>
      <w:pPr>
        <w:spacing w:after="0" w:line="215" w:lineRule="exact"/>
        <w:rPr>
          <w:sz w:val="20"/>
          <w:szCs w:val="20"/>
          <w:color w:val="auto"/>
        </w:rPr>
      </w:pPr>
    </w:p>
    <w:p>
      <w:pPr>
        <w:ind w:right="5360"/>
        <w:spacing w:after="0" w:line="369" w:lineRule="auto"/>
        <w:rPr>
          <w:sz w:val="20"/>
          <w:szCs w:val="20"/>
          <w:color w:val="auto"/>
        </w:rPr>
      </w:pPr>
      <w:r>
        <w:rPr>
          <w:rFonts w:ascii="Arial" w:cs="Arial" w:eastAsia="Arial" w:hAnsi="Arial"/>
          <w:sz w:val="18"/>
          <w:szCs w:val="18"/>
          <w:b w:val="1"/>
          <w:bCs w:val="1"/>
          <w:color w:val="auto"/>
        </w:rPr>
        <w:t xml:space="preserve">Table 4 - Change in Interest Revenue and Expense on a Taxable Equivalent Basis </w:t>
      </w:r>
      <w:r>
        <w:rPr>
          <w:rFonts w:ascii="Arial" w:cs="Arial" w:eastAsia="Arial" w:hAnsi="Arial"/>
          <w:sz w:val="18"/>
          <w:szCs w:val="18"/>
          <w:i w:val="1"/>
          <w:iCs w:val="1"/>
          <w:color w:val="auto"/>
        </w:rPr>
        <w:t>(in thousands)</w:t>
      </w:r>
    </w:p>
    <w:p>
      <w:pPr>
        <w:sectPr>
          <w:pgSz w:w="11900" w:h="16838" w:orient="portrait"/>
          <w:cols w:equalWidth="0" w:num="1">
            <w:col w:w="11420"/>
          </w:cols>
          <w:pgMar w:left="240" w:top="459" w:right="239" w:bottom="1440" w:gutter="0" w:footer="0" w:header="0"/>
        </w:sectPr>
      </w:pPr>
    </w:p>
    <w:p>
      <w:pPr>
        <w:spacing w:after="0" w:line="81" w:lineRule="exact"/>
        <w:rPr>
          <w:sz w:val="20"/>
          <w:szCs w:val="20"/>
          <w:color w:val="auto"/>
        </w:rPr>
      </w:pPr>
    </w:p>
    <w:p>
      <w:pPr>
        <w:jc w:val="center"/>
        <w:ind w:left="5920"/>
        <w:spacing w:after="0"/>
        <w:rPr>
          <w:sz w:val="20"/>
          <w:szCs w:val="20"/>
          <w:color w:val="auto"/>
        </w:rPr>
      </w:pPr>
      <w:r>
        <w:rPr>
          <w:rFonts w:ascii="Arial" w:cs="Arial" w:eastAsia="Arial" w:hAnsi="Arial"/>
          <w:sz w:val="12"/>
          <w:szCs w:val="12"/>
          <w:b w:val="1"/>
          <w:bCs w:val="1"/>
          <w:color w:val="auto"/>
        </w:rPr>
        <w:t>Three Months Ended September 30, 2012</w:t>
      </w:r>
    </w:p>
    <w:p>
      <w:pPr>
        <w:spacing w:after="0" w:line="12" w:lineRule="exact"/>
        <w:rPr>
          <w:sz w:val="20"/>
          <w:szCs w:val="20"/>
          <w:color w:val="auto"/>
        </w:rPr>
      </w:pPr>
    </w:p>
    <w:p>
      <w:pPr>
        <w:jc w:val="center"/>
        <w:ind w:left="5920"/>
        <w:spacing w:after="0"/>
        <w:rPr>
          <w:sz w:val="20"/>
          <w:szCs w:val="20"/>
          <w:color w:val="auto"/>
        </w:rPr>
      </w:pPr>
      <w:r>
        <w:rPr>
          <w:rFonts w:ascii="Arial" w:cs="Arial" w:eastAsia="Arial" w:hAnsi="Arial"/>
          <w:sz w:val="14"/>
          <w:szCs w:val="14"/>
          <w:b w:val="1"/>
          <w:bCs w:val="1"/>
          <w:color w:val="auto"/>
        </w:rPr>
        <w:t>Compared to 2011</w:t>
      </w:r>
    </w:p>
    <w:p>
      <w:pPr>
        <w:jc w:val="center"/>
        <w:ind w:left="5920"/>
        <w:spacing w:after="0" w:line="221" w:lineRule="auto"/>
        <w:rPr>
          <w:sz w:val="20"/>
          <w:szCs w:val="20"/>
          <w:color w:val="auto"/>
        </w:rPr>
      </w:pPr>
      <w:r>
        <w:rPr>
          <w:rFonts w:ascii="Arial" w:cs="Arial" w:eastAsia="Arial" w:hAnsi="Arial"/>
          <w:sz w:val="14"/>
          <w:szCs w:val="14"/>
          <w:b w:val="1"/>
          <w:bCs w:val="1"/>
          <w:color w:val="auto"/>
        </w:rPr>
        <w:t>Increase (decrease)</w:t>
      </w:r>
    </w:p>
    <w:p>
      <w:pPr>
        <w:jc w:val="center"/>
        <w:ind w:left="5920"/>
        <w:spacing w:after="0" w:line="220" w:lineRule="auto"/>
        <w:rPr>
          <w:sz w:val="20"/>
          <w:szCs w:val="20"/>
          <w:color w:val="auto"/>
        </w:rPr>
      </w:pPr>
      <w:r>
        <w:rPr>
          <w:rFonts w:ascii="Arial" w:cs="Arial" w:eastAsia="Arial" w:hAnsi="Arial"/>
          <w:sz w:val="14"/>
          <w:szCs w:val="14"/>
          <w:b w:val="1"/>
          <w:bCs w:val="1"/>
          <w:color w:val="auto"/>
        </w:rPr>
        <w:t>Due to Changes in</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jc w:val="center"/>
        <w:ind w:right="240"/>
        <w:spacing w:after="0"/>
        <w:rPr>
          <w:sz w:val="20"/>
          <w:szCs w:val="20"/>
          <w:color w:val="auto"/>
        </w:rPr>
      </w:pPr>
      <w:r>
        <w:rPr>
          <w:rFonts w:ascii="Arial" w:cs="Arial" w:eastAsia="Arial" w:hAnsi="Arial"/>
          <w:sz w:val="12"/>
          <w:szCs w:val="12"/>
          <w:b w:val="1"/>
          <w:bCs w:val="1"/>
          <w:color w:val="auto"/>
        </w:rPr>
        <w:t>Nine Months Ended September 30, 2012</w:t>
      </w:r>
    </w:p>
    <w:p>
      <w:pPr>
        <w:spacing w:after="0" w:line="12" w:lineRule="exact"/>
        <w:rPr>
          <w:sz w:val="20"/>
          <w:szCs w:val="20"/>
          <w:color w:val="auto"/>
        </w:rPr>
      </w:pPr>
    </w:p>
    <w:p>
      <w:pPr>
        <w:jc w:val="center"/>
        <w:ind w:right="240"/>
        <w:spacing w:after="0"/>
        <w:rPr>
          <w:sz w:val="20"/>
          <w:szCs w:val="20"/>
          <w:color w:val="auto"/>
        </w:rPr>
      </w:pPr>
      <w:r>
        <w:rPr>
          <w:rFonts w:ascii="Arial" w:cs="Arial" w:eastAsia="Arial" w:hAnsi="Arial"/>
          <w:sz w:val="14"/>
          <w:szCs w:val="14"/>
          <w:b w:val="1"/>
          <w:bCs w:val="1"/>
          <w:color w:val="auto"/>
        </w:rPr>
        <w:t>Compared to 2011</w:t>
      </w:r>
    </w:p>
    <w:p>
      <w:pPr>
        <w:jc w:val="center"/>
        <w:ind w:right="240"/>
        <w:spacing w:after="0" w:line="221" w:lineRule="auto"/>
        <w:rPr>
          <w:sz w:val="20"/>
          <w:szCs w:val="20"/>
          <w:color w:val="auto"/>
        </w:rPr>
      </w:pPr>
      <w:r>
        <w:rPr>
          <w:rFonts w:ascii="Arial" w:cs="Arial" w:eastAsia="Arial" w:hAnsi="Arial"/>
          <w:sz w:val="14"/>
          <w:szCs w:val="14"/>
          <w:b w:val="1"/>
          <w:bCs w:val="1"/>
          <w:color w:val="auto"/>
        </w:rPr>
        <w:t>Increase (decrease)</w:t>
      </w:r>
    </w:p>
    <w:p>
      <w:pPr>
        <w:jc w:val="center"/>
        <w:ind w:right="240"/>
        <w:spacing w:after="0" w:line="220" w:lineRule="auto"/>
        <w:rPr>
          <w:sz w:val="20"/>
          <w:szCs w:val="20"/>
          <w:color w:val="auto"/>
        </w:rPr>
      </w:pPr>
      <w:r>
        <w:rPr>
          <w:rFonts w:ascii="Arial" w:cs="Arial" w:eastAsia="Arial" w:hAnsi="Arial"/>
          <w:sz w:val="14"/>
          <w:szCs w:val="14"/>
          <w:b w:val="1"/>
          <w:bCs w:val="1"/>
          <w:color w:val="auto"/>
        </w:rPr>
        <w:t>Due to Changes in</w:t>
      </w:r>
    </w:p>
    <w:p>
      <w:pPr>
        <w:spacing w:after="0" w:line="1" w:lineRule="exact"/>
        <w:rPr>
          <w:sz w:val="20"/>
          <w:szCs w:val="20"/>
          <w:color w:val="auto"/>
        </w:rPr>
      </w:pPr>
    </w:p>
    <w:p>
      <w:pPr>
        <w:sectPr>
          <w:pgSz w:w="11900" w:h="16838" w:orient="portrait"/>
          <w:cols w:equalWidth="0" w:num="2">
            <w:col w:w="8300" w:space="560"/>
            <w:col w:w="256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w w:val="82"/>
              </w:rPr>
              <w:t>Volume</w:t>
            </w: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jc w:val="right"/>
              <w:ind w:right="520"/>
              <w:spacing w:after="0" w:line="142" w:lineRule="exact"/>
              <w:rPr>
                <w:sz w:val="20"/>
                <w:szCs w:val="20"/>
                <w:color w:val="auto"/>
              </w:rPr>
            </w:pPr>
            <w:r>
              <w:rPr>
                <w:rFonts w:ascii="Arial" w:cs="Arial" w:eastAsia="Arial" w:hAnsi="Arial"/>
                <w:sz w:val="14"/>
                <w:szCs w:val="14"/>
                <w:b w:val="1"/>
                <w:bCs w:val="1"/>
                <w:color w:val="auto"/>
                <w:w w:val="98"/>
              </w:rPr>
              <w:t>Rate</w:t>
            </w: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2"/>
                <w:szCs w:val="12"/>
                <w:color w:val="auto"/>
              </w:rPr>
            </w:pPr>
          </w:p>
        </w:tc>
        <w:tc>
          <w:tcPr>
            <w:tcW w:w="760" w:type="dxa"/>
            <w:vAlign w:val="bottom"/>
            <w:tcBorders>
              <w:top w:val="single" w:sz="8" w:color="auto"/>
            </w:tcBorders>
            <w:gridSpan w:val="3"/>
          </w:tcPr>
          <w:p>
            <w:pPr>
              <w:jc w:val="right"/>
              <w:ind w:right="260"/>
              <w:spacing w:after="0" w:line="142" w:lineRule="exact"/>
              <w:rPr>
                <w:sz w:val="20"/>
                <w:szCs w:val="20"/>
                <w:color w:val="auto"/>
              </w:rPr>
            </w:pPr>
            <w:r>
              <w:rPr>
                <w:rFonts w:ascii="Arial" w:cs="Arial" w:eastAsia="Arial" w:hAnsi="Arial"/>
                <w:sz w:val="14"/>
                <w:szCs w:val="14"/>
                <w:b w:val="1"/>
                <w:bCs w:val="1"/>
                <w:color w:val="auto"/>
                <w:w w:val="94"/>
              </w:rPr>
              <w:t>Volume</w:t>
            </w: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right"/>
              <w:ind w:right="500"/>
              <w:spacing w:after="0" w:line="142" w:lineRule="exact"/>
              <w:rPr>
                <w:sz w:val="20"/>
                <w:szCs w:val="20"/>
                <w:color w:val="auto"/>
              </w:rPr>
            </w:pPr>
            <w:r>
              <w:rPr>
                <w:rFonts w:ascii="Arial" w:cs="Arial" w:eastAsia="Arial" w:hAnsi="Arial"/>
                <w:sz w:val="14"/>
                <w:szCs w:val="14"/>
                <w:b w:val="1"/>
                <w:bCs w:val="1"/>
                <w:color w:val="auto"/>
              </w:rPr>
              <w:t>Rate</w:t>
            </w: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Interest-earning assets:</w:t>
            </w: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Loans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(655)</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(4,776)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(5,431)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w w:val="91"/>
              </w:rPr>
              <w:t>(7,911)</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(9,410)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(17,321)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Taxable securities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(1,125)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(2,718)</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(3,843)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(11,046)</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Tax-exempt securities</w:t>
            </w: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Federal funds sold and other interest-earning assets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843</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740</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(1,232)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2,295</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vMerge w:val="restart"/>
          </w:tcPr>
          <w:p>
            <w:pPr>
              <w:ind w:left="860"/>
              <w:spacing w:after="0"/>
              <w:rPr>
                <w:sz w:val="20"/>
                <w:szCs w:val="20"/>
                <w:color w:val="auto"/>
              </w:rPr>
            </w:pPr>
            <w:r>
              <w:rPr>
                <w:rFonts w:ascii="Arial" w:cs="Arial" w:eastAsia="Arial" w:hAnsi="Arial"/>
                <w:sz w:val="18"/>
                <w:szCs w:val="18"/>
                <w:b w:val="1"/>
                <w:bCs w:val="1"/>
                <w:color w:val="auto"/>
              </w:rPr>
              <w:t>Total interest-earning assets</w:t>
            </w: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7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(1,912)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(6,653)</w:t>
            </w: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(8,565)</w:t>
            </w:r>
          </w:p>
        </w:tc>
        <w:tc>
          <w:tcPr>
            <w:tcW w:w="100" w:type="dxa"/>
            <w:vAlign w:val="bottom"/>
          </w:tcPr>
          <w:p>
            <w:pPr>
              <w:spacing w:after="0"/>
              <w:rPr>
                <w:sz w:val="20"/>
                <w:szCs w:val="20"/>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w w:val="91"/>
              </w:rPr>
              <w:t>(6,321)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(18,139)</w:t>
            </w:r>
          </w:p>
        </w:tc>
        <w:tc>
          <w:tcPr>
            <w:tcW w:w="16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(24,460)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Interest-bearing liabilities:</w:t>
            </w: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NOW accounts</w:t>
            </w: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(332)</w:t>
            </w:r>
          </w:p>
        </w:tc>
        <w:tc>
          <w:tcPr>
            <w:tcW w:w="1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(384)</w:t>
            </w:r>
          </w:p>
        </w:tc>
        <w:tc>
          <w:tcPr>
            <w:tcW w:w="10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(1,581)</w:t>
            </w:r>
          </w:p>
        </w:tc>
        <w:tc>
          <w:tcPr>
            <w:tcW w:w="1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Money market accounts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(662)</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(3,352)</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Savings deposits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(99)</w:t>
            </w:r>
          </w:p>
        </w:tc>
        <w:tc>
          <w:tcPr>
            <w:tcW w:w="1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Time deposits less than $100,000</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(1,454)</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(2,279)</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(2,682)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(4,492)</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Time deposits greater than $100,000</w:t>
            </w: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(612)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(968)</w:t>
            </w:r>
          </w:p>
        </w:tc>
        <w:tc>
          <w:tcPr>
            <w:tcW w:w="1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(1,580)</w:t>
            </w:r>
          </w:p>
        </w:tc>
        <w:tc>
          <w:tcPr>
            <w:tcW w:w="10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w w:val="91"/>
              </w:rPr>
              <w:t>(1,971)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(3,155)</w:t>
            </w:r>
          </w:p>
        </w:tc>
        <w:tc>
          <w:tcPr>
            <w:tcW w:w="1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(5,126)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Brokered deposits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(322)</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(615)</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(3,271)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(398)</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vMerge w:val="restart"/>
          </w:tcPr>
          <w:p>
            <w:pPr>
              <w:ind w:left="420"/>
              <w:spacing w:after="0"/>
              <w:rPr>
                <w:sz w:val="20"/>
                <w:szCs w:val="20"/>
                <w:color w:val="auto"/>
              </w:rPr>
            </w:pPr>
            <w:r>
              <w:rPr>
                <w:rFonts w:ascii="Arial" w:cs="Arial" w:eastAsia="Arial" w:hAnsi="Arial"/>
                <w:sz w:val="18"/>
                <w:szCs w:val="18"/>
                <w:color w:val="auto"/>
              </w:rPr>
              <w:t>Total interest-bearing deposits</w:t>
            </w: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7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(1,644)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(3,759)</w:t>
            </w:r>
          </w:p>
        </w:tc>
        <w:tc>
          <w:tcPr>
            <w:tcW w:w="14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(5,403)</w:t>
            </w:r>
          </w:p>
        </w:tc>
        <w:tc>
          <w:tcPr>
            <w:tcW w:w="100" w:type="dxa"/>
            <w:vAlign w:val="bottom"/>
          </w:tcPr>
          <w:p>
            <w:pPr>
              <w:spacing w:after="0"/>
              <w:rPr>
                <w:sz w:val="19"/>
                <w:szCs w:val="19"/>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w w:val="91"/>
              </w:rPr>
              <w:t>(7,332)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(13,077)</w:t>
            </w:r>
          </w:p>
        </w:tc>
        <w:tc>
          <w:tcPr>
            <w:tcW w:w="16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(20,409)</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Federal funds purchased &amp; other borrowings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(116)</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(567)</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(211)</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Federal Home Loan Bank advances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(453)</w:t>
            </w:r>
          </w:p>
        </w:tc>
        <w:tc>
          <w:tcPr>
            <w:tcW w:w="1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(415)</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1,377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(2,096)</w:t>
            </w:r>
          </w:p>
        </w:tc>
        <w:tc>
          <w:tcPr>
            <w:tcW w:w="1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(719)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87</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(270)</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(1,515)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465</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vMerge w:val="restart"/>
          </w:tcPr>
          <w:p>
            <w:pPr>
              <w:ind w:left="420"/>
              <w:spacing w:after="0"/>
              <w:rPr>
                <w:sz w:val="20"/>
                <w:szCs w:val="20"/>
                <w:color w:val="auto"/>
              </w:rPr>
            </w:pPr>
            <w:r>
              <w:rPr>
                <w:rFonts w:ascii="Arial" w:cs="Arial" w:eastAsia="Arial" w:hAnsi="Arial"/>
                <w:sz w:val="18"/>
                <w:szCs w:val="18"/>
                <w:color w:val="auto"/>
              </w:rPr>
              <w:t>Total borrowed funds</w:t>
            </w: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7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(770)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(482)</w:t>
            </w:r>
          </w:p>
        </w:tc>
        <w:tc>
          <w:tcPr>
            <w:tcW w:w="14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(1,252)</w:t>
            </w:r>
          </w:p>
        </w:tc>
        <w:tc>
          <w:tcPr>
            <w:tcW w:w="100" w:type="dxa"/>
            <w:vAlign w:val="bottom"/>
          </w:tcPr>
          <w:p>
            <w:pPr>
              <w:spacing w:after="0"/>
              <w:rPr>
                <w:sz w:val="19"/>
                <w:szCs w:val="19"/>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(661)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(1,842)</w:t>
            </w:r>
          </w:p>
        </w:tc>
        <w:tc>
          <w:tcPr>
            <w:tcW w:w="16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(2,503)</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5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Total interest-bearing liabilities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(2,414)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(4,241)</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(6,655)</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(7,993)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(14,919)</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(22,912)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vMerge w:val="restart"/>
          </w:tcPr>
          <w:p>
            <w:pPr>
              <w:ind w:left="1280"/>
              <w:spacing w:after="0"/>
              <w:rPr>
                <w:sz w:val="20"/>
                <w:szCs w:val="20"/>
                <w:color w:val="auto"/>
              </w:rPr>
            </w:pPr>
            <w:r>
              <w:rPr>
                <w:rFonts w:ascii="Arial" w:cs="Arial" w:eastAsia="Arial" w:hAnsi="Arial"/>
                <w:sz w:val="18"/>
                <w:szCs w:val="18"/>
                <w:b w:val="1"/>
                <w:bCs w:val="1"/>
                <w:color w:val="auto"/>
              </w:rPr>
              <w:t>Increase (decrease) in net interest revenue</w:t>
            </w: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76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502</w:t>
            </w:r>
          </w:p>
        </w:tc>
        <w:tc>
          <w:tcPr>
            <w:tcW w:w="180" w:type="dxa"/>
            <w:vAlign w:val="bottom"/>
          </w:tcPr>
          <w:p>
            <w:pPr>
              <w:spacing w:after="0"/>
              <w:rPr>
                <w:sz w:val="19"/>
                <w:szCs w:val="19"/>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(2,412)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(1,910)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1,672</w:t>
            </w:r>
          </w:p>
        </w:tc>
        <w:tc>
          <w:tcPr>
            <w:tcW w:w="180" w:type="dxa"/>
            <w:vAlign w:val="bottom"/>
          </w:tcPr>
          <w:p>
            <w:pPr>
              <w:spacing w:after="0"/>
              <w:rPr>
                <w:sz w:val="19"/>
                <w:szCs w:val="19"/>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(3,220)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(1,548)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Loan Losses</w:t>
      </w:r>
    </w:p>
    <w:p>
      <w:pPr>
        <w:spacing w:after="0" w:line="90"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The provision for loan losses is based on management’s evaluation of losses inherent in the loan portfolio and corresponding analysis of the allowance for loan losses at quarter-end. The provision for loan losses was $15.5 million and $48.5 million, respectively, for the third quarter and the first nine months of 2012, respectively, compared to $36.0 million and $237 million, respectively, for the same periods in 2011. The provision for loan losses in 2011 reflects $25 million in the third quarter specifically related to United’s largest loan relationship. The provision for the first nine months of 2011 also reflects the execution of the Problem Asset Disposition Plan which included losses from the Bulk Loan Sale in the first and second quarters. The amount of provision recorded in each period was the amount required such that the total allowance for loan losses reflected the appropriate balance, in the estimation of management, that was sufficient to cover inherent losses in the loan portfolio. For the three and nine months ended September 30, 2012, net loan charge-offs as an annualized percentage of average outstanding loans were 1.99% and 1.80%, respectively, compared to 1.68% and 8.28%, respectively, for the same periods in 2011. About $4.70 million in net charge-offs taken during the third quarter of 2012 were due to note sales and short sales of performing substandard and nonperforming loans that had been assigned specific reserves in the previous quarter.</w:t>
      </w:r>
    </w:p>
    <w:p>
      <w:pPr>
        <w:spacing w:after="0" w:line="123"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As the residential construction and housing markets have struggled, it has been difficult for many builders and developers to produce cash flow needed to service debt from selling lots and houses. This deterioration of the residential construction and housing market was the primary factor that resulted in higher credit losses and increases in non-performing assets over the last four years. Although a majority of the charge-offs have been within the residential construction and development portion of the portfolio, credit quality deterioration migrated to other loan categories as pressure resulting from economic conditions has persisted and unemployment levels have remained high throughout United’s markets. Additional discussion on credit quality and the allowance for loan losses is included in the Asset Quality and Risk Elements section of this report on page 44.</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type w:val="continuous"/>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Fee Revenue</w:t>
      </w:r>
    </w:p>
    <w:p>
      <w:pPr>
        <w:spacing w:after="0" w:line="9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Operating fee revenue for the three and nine months ended September 30, 2012 was $13.8 million and $42.0 million, respectively, an increase of $2.27 million, or 20%, compared to third quarter of 2011, and an increase of $4.77 million, or 13%, from the year-to-date period of 2011. The following table presents the components of fee revenue for the third quarters and first nine months of 2012 and 2011.</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5 - Fee Revenue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w w:val="88"/>
              </w:rPr>
              <w:t>Three Months Ended</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4"/>
          </w:tcPr>
          <w:p>
            <w:pPr>
              <w:ind w:left="60"/>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6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142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4"/>
                <w:szCs w:val="14"/>
                <w:color w:val="auto"/>
              </w:rPr>
            </w:pPr>
          </w:p>
        </w:tc>
        <w:tc>
          <w:tcPr>
            <w:tcW w:w="1540" w:type="dxa"/>
            <w:vAlign w:val="bottom"/>
            <w:gridSpan w:val="4"/>
          </w:tcPr>
          <w:p>
            <w:pPr>
              <w:ind w:left="22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3640" w:type="dxa"/>
            <w:vAlign w:val="bottom"/>
            <w:tcBorders>
              <w:bottom w:val="single" w:sz="8" w:color="CCEEFF"/>
            </w:tcBorders>
          </w:tcPr>
          <w:p>
            <w:pPr>
              <w:spacing w:after="0"/>
              <w:rPr>
                <w:sz w:val="12"/>
                <w:szCs w:val="12"/>
                <w:color w:val="auto"/>
              </w:rPr>
            </w:pPr>
          </w:p>
        </w:tc>
        <w:tc>
          <w:tcPr>
            <w:tcW w:w="13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w w:val="96"/>
              </w:rPr>
              <w:t>2012</w:t>
            </w:r>
          </w:p>
        </w:tc>
        <w:tc>
          <w:tcPr>
            <w:tcW w:w="2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2011</w:t>
            </w:r>
          </w:p>
        </w:tc>
        <w:tc>
          <w:tcPr>
            <w:tcW w:w="28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86"/>
              </w:rPr>
              <w:t>Amount</w:t>
            </w:r>
          </w:p>
        </w:tc>
        <w:tc>
          <w:tcPr>
            <w:tcW w:w="300" w:type="dxa"/>
            <w:vAlign w:val="bottom"/>
            <w:tcBorders>
              <w:top w:val="single" w:sz="8" w:color="auto"/>
              <w:bottom w:val="single" w:sz="8" w:color="CCEEFF"/>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1"/>
              </w:rPr>
              <w:t>Percent</w:t>
            </w:r>
          </w:p>
        </w:tc>
        <w:tc>
          <w:tcPr>
            <w:tcW w:w="2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2012</w:t>
            </w:r>
          </w:p>
        </w:tc>
        <w:tc>
          <w:tcPr>
            <w:tcW w:w="30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2011</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0"/>
              </w:rPr>
              <w:t>Amount</w:t>
            </w:r>
          </w:p>
        </w:tc>
        <w:tc>
          <w:tcPr>
            <w:tcW w:w="30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1"/>
              </w:rPr>
              <w:t>Percent</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Overdraft fees</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(179)</w:t>
            </w: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9,839</w:t>
            </w: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$10,709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w:t>
            </w:r>
          </w:p>
        </w:tc>
        <w:tc>
          <w:tcPr>
            <w:tcW w:w="3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Debit card fees</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3,063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3,302</w:t>
            </w:r>
          </w:p>
        </w:tc>
        <w:tc>
          <w:tcPr>
            <w:tcW w:w="10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(239)</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9,407</w:t>
            </w:r>
          </w:p>
        </w:tc>
        <w:tc>
          <w:tcPr>
            <w:tcW w:w="3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9,111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296</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Other service charges and fees</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691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4,049</w:t>
            </w: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7"/>
              </w:rPr>
              <w:t>2,007</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0"/>
        </w:trPr>
        <w:tc>
          <w:tcPr>
            <w:tcW w:w="3640" w:type="dxa"/>
            <w:vAlign w:val="bottom"/>
            <w:vMerge w:val="restart"/>
          </w:tcPr>
          <w:p>
            <w:pPr>
              <w:ind w:left="440"/>
              <w:spacing w:after="0"/>
              <w:rPr>
                <w:sz w:val="20"/>
                <w:szCs w:val="20"/>
                <w:color w:val="auto"/>
              </w:rPr>
            </w:pPr>
            <w:r>
              <w:rPr>
                <w:rFonts w:ascii="Arial" w:cs="Arial" w:eastAsia="Arial" w:hAnsi="Arial"/>
                <w:sz w:val="18"/>
                <w:szCs w:val="18"/>
                <w:color w:val="auto"/>
              </w:rPr>
              <w:t>Service charges and fees</w:t>
            </w:r>
          </w:p>
        </w:tc>
        <w:tc>
          <w:tcPr>
            <w:tcW w:w="1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2</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line="20" w:lineRule="exact"/>
              <w:rPr>
                <w:sz w:val="1"/>
                <w:szCs w:val="1"/>
                <w:color w:val="auto"/>
              </w:rPr>
            </w:pPr>
          </w:p>
        </w:tc>
      </w:tr>
      <w:tr>
        <w:trPr>
          <w:trHeight w:val="221"/>
        </w:trPr>
        <w:tc>
          <w:tcPr>
            <w:tcW w:w="3640" w:type="dxa"/>
            <w:vAlign w:val="bottom"/>
            <w:vMerge w:val="continue"/>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7,696</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7,534</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162</w:t>
            </w:r>
          </w:p>
        </w:tc>
        <w:tc>
          <w:tcPr>
            <w:tcW w:w="300" w:type="dxa"/>
            <w:vAlign w:val="bottom"/>
          </w:tcPr>
          <w:p>
            <w:pPr>
              <w:spacing w:after="0"/>
              <w:rPr>
                <w:sz w:val="19"/>
                <w:szCs w:val="19"/>
                <w:color w:val="auto"/>
              </w:rPr>
            </w:pPr>
          </w:p>
        </w:tc>
        <w:tc>
          <w:tcPr>
            <w:tcW w:w="7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23,295</w:t>
            </w:r>
          </w:p>
        </w:tc>
        <w:tc>
          <w:tcPr>
            <w:tcW w:w="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21,862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1,433</w:t>
            </w:r>
          </w:p>
        </w:tc>
        <w:tc>
          <w:tcPr>
            <w:tcW w:w="5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Mortgage loan and related fees</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1,148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1,652</w:t>
            </w: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7,221</w:t>
            </w: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7"/>
              </w:rPr>
              <w:t>3,627</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Brokerage fees</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709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836</w:t>
            </w:r>
          </w:p>
        </w:tc>
        <w:tc>
          <w:tcPr>
            <w:tcW w:w="10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(127)</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2,331</w:t>
            </w: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2,204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127</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Securities gains, net</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7,047</w:t>
            </w: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7"/>
              </w:rPr>
              <w:t>6,209</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Losses from prepayment of debt</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w w:val="91"/>
              </w:rPr>
              <w:t>(6,681)</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(791)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(5,890)</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Hedge ineffectiveness</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(4,144)</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Other</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1,951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1,405</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546</w:t>
            </w:r>
          </w:p>
        </w:tc>
        <w:tc>
          <w:tcPr>
            <w:tcW w:w="30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8,254</w:t>
            </w: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4,847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3,407</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fee revenue</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13,764</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3"/>
              </w:rPr>
              <w:t>11,498</w:t>
            </w: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2,266</w:t>
            </w: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42,010</w:t>
            </w: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37,241</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7"/>
              </w:rPr>
              <w:t>4,769</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120"/>
        <w:spacing w:after="0" w:line="306" w:lineRule="auto"/>
        <w:rPr>
          <w:sz w:val="20"/>
          <w:szCs w:val="20"/>
          <w:color w:val="auto"/>
        </w:rPr>
      </w:pPr>
      <w:r>
        <w:rPr>
          <w:rFonts w:ascii="Arial" w:cs="Arial" w:eastAsia="Arial" w:hAnsi="Arial"/>
          <w:sz w:val="16"/>
          <w:szCs w:val="16"/>
          <w:color w:val="auto"/>
        </w:rPr>
        <w:t>Service charges and fees of $7.70 million were up $162,000, or 2%, from the third quarter of 2011. For the first nine months of 2012, service charges and fees of $23.3 million were up $1.43 million, or 7%, from the same period in 2011. The increase was primarily due to new charges on low balance deposit accounts that more than offset a decline in overdraft fees resulting from decreased utilization of our courtesy overdraft services.</w:t>
      </w:r>
    </w:p>
    <w:p>
      <w:pPr>
        <w:spacing w:after="0" w:line="107"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Mortgage loans and related fees for the third quarter and first nine months of 2012 were up $1.65 million, or 144%, and $3.63 million, or 101%, respectively, from the same periods in 2011. In the third quarter of 2012, United closed 685 loans totaling $108 million compared with 387 loans totaling $57 million in the third quarter of 2011. Origination volumes were driven by the changing interest rate environment which had a significant impact on refinancing activity. Year-to-date mortgage production in 2012 amounted to 1,709 loans totaling $269 million, compared to 1,217 loans totaling $182 million for the same period in 2011.</w:t>
      </w:r>
    </w:p>
    <w:p>
      <w:pPr>
        <w:spacing w:after="0" w:line="11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There were no net securities gains in the third quarter of 2012 or 2011 and $7.05 million and $838,000, respectively, for the first nine months of 2012 and 2011. For the first nine months of 2012 and 2011, United also recognized charges from the prepayment of Federal Home Loan Bank advances and structured repurchase agreements. The losses were part of the same balance sheet management activities that resulted in the securities gains. The balance sheet management activities included the sale of $175 million in securities and the prepayment of $75 million in fixed rate borrowings during the second quarter of 2012, the effect of which was to reduce sensitivity to rising interest rates and improve the net interest margin. The securities gains and prepayment losses were mostly offsetting and had little net impact on financial results in the periods incurred.</w:t>
      </w:r>
    </w:p>
    <w:p>
      <w:pPr>
        <w:spacing w:after="0" w:line="120"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In the third quarter of 2012, United recognized $608,000 in net gains from hedge ineffectiveness compared with $575,000 in the third quarter of 2011. Third quarter 2012 hedge ineffectiveness is reported net of $271,500 in accelerated amortization of prepaid broker fees on a brokered certificate of deposit that was called during the quarter. The brokered certificate of deposit was called at the same time the callable swap that was hedging the brokered certificate of deposit was called. The accelerated amortization is presented as a component of hedge ineffectiveness as the broker fee was embedded in the swap contract that was hedging the fair value of the brokered certificate of deposit and therefore resulted in an offsetting gain at he time the swap was called.</w:t>
      </w:r>
    </w:p>
    <w:p>
      <w:pPr>
        <w:spacing w:after="0" w:line="116"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For the first nine months of 2012, United recognized $543,000 in gains from hedge ineffectiveness compared with $4.69 million in gains for the same period of 2011. Much of the hedge ineffectiveness relates to terminated cash flow hedges where the gains realized on the terminated positions are being deferred over the original term of the derivative instrument. The ineffectiveness, which was caused by a decrease in qualifying prime-based loans, results in the accelerated recognition of the deferred gains. In 2012, much of the hedge ineffectiveness gains and losses resulted from ineffectiveness on fair value hedges of brokered deposits.</w:t>
      </w:r>
    </w:p>
    <w:p>
      <w:pPr>
        <w:spacing w:after="0" w:line="14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Other fee revenue of $1.95 million for the third quarter of 2012 was up $546,000, or 39%. Fees from customer swap transactions earned under United’s recently initiated back-to-back customer swap program account for $279,000 of the increase. Also contributing to the increase were gains and losses on United’s deferred compensation plan assets. In the third quarter of 2012, United reported gains of $153,000 compared with losses of $386,000 for the same period of 2011. Gains and losses on deferred compensation plan assets are completely offset in salaries and employee benefit expense by losses and gains on United’s deferred compensation plan liability.</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For the first nine months of 2012, other fee revenue of $8.25 million was up $3.41 million, or 70%, from the same period in 2011. The first nine months of 2012 included $1.10 million in interest received for 2008’s federal tax refund and $728,000 in gains from the sale of low income housing tax credits, which were recorded in the first quarter. Mark to market adjustments on deferred compensation plan assets account for most of the remaining increase.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components of operating expenses for the three and nine months ended September 30, 2012 and 2011.</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6 - Operating Expenses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162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w w:val="95"/>
              </w:rPr>
              <w:t>Three Months Ended</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88"/>
              </w:rPr>
              <w:t>Nine Months Ended</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720" w:type="dxa"/>
            <w:vAlign w:val="bottom"/>
          </w:tcPr>
          <w:p>
            <w:pPr>
              <w:spacing w:after="0"/>
              <w:rPr>
                <w:sz w:val="14"/>
                <w:szCs w:val="14"/>
                <w:color w:val="auto"/>
              </w:rPr>
            </w:pPr>
          </w:p>
        </w:tc>
        <w:tc>
          <w:tcPr>
            <w:tcW w:w="162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4"/>
                <w:szCs w:val="14"/>
                <w:color w:val="auto"/>
              </w:rPr>
            </w:pPr>
          </w:p>
        </w:tc>
        <w:tc>
          <w:tcPr>
            <w:tcW w:w="144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Change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85"/>
              </w:rPr>
              <w:t>September 30,</w:t>
            </w:r>
          </w:p>
        </w:tc>
        <w:tc>
          <w:tcPr>
            <w:tcW w:w="80" w:type="dxa"/>
            <w:vAlign w:val="bottom"/>
          </w:tcPr>
          <w:p>
            <w:pPr>
              <w:spacing w:after="0"/>
              <w:rPr>
                <w:sz w:val="14"/>
                <w:szCs w:val="1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Change</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2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2011</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Amount</w:t>
            </w:r>
          </w:p>
        </w:tc>
        <w:tc>
          <w:tcPr>
            <w:tcW w:w="28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Percent</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2011</w:t>
            </w:r>
          </w:p>
        </w:tc>
        <w:tc>
          <w:tcPr>
            <w:tcW w:w="2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6"/>
              </w:rPr>
              <w:t>Amount</w:t>
            </w:r>
          </w:p>
        </w:tc>
        <w:tc>
          <w:tcPr>
            <w:tcW w:w="28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5"/>
              </w:rPr>
              <w:t>Percent</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Salaries and employee benefits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$22,918</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$25,262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7"/>
              </w:rPr>
              <w:t>$(2,344)</w:t>
            </w:r>
          </w:p>
        </w:tc>
        <w:tc>
          <w:tcPr>
            <w:tcW w:w="2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72,440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76,622</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(4,182)</w:t>
            </w:r>
          </w:p>
        </w:tc>
        <w:tc>
          <w:tcPr>
            <w:tcW w:w="2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Communications and equipment</w:t>
            </w:r>
          </w:p>
        </w:tc>
        <w:tc>
          <w:tcPr>
            <w:tcW w:w="580" w:type="dxa"/>
            <w:vAlign w:val="bottom"/>
          </w:tcPr>
          <w:p>
            <w:pPr>
              <w:jc w:val="right"/>
              <w:spacing w:after="0"/>
              <w:rPr>
                <w:sz w:val="20"/>
                <w:szCs w:val="20"/>
                <w:color w:val="auto"/>
              </w:rPr>
            </w:pPr>
            <w:r>
              <w:rPr>
                <w:rFonts w:ascii="Arial" w:cs="Arial" w:eastAsia="Arial" w:hAnsi="Arial"/>
                <w:sz w:val="18"/>
                <w:szCs w:val="18"/>
                <w:color w:val="auto"/>
              </w:rPr>
              <w:t>3,254</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3,284</w:t>
            </w:r>
          </w:p>
        </w:tc>
        <w:tc>
          <w:tcPr>
            <w:tcW w:w="180" w:type="dxa"/>
            <w:vAlign w:val="bottom"/>
          </w:tcPr>
          <w:p>
            <w:pPr>
              <w:spacing w:after="0"/>
              <w:rPr>
                <w:sz w:val="18"/>
                <w:szCs w:val="18"/>
                <w:color w:val="auto"/>
              </w:rPr>
            </w:pPr>
          </w:p>
        </w:tc>
        <w:tc>
          <w:tcPr>
            <w:tcW w:w="940" w:type="dxa"/>
            <w:vAlign w:val="bottom"/>
            <w:gridSpan w:val="3"/>
          </w:tcPr>
          <w:p>
            <w:pPr>
              <w:jc w:val="right"/>
              <w:ind w:right="220"/>
              <w:spacing w:after="0"/>
              <w:rPr>
                <w:sz w:val="20"/>
                <w:szCs w:val="20"/>
                <w:color w:val="auto"/>
              </w:rPr>
            </w:pPr>
            <w:r>
              <w:rPr>
                <w:rFonts w:ascii="Arial" w:cs="Arial" w:eastAsia="Arial" w:hAnsi="Arial"/>
                <w:sz w:val="18"/>
                <w:szCs w:val="18"/>
                <w:color w:val="auto"/>
              </w:rPr>
              <w:t>(30)</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9,620</w:t>
            </w: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10,006</w:t>
            </w:r>
          </w:p>
        </w:tc>
        <w:tc>
          <w:tcPr>
            <w:tcW w:w="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(386)</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Occupancy</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3,539</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3,794</w:t>
            </w:r>
          </w:p>
        </w:tc>
        <w:tc>
          <w:tcPr>
            <w:tcW w:w="1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(255)</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10,849</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11,673</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(824)</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Advertising and public relations</w:t>
            </w:r>
          </w:p>
        </w:tc>
        <w:tc>
          <w:tcPr>
            <w:tcW w:w="580" w:type="dxa"/>
            <w:vAlign w:val="bottom"/>
          </w:tcPr>
          <w:p>
            <w:pPr>
              <w:jc w:val="right"/>
              <w:spacing w:after="0"/>
              <w:rPr>
                <w:sz w:val="20"/>
                <w:szCs w:val="20"/>
                <w:color w:val="auto"/>
              </w:rPr>
            </w:pPr>
            <w:r>
              <w:rPr>
                <w:rFonts w:ascii="Arial" w:cs="Arial" w:eastAsia="Arial" w:hAnsi="Arial"/>
                <w:sz w:val="18"/>
                <w:szCs w:val="18"/>
                <w:color w:val="auto"/>
              </w:rPr>
              <w:t>934</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1,052</w:t>
            </w:r>
          </w:p>
        </w:tc>
        <w:tc>
          <w:tcPr>
            <w:tcW w:w="180" w:type="dxa"/>
            <w:vAlign w:val="bottom"/>
          </w:tcPr>
          <w:p>
            <w:pPr>
              <w:spacing w:after="0"/>
              <w:rPr>
                <w:sz w:val="18"/>
                <w:szCs w:val="18"/>
                <w:color w:val="auto"/>
              </w:rPr>
            </w:pPr>
          </w:p>
        </w:tc>
        <w:tc>
          <w:tcPr>
            <w:tcW w:w="940" w:type="dxa"/>
            <w:vAlign w:val="bottom"/>
            <w:gridSpan w:val="3"/>
          </w:tcPr>
          <w:p>
            <w:pPr>
              <w:jc w:val="right"/>
              <w:ind w:right="220"/>
              <w:spacing w:after="0"/>
              <w:rPr>
                <w:sz w:val="20"/>
                <w:szCs w:val="20"/>
                <w:color w:val="auto"/>
              </w:rPr>
            </w:pPr>
            <w:r>
              <w:rPr>
                <w:rFonts w:ascii="Arial" w:cs="Arial" w:eastAsia="Arial" w:hAnsi="Arial"/>
                <w:sz w:val="18"/>
                <w:szCs w:val="18"/>
                <w:color w:val="auto"/>
              </w:rPr>
              <w:t>(118)</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2,868</w:t>
            </w: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3,347</w:t>
            </w:r>
          </w:p>
        </w:tc>
        <w:tc>
          <w:tcPr>
            <w:tcW w:w="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(479)</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Postage, printing and supplies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1,036</w:t>
            </w:r>
          </w:p>
        </w:tc>
        <w:tc>
          <w:tcPr>
            <w:tcW w:w="1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(82)</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2,849</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3,239</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(390)</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Professional fees</w:t>
            </w:r>
          </w:p>
        </w:tc>
        <w:tc>
          <w:tcPr>
            <w:tcW w:w="580" w:type="dxa"/>
            <w:vAlign w:val="bottom"/>
          </w:tcPr>
          <w:p>
            <w:pPr>
              <w:jc w:val="right"/>
              <w:spacing w:after="0"/>
              <w:rPr>
                <w:sz w:val="20"/>
                <w:szCs w:val="20"/>
                <w:color w:val="auto"/>
              </w:rPr>
            </w:pPr>
            <w:r>
              <w:rPr>
                <w:rFonts w:ascii="Arial" w:cs="Arial" w:eastAsia="Arial" w:hAnsi="Arial"/>
                <w:sz w:val="18"/>
                <w:szCs w:val="18"/>
                <w:color w:val="auto"/>
              </w:rPr>
              <w:t>2,180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2,051</w:t>
            </w:r>
          </w:p>
        </w:tc>
        <w:tc>
          <w:tcPr>
            <w:tcW w:w="180" w:type="dxa"/>
            <w:vAlign w:val="bottom"/>
          </w:tcPr>
          <w:p>
            <w:pPr>
              <w:spacing w:after="0"/>
              <w:rPr>
                <w:sz w:val="18"/>
                <w:szCs w:val="18"/>
                <w:color w:val="auto"/>
              </w:rPr>
            </w:pPr>
          </w:p>
        </w:tc>
        <w:tc>
          <w:tcPr>
            <w:tcW w:w="940" w:type="dxa"/>
            <w:vAlign w:val="bottom"/>
            <w:gridSpan w:val="3"/>
          </w:tcPr>
          <w:p>
            <w:pPr>
              <w:jc w:val="right"/>
              <w:ind w:right="280"/>
              <w:spacing w:after="0"/>
              <w:rPr>
                <w:sz w:val="20"/>
                <w:szCs w:val="20"/>
                <w:color w:val="auto"/>
              </w:rPr>
            </w:pPr>
            <w:r>
              <w:rPr>
                <w:rFonts w:ascii="Arial" w:cs="Arial" w:eastAsia="Arial" w:hAnsi="Arial"/>
                <w:sz w:val="18"/>
                <w:szCs w:val="18"/>
                <w:color w:val="auto"/>
              </w:rPr>
              <w:t>129</w:t>
            </w:r>
          </w:p>
        </w:tc>
        <w:tc>
          <w:tcPr>
            <w:tcW w:w="460" w:type="dxa"/>
            <w:vAlign w:val="bottom"/>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6,107</w:t>
            </w: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7,731</w:t>
            </w:r>
          </w:p>
        </w:tc>
        <w:tc>
          <w:tcPr>
            <w:tcW w:w="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(1,624)</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FDIC assessments and other regulatory charges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2,537</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2,603</w:t>
            </w:r>
          </w:p>
        </w:tc>
        <w:tc>
          <w:tcPr>
            <w:tcW w:w="1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(66)</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7,592</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11,660</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(4,068)</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Amortization of intangibles</w:t>
            </w:r>
          </w:p>
        </w:tc>
        <w:tc>
          <w:tcPr>
            <w:tcW w:w="580" w:type="dxa"/>
            <w:vAlign w:val="bottom"/>
          </w:tcPr>
          <w:p>
            <w:pPr>
              <w:jc w:val="right"/>
              <w:spacing w:after="0"/>
              <w:rPr>
                <w:sz w:val="20"/>
                <w:szCs w:val="20"/>
                <w:color w:val="auto"/>
              </w:rPr>
            </w:pPr>
            <w:r>
              <w:rPr>
                <w:rFonts w:ascii="Arial" w:cs="Arial" w:eastAsia="Arial" w:hAnsi="Arial"/>
                <w:sz w:val="18"/>
                <w:szCs w:val="18"/>
                <w:color w:val="auto"/>
              </w:rPr>
              <w:t>728</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748</w:t>
            </w:r>
          </w:p>
        </w:tc>
        <w:tc>
          <w:tcPr>
            <w:tcW w:w="180" w:type="dxa"/>
            <w:vAlign w:val="bottom"/>
          </w:tcPr>
          <w:p>
            <w:pPr>
              <w:spacing w:after="0"/>
              <w:rPr>
                <w:sz w:val="18"/>
                <w:szCs w:val="18"/>
                <w:color w:val="auto"/>
              </w:rPr>
            </w:pPr>
          </w:p>
        </w:tc>
        <w:tc>
          <w:tcPr>
            <w:tcW w:w="940" w:type="dxa"/>
            <w:vAlign w:val="bottom"/>
            <w:gridSpan w:val="3"/>
          </w:tcPr>
          <w:p>
            <w:pPr>
              <w:jc w:val="right"/>
              <w:ind w:right="220"/>
              <w:spacing w:after="0"/>
              <w:rPr>
                <w:sz w:val="20"/>
                <w:szCs w:val="20"/>
                <w:color w:val="auto"/>
              </w:rPr>
            </w:pPr>
            <w:r>
              <w:rPr>
                <w:rFonts w:ascii="Arial" w:cs="Arial" w:eastAsia="Arial" w:hAnsi="Arial"/>
                <w:sz w:val="18"/>
                <w:szCs w:val="18"/>
                <w:color w:val="auto"/>
              </w:rPr>
              <w:t>(20)</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2,190</w:t>
            </w: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2,270</w:t>
            </w:r>
          </w:p>
        </w:tc>
        <w:tc>
          <w:tcPr>
            <w:tcW w:w="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(80)</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4,033</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156</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12,151</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14,368</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(2,217)</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4720" w:type="dxa"/>
            <w:vAlign w:val="bottom"/>
            <w:vMerge w:val="restart"/>
          </w:tcPr>
          <w:p>
            <w:pPr>
              <w:ind w:left="440"/>
              <w:spacing w:after="0"/>
              <w:rPr>
                <w:sz w:val="20"/>
                <w:szCs w:val="20"/>
                <w:color w:val="auto"/>
              </w:rPr>
            </w:pPr>
            <w:r>
              <w:rPr>
                <w:rFonts w:ascii="Arial" w:cs="Arial" w:eastAsia="Arial" w:hAnsi="Arial"/>
                <w:sz w:val="18"/>
                <w:szCs w:val="18"/>
                <w:color w:val="auto"/>
              </w:rPr>
              <w:t>Total excluding foreclosed property expenses</w:t>
            </w: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line="20" w:lineRule="exact"/>
              <w:rPr>
                <w:sz w:val="1"/>
                <w:szCs w:val="1"/>
                <w:color w:val="auto"/>
              </w:rPr>
            </w:pPr>
          </w:p>
        </w:tc>
      </w:tr>
      <w:tr>
        <w:trPr>
          <w:trHeight w:val="221"/>
        </w:trPr>
        <w:tc>
          <w:tcPr>
            <w:tcW w:w="4720" w:type="dxa"/>
            <w:vAlign w:val="bottom"/>
            <w:vMerge w:val="continue"/>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41,077</w:t>
            </w:r>
          </w:p>
        </w:tc>
        <w:tc>
          <w:tcPr>
            <w:tcW w:w="2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43,707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(2,630)</w:t>
            </w:r>
          </w:p>
        </w:tc>
        <w:tc>
          <w:tcPr>
            <w:tcW w:w="6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126,666</w:t>
            </w:r>
          </w:p>
        </w:tc>
        <w:tc>
          <w:tcPr>
            <w:tcW w:w="100" w:type="dxa"/>
            <w:vAlign w:val="bottom"/>
          </w:tcPr>
          <w:p>
            <w:pPr>
              <w:spacing w:after="0"/>
              <w:rPr>
                <w:sz w:val="19"/>
                <w:szCs w:val="19"/>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140,916</w:t>
            </w:r>
          </w:p>
        </w:tc>
        <w:tc>
          <w:tcPr>
            <w:tcW w:w="8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(14,250)</w:t>
            </w:r>
          </w:p>
        </w:tc>
        <w:tc>
          <w:tcPr>
            <w:tcW w:w="5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Net losses (gains) on sales of foreclosed properties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(804)</w:t>
            </w:r>
          </w:p>
        </w:tc>
        <w:tc>
          <w:tcPr>
            <w:tcW w:w="9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1,154</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174</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7,998</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(7,824)</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Foreclosed property write downs</w:t>
            </w:r>
          </w:p>
        </w:tc>
        <w:tc>
          <w:tcPr>
            <w:tcW w:w="580" w:type="dxa"/>
            <w:vAlign w:val="bottom"/>
          </w:tcPr>
          <w:p>
            <w:pPr>
              <w:jc w:val="right"/>
              <w:spacing w:after="0"/>
              <w:rPr>
                <w:sz w:val="20"/>
                <w:szCs w:val="20"/>
                <w:color w:val="auto"/>
              </w:rPr>
            </w:pPr>
            <w:r>
              <w:rPr>
                <w:rFonts w:ascii="Arial" w:cs="Arial" w:eastAsia="Arial" w:hAnsi="Arial"/>
                <w:sz w:val="18"/>
                <w:szCs w:val="18"/>
                <w:color w:val="auto"/>
              </w:rPr>
              <w:t>2,394</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1,772</w:t>
            </w:r>
          </w:p>
        </w:tc>
        <w:tc>
          <w:tcPr>
            <w:tcW w:w="180" w:type="dxa"/>
            <w:vAlign w:val="bottom"/>
          </w:tcPr>
          <w:p>
            <w:pPr>
              <w:spacing w:after="0"/>
              <w:rPr>
                <w:sz w:val="18"/>
                <w:szCs w:val="18"/>
                <w:color w:val="auto"/>
              </w:rPr>
            </w:pPr>
          </w:p>
        </w:tc>
        <w:tc>
          <w:tcPr>
            <w:tcW w:w="940" w:type="dxa"/>
            <w:vAlign w:val="bottom"/>
            <w:gridSpan w:val="3"/>
          </w:tcPr>
          <w:p>
            <w:pPr>
              <w:jc w:val="right"/>
              <w:ind w:right="280"/>
              <w:spacing w:after="0"/>
              <w:rPr>
                <w:sz w:val="20"/>
                <w:szCs w:val="20"/>
                <w:color w:val="auto"/>
              </w:rPr>
            </w:pPr>
            <w:r>
              <w:rPr>
                <w:rFonts w:ascii="Arial" w:cs="Arial" w:eastAsia="Arial" w:hAnsi="Arial"/>
                <w:sz w:val="18"/>
                <w:szCs w:val="18"/>
                <w:color w:val="auto"/>
              </w:rPr>
              <w:t>622</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5,513</w:t>
            </w: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53,475</w:t>
            </w:r>
          </w:p>
        </w:tc>
        <w:tc>
          <w:tcPr>
            <w:tcW w:w="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(47,962)</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Foreclosed property maintenance expenses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(883)</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3,695</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8,130</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(4,435)</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4720" w:type="dxa"/>
            <w:vAlign w:val="bottom"/>
            <w:vMerge w:val="restart"/>
          </w:tcPr>
          <w:p>
            <w:pPr>
              <w:ind w:left="440"/>
              <w:spacing w:after="0"/>
              <w:rPr>
                <w:sz w:val="20"/>
                <w:szCs w:val="20"/>
                <w:color w:val="auto"/>
              </w:rPr>
            </w:pPr>
            <w:r>
              <w:rPr>
                <w:rFonts w:ascii="Arial" w:cs="Arial" w:eastAsia="Arial" w:hAnsi="Arial"/>
                <w:sz w:val="18"/>
                <w:szCs w:val="18"/>
                <w:color w:val="auto"/>
              </w:rPr>
              <w:t>Total operating expenses</w:t>
            </w: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line="20" w:lineRule="exact"/>
              <w:rPr>
                <w:sz w:val="1"/>
                <w:szCs w:val="1"/>
                <w:color w:val="auto"/>
              </w:rPr>
            </w:pPr>
          </w:p>
        </w:tc>
      </w:tr>
      <w:tr>
        <w:trPr>
          <w:trHeight w:val="222"/>
        </w:trPr>
        <w:tc>
          <w:tcPr>
            <w:tcW w:w="4720" w:type="dxa"/>
            <w:vAlign w:val="bottom"/>
            <w:vMerge w:val="continue"/>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44,783</w:t>
            </w:r>
          </w:p>
        </w:tc>
        <w:tc>
          <w:tcPr>
            <w:tcW w:w="2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46,520</w:t>
            </w:r>
          </w:p>
        </w:tc>
        <w:tc>
          <w:tcPr>
            <w:tcW w:w="180" w:type="dxa"/>
            <w:vAlign w:val="bottom"/>
          </w:tcPr>
          <w:p>
            <w:pPr>
              <w:spacing w:after="0"/>
              <w:rPr>
                <w:sz w:val="19"/>
                <w:szCs w:val="19"/>
                <w:color w:val="auto"/>
              </w:rPr>
            </w:pPr>
          </w:p>
        </w:tc>
        <w:tc>
          <w:tcPr>
            <w:tcW w:w="940" w:type="dxa"/>
            <w:vAlign w:val="bottom"/>
            <w:gridSpan w:val="3"/>
          </w:tcPr>
          <w:p>
            <w:pPr>
              <w:jc w:val="right"/>
              <w:ind w:right="2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(1,737)</w:t>
            </w:r>
          </w:p>
        </w:tc>
        <w:tc>
          <w:tcPr>
            <w:tcW w:w="620" w:type="dxa"/>
            <w:vAlign w:val="bottom"/>
            <w:gridSpan w:val="2"/>
            <w:vMerge w:val="continue"/>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136,048</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210,519</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(74,471)</w:t>
            </w:r>
          </w:p>
        </w:tc>
        <w:tc>
          <w:tcPr>
            <w:tcW w:w="5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Operating expenses for the third quarter of 2012 totaled $44.8 million, down $1.74 million, or 4%, from the third quarter of 2011. For the nine months ended September 30, 2012, operating expenses totaled $136 million, down $74.5 million, or 35%, from the same period in 2011. Higher foreclosed property losses incurred in connection with United’s Problem Asset Disposition Plan were reflected in the nine months ended September 30, 2011. Excluding foreclosed property costs, total operating expenses were $41.1 million and $127 million, respectively, for the three and nine months ended September 30, 2012, down $2.63 million, or 6%, from the third quarter of 2011 and down $14.3 million, or 10%, from a year ago. Decreases in operating expenses occurred in nearly every category reflecting management’s focused efforts in reducing costs and improving operating efficiency.</w:t>
      </w:r>
    </w:p>
    <w:p>
      <w:pPr>
        <w:spacing w:after="0" w:line="120"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Salaries and employee benefits for the third quarter of 2012 were $22.9 million, down $2.34 million, or 9%, from the same period of 2011. For the first nine months of 2012, salaries and employee benefits of $72.4 million were down $4.18 million, or 5%, from the first nine months of 2011. The decrease was due to a combination of reduced staffing, lower group medical insurance costs and a 50% reduction in the matching contribution on United’s 401(k) and profit sharing plan that became effective on April 1, 2012. Headcount totaled 1,592 at September 30, 2012, compared to 1,762 at September 30, 2011, a decrease of 170 positions.</w:t>
      </w:r>
    </w:p>
    <w:p>
      <w:pPr>
        <w:spacing w:after="0" w:line="143"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Occupancy expense of $3.54 million and $10.8 million, respectively, for the third quarter and first nine months of 2012 was down $255,000, or 7%, and down $824,000, or 7%, respectively, compared to the same periods of 2011. The decrease was across all subcategories of occupancy expense including building maintenance, insurance and depreciation.</w:t>
      </w:r>
    </w:p>
    <w:p>
      <w:pPr>
        <w:spacing w:after="0" w:line="14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Advertising and public relations expense for the third quarter of 2012 totaled $934,000, down $118,000, or 11%, from the third quarter of 2011. For the nine months ended September 30, 2012 and 2011, advertising and public relations expense totaled $2.87 million and $3.35 million, respectively. The decrease for both periods is due to efforts to reduce discretionary spending.</w:t>
      </w:r>
    </w:p>
    <w:p>
      <w:pPr>
        <w:spacing w:after="0" w:line="140"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Postage, printing and supplies expense for the third quarter of 2012 totaled $954,000, down $82,000, or 8%, from the same period of 2011. For the nine months ended September 30, 2012 and 2011, postage, printing and supplies expense totaled $2.85 million and $3.24 million, respectively. The decrease was primarily due to lower postage and outside courier expenses reflecting further use of electronic statements and technology.</w:t>
      </w:r>
    </w:p>
    <w:p>
      <w:pPr>
        <w:spacing w:after="0" w:line="10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Professional fees for the third quarter of 2012 of $2.18 million were up $129,000, or 6%, from the same period in 2011. For the nine months ended September 30, 2012 professional fees of $6.11 million were down $1.62 million, or 21%, primarily due to professional service costs associated with the Bulk Loan Sale that were incurred in the first quarter of 2011.</w:t>
      </w:r>
    </w:p>
    <w:p>
      <w:pPr>
        <w:spacing w:after="0" w:line="140" w:lineRule="exact"/>
        <w:rPr>
          <w:sz w:val="20"/>
          <w:szCs w:val="20"/>
          <w:color w:val="auto"/>
        </w:rPr>
      </w:pPr>
    </w:p>
    <w:p>
      <w:pPr>
        <w:jc w:val="both"/>
        <w:ind w:right="260"/>
        <w:spacing w:after="0" w:line="256" w:lineRule="auto"/>
        <w:rPr>
          <w:sz w:val="20"/>
          <w:szCs w:val="20"/>
          <w:color w:val="auto"/>
        </w:rPr>
      </w:pPr>
      <w:r>
        <w:rPr>
          <w:rFonts w:ascii="Arial" w:cs="Arial" w:eastAsia="Arial" w:hAnsi="Arial"/>
          <w:sz w:val="18"/>
          <w:szCs w:val="18"/>
          <w:color w:val="auto"/>
        </w:rPr>
        <w:t>FDIC assessments and other regulatory charges of $2.54 million and $7.59 million, respectively, for the third quarter and first nine months of 2012, decreased $66,000, or 3%, from the third quarter of 2011 and decreased $4.07 million, or 35%, compared to the first nine months of 2011. The FDIC’s change to an asset based formula effective April 1, 2011 was more favorable to United and lowered United’s assessment. United’s assessment rate was reduced further late in the second quarter of 2011.</w:t>
      </w:r>
    </w:p>
    <w:p>
      <w:pPr>
        <w:sectPr>
          <w:pgSz w:w="11900" w:h="16838" w:orient="portrait"/>
          <w:cols w:equalWidth="0" w:num="1">
            <w:col w:w="11420"/>
          </w:cols>
          <w:pgMar w:left="240" w:top="459" w:right="239" w:bottom="1440" w:gutter="0" w:footer="0" w:header="0"/>
        </w:sectPr>
      </w:pP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20"/>
          </w:cols>
          <w:pgMar w:left="240" w:top="459" w:right="239" w:bottom="1440" w:gutter="0" w:footer="0" w:header="0"/>
          <w:type w:val="continuous"/>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80"/>
        <w:spacing w:after="0" w:line="256" w:lineRule="auto"/>
        <w:rPr>
          <w:sz w:val="20"/>
          <w:szCs w:val="20"/>
          <w:color w:val="auto"/>
        </w:rPr>
      </w:pPr>
      <w:r>
        <w:rPr>
          <w:rFonts w:ascii="Arial" w:cs="Arial" w:eastAsia="Arial" w:hAnsi="Arial"/>
          <w:sz w:val="18"/>
          <w:szCs w:val="18"/>
          <w:color w:val="auto"/>
        </w:rPr>
        <w:t>Other expense of $4.03 million for the third quarter of 2012 increased $156,000 from the third quarter of 2011. Year-to-date, other expense of $12.2 million decreased $2.22 million from the first nine months of 2011. The year-to-date decrease was primarily due to $2.60 million of property taxes and other loan collateral costs incurred to prepare loans for the Bulk Loan Sale in the first quarter of 2011. The increase for the quarter was primarily due to higher loan collection costs and other lending support.</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Net losses on sales of foreclosed property totaled $350,000 for the third quarter of 2012, compared to net gains on sale of $804,000 for the third quarter of 2011.</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For the nine months ended September 30, 2012, net losses on sale were $174,000 compared to net losses on sale of $8.00 million for the same period of the prior</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year. Foreclosed property write-downs for the third quarter and first nine months of 2012 were $2.39 million and $5.51 million, respectively, compared to $1.77</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million and $53.5 million, respectively, a year ago. The year to date decrease reflected higher write downs in the first half of 2011 on foreclosed properties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expedite sales under the Problem Asset Disposition Plan. The third quarter increase reflects some property value deterioration on reappraised properties.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Foreclosed property maintenance expenses include legal fees, property taxes, marketing costs, utility services, maintenance and repair charges that totaled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$962,000 and $3.70 million, respectively, for the third quarter and first nine months of 2012 compared with $1.85 million and $8.13 million, respectively, a year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ago.</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40"/>
        <w:spacing w:after="0" w:line="335" w:lineRule="auto"/>
        <w:rPr>
          <w:sz w:val="20"/>
          <w:szCs w:val="20"/>
          <w:color w:val="auto"/>
        </w:rPr>
      </w:pPr>
      <w:r>
        <w:rPr>
          <w:rFonts w:ascii="Arial" w:cs="Arial" w:eastAsia="Arial" w:hAnsi="Arial"/>
          <w:sz w:val="15"/>
          <w:szCs w:val="15"/>
          <w:color w:val="auto"/>
        </w:rPr>
        <w:t>Income tax benefit for the third quarter of 2012 was $135,000 as compared with income tax benefit of $822,000 for the third quarter of 2011, representing an effective tax rate of approximately (1.29)% and 6.76%, respectively. Because of the full valuation allowance on United’s net deferred tax asset, United’s tax expense on its pre-tax earnings represents adjustments to its reserve for uncertain tax positions and amounts payable under the Federal Alternative Minimum Tax.</w:t>
      </w:r>
    </w:p>
    <w:p>
      <w:pPr>
        <w:spacing w:after="0" w:line="8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At September 30, 2012, United reported no net deferred tax asset due to a full valuation allowance of $272 million. The Financial Accounting Standard’s Board Accounting Standards Codification (“ASC”) 740, </w:t>
      </w:r>
      <w:r>
        <w:rPr>
          <w:rFonts w:ascii="Arial" w:cs="Arial" w:eastAsia="Arial" w:hAnsi="Arial"/>
          <w:sz w:val="16"/>
          <w:szCs w:val="16"/>
          <w:i w:val="1"/>
          <w:iCs w:val="1"/>
          <w:color w:val="auto"/>
        </w:rPr>
        <w:t>Income Taxes</w:t>
      </w:r>
      <w:r>
        <w:rPr>
          <w:rFonts w:ascii="Arial" w:cs="Arial" w:eastAsia="Arial" w:hAnsi="Arial"/>
          <w:sz w:val="16"/>
          <w:szCs w:val="16"/>
          <w:color w:val="auto"/>
        </w:rPr>
        <w:t>, requires that companies assess whether a valuation allowance should be established against their deferred tax assets based on the consideration of all available evidence using a “more likely than not” standard. Management considers both positive and negative evidence and analyzes changes in near-term market conditions as well as other factors which may impact future operating results. In making such judgments, significant weight is given to evidence that can be objectively verified. The deferred tax assets are analyzed quarterly for changes affecting realizability. Because management has determined that the objective negative evidence outweighs the positive evidence, management has established a full valuation allowance against its net deferred tax asset. Currently, the significant positive evidence in our analysis includes a return to profitability for four consecutive quarterly periods and improvements in our profitability, capital levels, credit measures and asset quality ratios. The most significant negative evidence continues to be the historic losses recorded by United as a result of the financial and economic crisis, including the cumulative three-year loss position. However, with continued positive trends and experience of our financial performance and credit quality during the third quarter of 2012, the reliability of financial and credit projections may be given more weight in future periods if our current trends and performance continue.</w:t>
      </w:r>
    </w:p>
    <w:p>
      <w:pPr>
        <w:spacing w:after="0" w:line="12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As of February 22, 2011, United adopted a tax benefits preservation plan designed to protect its ability to utilize its substantial tax assets. Those tax assets include net operating losses that it could utilize in certain circumstances to offset taxable income and reduce its federal income tax liability and the future tax benefits from potential net unrealized built in losses. United’s ability to use its tax benefits would be substantially limited if it were to experience an ownership change as defined under Section 382. In general, an ownership change would occur if United’s “5-percent shareholders,” as defined under Section 382, collectively increase their ownership in United by more than 50% over a rolling three-year period. The tax benefits preservation plan is designed to reduce the likelihood that United will experience an ownership change by discouraging any person or group from becoming a beneficial owner of 4.99% or more of United’s common stock then outstanding.</w:t>
      </w:r>
    </w:p>
    <w:p>
      <w:pPr>
        <w:spacing w:after="0" w:line="147"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In connection with the tax benefits preservation plan, on February 22, 2011, United entered into a share exchange agreement with the Elm Ridge Parties to transfer to the Company 1,551,126 shares of United’s common stock, in exchange for 16,613 shares of the Company’s series D preferred shares and warrants to purchase 1,551,126 shares of common stock. Prior to entering into the share exchange agreement, collectively, the Elm Ridge Parties were United’s largest shareholder. By exchanging the Elm Ridge Parties’ common stock for the Series D Preferred Shares and warrants, United eliminated its only “5-percent shareholder” and, as a result, obtained further protection against an ownership change under Section 382.</w:t>
      </w:r>
    </w:p>
    <w:p>
      <w:pPr>
        <w:spacing w:after="0" w:line="1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Additional information regarding income taxes, including a reconciliation of the differences between the recorded income tax provision and the amount of income tax computed by applying the statutory federal income tax rate to income before income taxes, can be found in Note 15 to the consolidated financial statements filed with United’s Annual Report on Form 10-K for the year ended December 31, 2011.</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Review</w:t>
      </w:r>
    </w:p>
    <w:p>
      <w:pPr>
        <w:spacing w:after="0" w:line="96"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Total assets at September 30, 2012, December 31, 2011 and September 30, 2011 were $6.70 billion, $6.98 billion and $6.89 billion, respectively. Average total assets for the third quarter of 2012 were $6.65 billion, down from $7.00 billion in the third quarter of 2011.</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summary of the loan portfolio.</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7 - Loans Outstanding (excludes loans covered by loss share agreement)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15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83"/>
              </w:rPr>
              <w:t>September 30,</w:t>
            </w:r>
          </w:p>
        </w:tc>
        <w:tc>
          <w:tcPr>
            <w:tcW w:w="12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5"/>
              </w:rPr>
              <w:t>December 31,</w:t>
            </w:r>
          </w:p>
        </w:tc>
        <w:tc>
          <w:tcPr>
            <w:tcW w:w="260" w:type="dxa"/>
            <w:vAlign w:val="bottom"/>
          </w:tcPr>
          <w:p>
            <w:pPr>
              <w:spacing w:after="0"/>
              <w:rPr>
                <w:sz w:val="14"/>
                <w:szCs w:val="1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3"/>
              </w:rPr>
              <w:t>September 30,</w:t>
            </w:r>
          </w:p>
        </w:tc>
        <w:tc>
          <w:tcPr>
            <w:tcW w:w="0" w:type="dxa"/>
            <w:vAlign w:val="bottom"/>
          </w:tcPr>
          <w:p>
            <w:pPr>
              <w:spacing w:after="0"/>
              <w:rPr>
                <w:sz w:val="1"/>
                <w:szCs w:val="1"/>
                <w:color w:val="auto"/>
              </w:rPr>
            </w:pPr>
          </w:p>
        </w:tc>
      </w:tr>
      <w:tr>
        <w:trPr>
          <w:trHeight w:val="161"/>
        </w:trPr>
        <w:tc>
          <w:tcPr>
            <w:tcW w:w="5580" w:type="dxa"/>
            <w:vAlign w:val="bottom"/>
          </w:tcPr>
          <w:p>
            <w:pPr>
              <w:spacing w:after="0"/>
              <w:rPr>
                <w:sz w:val="14"/>
                <w:szCs w:val="14"/>
                <w:color w:val="auto"/>
              </w:rPr>
            </w:pPr>
          </w:p>
        </w:tc>
        <w:tc>
          <w:tcPr>
            <w:tcW w:w="820" w:type="dxa"/>
            <w:vAlign w:val="bottom"/>
          </w:tcPr>
          <w:p>
            <w:pPr>
              <w:jc w:val="right"/>
              <w:ind w:right="174"/>
              <w:spacing w:after="0"/>
              <w:rPr>
                <w:sz w:val="20"/>
                <w:szCs w:val="20"/>
                <w:color w:val="auto"/>
              </w:rPr>
            </w:pPr>
            <w:r>
              <w:rPr>
                <w:rFonts w:ascii="Arial" w:cs="Arial" w:eastAsia="Arial" w:hAnsi="Arial"/>
                <w:sz w:val="14"/>
                <w:szCs w:val="14"/>
                <w:b w:val="1"/>
                <w:bCs w:val="1"/>
                <w:color w:val="auto"/>
              </w:rPr>
              <w:t>2012</w:t>
            </w:r>
          </w:p>
        </w:tc>
        <w:tc>
          <w:tcPr>
            <w:tcW w:w="680" w:type="dxa"/>
            <w:vAlign w:val="bottom"/>
          </w:tcPr>
          <w:p>
            <w:pPr>
              <w:spacing w:after="0"/>
              <w:rPr>
                <w:sz w:val="14"/>
                <w:szCs w:val="14"/>
                <w:color w:val="auto"/>
              </w:rPr>
            </w:pPr>
          </w:p>
        </w:tc>
        <w:tc>
          <w:tcPr>
            <w:tcW w:w="800" w:type="dxa"/>
            <w:vAlign w:val="bottom"/>
          </w:tcPr>
          <w:p>
            <w:pPr>
              <w:jc w:val="right"/>
              <w:ind w:right="174"/>
              <w:spacing w:after="0"/>
              <w:rPr>
                <w:sz w:val="20"/>
                <w:szCs w:val="20"/>
                <w:color w:val="auto"/>
              </w:rPr>
            </w:pPr>
            <w:r>
              <w:rPr>
                <w:rFonts w:ascii="Arial" w:cs="Arial" w:eastAsia="Arial" w:hAnsi="Arial"/>
                <w:sz w:val="14"/>
                <w:szCs w:val="14"/>
                <w:b w:val="1"/>
                <w:bCs w:val="1"/>
                <w:color w:val="auto"/>
              </w:rPr>
              <w:t>2011</w:t>
            </w:r>
          </w:p>
        </w:tc>
        <w:tc>
          <w:tcPr>
            <w:tcW w:w="420" w:type="dxa"/>
            <w:vAlign w:val="bottom"/>
          </w:tcPr>
          <w:p>
            <w:pPr>
              <w:spacing w:after="0"/>
              <w:rPr>
                <w:sz w:val="14"/>
                <w:szCs w:val="14"/>
                <w:color w:val="auto"/>
              </w:rPr>
            </w:pPr>
          </w:p>
        </w:tc>
        <w:tc>
          <w:tcPr>
            <w:tcW w:w="1080" w:type="dxa"/>
            <w:vAlign w:val="bottom"/>
            <w:gridSpan w:val="2"/>
          </w:tcPr>
          <w:p>
            <w:pPr>
              <w:jc w:val="right"/>
              <w:ind w:right="196"/>
              <w:spacing w:after="0"/>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5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By Loan Type</w:t>
            </w:r>
          </w:p>
        </w:tc>
        <w:tc>
          <w:tcPr>
            <w:tcW w:w="8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Commercial (secured by real estate)</w:t>
            </w:r>
          </w:p>
        </w:tc>
        <w:tc>
          <w:tcPr>
            <w:tcW w:w="820" w:type="dxa"/>
            <w:vAlign w:val="bottom"/>
          </w:tcPr>
          <w:p>
            <w:pPr>
              <w:jc w:val="right"/>
              <w:spacing w:after="0"/>
              <w:rPr>
                <w:sz w:val="20"/>
                <w:szCs w:val="20"/>
                <w:color w:val="auto"/>
              </w:rPr>
            </w:pPr>
            <w:r>
              <w:rPr>
                <w:rFonts w:ascii="Arial" w:cs="Arial" w:eastAsia="Arial" w:hAnsi="Arial"/>
                <w:sz w:val="18"/>
                <w:szCs w:val="18"/>
                <w:color w:val="auto"/>
                <w:w w:val="84"/>
              </w:rPr>
              <w:t>$ 1,819,155</w:t>
            </w:r>
          </w:p>
        </w:tc>
        <w:tc>
          <w:tcPr>
            <w:tcW w:w="68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w w:val="86"/>
              </w:rPr>
              <w:t>$1,821,414</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$ 1,771,101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Commercial &amp; industrial</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459,997</w:t>
            </w:r>
          </w:p>
        </w:tc>
        <w:tc>
          <w:tcPr>
            <w:tcW w:w="6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428,249</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429,043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80" w:type="dxa"/>
            <w:vAlign w:val="bottom"/>
          </w:tcPr>
          <w:p>
            <w:pPr>
              <w:spacing w:after="0"/>
              <w:rPr>
                <w:sz w:val="20"/>
                <w:szCs w:val="20"/>
                <w:color w:val="auto"/>
              </w:rPr>
            </w:pPr>
            <w:r>
              <w:rPr>
                <w:rFonts w:ascii="Arial" w:cs="Arial" w:eastAsia="Arial" w:hAnsi="Arial"/>
                <w:sz w:val="18"/>
                <w:szCs w:val="18"/>
                <w:color w:val="auto"/>
              </w:rPr>
              <w:t>Commercial construction</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160,765</w:t>
            </w:r>
          </w:p>
        </w:tc>
        <w:tc>
          <w:tcPr>
            <w:tcW w:w="68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164,155</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168,531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commercial</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2,439,917</w:t>
            </w:r>
          </w:p>
        </w:tc>
        <w:tc>
          <w:tcPr>
            <w:tcW w:w="6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7"/>
              </w:rPr>
              <w:t>2,413,818</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2,368,675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Residential mortgage</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1,174,236</w:t>
            </w:r>
          </w:p>
        </w:tc>
        <w:tc>
          <w:tcPr>
            <w:tcW w:w="68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w w:val="97"/>
              </w:rPr>
              <w:t>1,134,902</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1,149,678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Residential construction</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388,742</w:t>
            </w:r>
          </w:p>
        </w:tc>
        <w:tc>
          <w:tcPr>
            <w:tcW w:w="6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448,391</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474,552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80" w:type="dxa"/>
            <w:vAlign w:val="bottom"/>
          </w:tcPr>
          <w:p>
            <w:pPr>
              <w:spacing w:after="0"/>
              <w:rPr>
                <w:sz w:val="20"/>
                <w:szCs w:val="20"/>
                <w:color w:val="auto"/>
              </w:rPr>
            </w:pPr>
            <w:r>
              <w:rPr>
                <w:rFonts w:ascii="Arial" w:cs="Arial" w:eastAsia="Arial" w:hAnsi="Arial"/>
                <w:sz w:val="18"/>
                <w:szCs w:val="18"/>
                <w:color w:val="auto"/>
              </w:rPr>
              <w:t>Consumer installment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134,950</w:t>
            </w:r>
          </w:p>
        </w:tc>
        <w:tc>
          <w:tcPr>
            <w:tcW w:w="68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112,503</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116,970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loans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$ 4,137,845</w:t>
            </w:r>
          </w:p>
        </w:tc>
        <w:tc>
          <w:tcPr>
            <w:tcW w:w="6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4,109,614</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$ 4,109,875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Arial" w:cs="Arial" w:eastAsia="Arial" w:hAnsi="Arial"/>
                <w:sz w:val="18"/>
                <w:szCs w:val="18"/>
                <w:color w:val="auto"/>
              </w:rPr>
              <w:t>As a percentage of total loans:</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580" w:type="dxa"/>
            <w:vAlign w:val="bottom"/>
            <w:vMerge w:val="continue"/>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Commercial (secured by real estate)</w:t>
            </w:r>
          </w:p>
        </w:tc>
        <w:tc>
          <w:tcPr>
            <w:tcW w:w="15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44%</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w:t>
            </w:r>
          </w:p>
        </w:tc>
        <w:tc>
          <w:tcPr>
            <w:tcW w:w="12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5580" w:type="dxa"/>
            <w:vAlign w:val="bottom"/>
          </w:tcPr>
          <w:p>
            <w:pPr>
              <w:ind w:left="440"/>
              <w:spacing w:after="0"/>
              <w:rPr>
                <w:sz w:val="20"/>
                <w:szCs w:val="20"/>
                <w:color w:val="auto"/>
              </w:rPr>
            </w:pPr>
            <w:r>
              <w:rPr>
                <w:rFonts w:ascii="Arial" w:cs="Arial" w:eastAsia="Arial" w:hAnsi="Arial"/>
                <w:sz w:val="18"/>
                <w:szCs w:val="18"/>
                <w:color w:val="auto"/>
              </w:rPr>
              <w:t>Commercial &amp; industrial</w:t>
            </w:r>
          </w:p>
        </w:tc>
        <w:tc>
          <w:tcPr>
            <w:tcW w:w="1500" w:type="dxa"/>
            <w:vAlign w:val="bottom"/>
            <w:gridSpan w:val="2"/>
          </w:tcPr>
          <w:p>
            <w:pPr>
              <w:jc w:val="right"/>
              <w:ind w:right="680"/>
              <w:spacing w:after="0"/>
              <w:rPr>
                <w:sz w:val="20"/>
                <w:szCs w:val="20"/>
                <w:color w:val="auto"/>
              </w:rPr>
            </w:pPr>
            <w:r>
              <w:rPr>
                <w:rFonts w:ascii="Arial" w:cs="Arial" w:eastAsia="Arial" w:hAnsi="Arial"/>
                <w:sz w:val="18"/>
                <w:szCs w:val="18"/>
                <w:color w:val="auto"/>
              </w:rPr>
              <w:t>11</w:t>
            </w: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10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Commercial construction</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8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580" w:type="dxa"/>
            <w:vAlign w:val="bottom"/>
          </w:tcPr>
          <w:p>
            <w:pPr>
              <w:ind w:left="880"/>
              <w:spacing w:after="0"/>
              <w:rPr>
                <w:sz w:val="20"/>
                <w:szCs w:val="20"/>
                <w:color w:val="auto"/>
              </w:rPr>
            </w:pPr>
            <w:r>
              <w:rPr>
                <w:rFonts w:ascii="Arial" w:cs="Arial" w:eastAsia="Arial" w:hAnsi="Arial"/>
                <w:sz w:val="18"/>
                <w:szCs w:val="18"/>
                <w:color w:val="auto"/>
              </w:rPr>
              <w:t>Total commercial</w:t>
            </w:r>
          </w:p>
        </w:tc>
        <w:tc>
          <w:tcPr>
            <w:tcW w:w="820" w:type="dxa"/>
            <w:vAlign w:val="bottom"/>
          </w:tcPr>
          <w:p>
            <w:pPr>
              <w:jc w:val="right"/>
              <w:spacing w:after="0"/>
              <w:rPr>
                <w:sz w:val="20"/>
                <w:szCs w:val="20"/>
                <w:color w:val="auto"/>
              </w:rPr>
            </w:pPr>
            <w:r>
              <w:rPr>
                <w:rFonts w:ascii="Arial" w:cs="Arial" w:eastAsia="Arial" w:hAnsi="Arial"/>
                <w:sz w:val="18"/>
                <w:szCs w:val="18"/>
                <w:color w:val="auto"/>
              </w:rPr>
              <w:t>59</w:t>
            </w:r>
          </w:p>
        </w:tc>
        <w:tc>
          <w:tcPr>
            <w:tcW w:w="680" w:type="dxa"/>
            <w:vAlign w:val="bottom"/>
          </w:tcPr>
          <w:p>
            <w:pPr>
              <w:spacing w:after="0"/>
              <w:rPr>
                <w:sz w:val="19"/>
                <w:szCs w:val="19"/>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58</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Residential mortgage</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6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28</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ind w:left="440"/>
              <w:spacing w:after="0"/>
              <w:rPr>
                <w:sz w:val="20"/>
                <w:szCs w:val="20"/>
                <w:color w:val="auto"/>
              </w:rPr>
            </w:pPr>
            <w:r>
              <w:rPr>
                <w:rFonts w:ascii="Arial" w:cs="Arial" w:eastAsia="Arial" w:hAnsi="Arial"/>
                <w:sz w:val="18"/>
                <w:szCs w:val="18"/>
                <w:color w:val="auto"/>
              </w:rPr>
              <w:t>Residential construction</w:t>
            </w:r>
          </w:p>
        </w:tc>
        <w:tc>
          <w:tcPr>
            <w:tcW w:w="820" w:type="dxa"/>
            <w:vAlign w:val="bottom"/>
          </w:tcPr>
          <w:p>
            <w:pPr>
              <w:jc w:val="right"/>
              <w:spacing w:after="0"/>
              <w:rPr>
                <w:sz w:val="20"/>
                <w:szCs w:val="20"/>
                <w:color w:val="auto"/>
              </w:rPr>
            </w:pPr>
            <w:r>
              <w:rPr>
                <w:rFonts w:ascii="Arial" w:cs="Arial" w:eastAsia="Arial" w:hAnsi="Arial"/>
                <w:sz w:val="18"/>
                <w:szCs w:val="18"/>
                <w:color w:val="auto"/>
              </w:rPr>
              <w:t>10</w:t>
            </w:r>
          </w:p>
        </w:tc>
        <w:tc>
          <w:tcPr>
            <w:tcW w:w="68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11</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Consumer installment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8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580" w:type="dxa"/>
            <w:vAlign w:val="bottom"/>
          </w:tcPr>
          <w:p>
            <w:pPr>
              <w:ind w:left="880"/>
              <w:spacing w:after="0"/>
              <w:rPr>
                <w:sz w:val="20"/>
                <w:szCs w:val="20"/>
                <w:color w:val="auto"/>
              </w:rPr>
            </w:pPr>
            <w:r>
              <w:rPr>
                <w:rFonts w:ascii="Arial" w:cs="Arial" w:eastAsia="Arial" w:hAnsi="Arial"/>
                <w:sz w:val="18"/>
                <w:szCs w:val="18"/>
                <w:color w:val="auto"/>
              </w:rPr>
              <w:t>Total</w:t>
            </w:r>
          </w:p>
        </w:tc>
        <w:tc>
          <w:tcPr>
            <w:tcW w:w="1500" w:type="dxa"/>
            <w:vAlign w:val="bottom"/>
            <w:gridSpan w:val="2"/>
          </w:tcPr>
          <w:p>
            <w:pPr>
              <w:jc w:val="right"/>
              <w:ind w:right="520"/>
              <w:spacing w:after="0"/>
              <w:rPr>
                <w:sz w:val="20"/>
                <w:szCs w:val="20"/>
                <w:color w:val="auto"/>
              </w:rPr>
            </w:pPr>
            <w:r>
              <w:rPr>
                <w:rFonts w:ascii="Arial" w:cs="Arial" w:eastAsia="Arial" w:hAnsi="Arial"/>
                <w:sz w:val="18"/>
                <w:szCs w:val="18"/>
                <w:color w:val="auto"/>
              </w:rPr>
              <w:t>100%</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100%</w:t>
            </w:r>
          </w:p>
        </w:tc>
        <w:tc>
          <w:tcPr>
            <w:tcW w:w="128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By Geographic Location</w:t>
            </w: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North Georgia</w:t>
            </w:r>
          </w:p>
        </w:tc>
        <w:tc>
          <w:tcPr>
            <w:tcW w:w="820" w:type="dxa"/>
            <w:vAlign w:val="bottom"/>
          </w:tcPr>
          <w:p>
            <w:pPr>
              <w:jc w:val="right"/>
              <w:spacing w:after="0"/>
              <w:rPr>
                <w:sz w:val="20"/>
                <w:szCs w:val="20"/>
                <w:color w:val="auto"/>
              </w:rPr>
            </w:pPr>
            <w:r>
              <w:rPr>
                <w:rFonts w:ascii="Arial" w:cs="Arial" w:eastAsia="Arial" w:hAnsi="Arial"/>
                <w:sz w:val="18"/>
                <w:szCs w:val="18"/>
                <w:color w:val="auto"/>
                <w:w w:val="84"/>
              </w:rPr>
              <w:t>$ 1,383,439</w:t>
            </w:r>
          </w:p>
        </w:tc>
        <w:tc>
          <w:tcPr>
            <w:tcW w:w="68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w w:val="86"/>
              </w:rPr>
              <w:t>$1,425,811</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$ 1,478,179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Atlanta MSA</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1,257,548</w:t>
            </w:r>
          </w:p>
        </w:tc>
        <w:tc>
          <w:tcPr>
            <w:tcW w:w="6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7"/>
              </w:rPr>
              <w:t>1,219,652</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1,192,496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North Carolina</w:t>
            </w:r>
          </w:p>
        </w:tc>
        <w:tc>
          <w:tcPr>
            <w:tcW w:w="820" w:type="dxa"/>
            <w:vAlign w:val="bottom"/>
          </w:tcPr>
          <w:p>
            <w:pPr>
              <w:jc w:val="right"/>
              <w:spacing w:after="0"/>
              <w:rPr>
                <w:sz w:val="20"/>
                <w:szCs w:val="20"/>
                <w:color w:val="auto"/>
              </w:rPr>
            </w:pPr>
            <w:r>
              <w:rPr>
                <w:rFonts w:ascii="Arial" w:cs="Arial" w:eastAsia="Arial" w:hAnsi="Arial"/>
                <w:sz w:val="18"/>
                <w:szCs w:val="18"/>
                <w:color w:val="auto"/>
              </w:rPr>
              <w:t>578,643</w:t>
            </w:r>
          </w:p>
        </w:tc>
        <w:tc>
          <w:tcPr>
            <w:tcW w:w="68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597,446</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607,284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Coastal Georgia</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379,747</w:t>
            </w:r>
          </w:p>
        </w:tc>
        <w:tc>
          <w:tcPr>
            <w:tcW w:w="6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346,189</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315,597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Gainesville MSA</w:t>
            </w:r>
          </w:p>
        </w:tc>
        <w:tc>
          <w:tcPr>
            <w:tcW w:w="820" w:type="dxa"/>
            <w:vAlign w:val="bottom"/>
          </w:tcPr>
          <w:p>
            <w:pPr>
              <w:jc w:val="right"/>
              <w:spacing w:after="0"/>
              <w:rPr>
                <w:sz w:val="20"/>
                <w:szCs w:val="20"/>
                <w:color w:val="auto"/>
              </w:rPr>
            </w:pPr>
            <w:r>
              <w:rPr>
                <w:rFonts w:ascii="Arial" w:cs="Arial" w:eastAsia="Arial" w:hAnsi="Arial"/>
                <w:sz w:val="18"/>
                <w:szCs w:val="18"/>
                <w:color w:val="auto"/>
              </w:rPr>
              <w:t>255,897</w:t>
            </w:r>
          </w:p>
        </w:tc>
        <w:tc>
          <w:tcPr>
            <w:tcW w:w="68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264,567</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271,705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East Tennessee</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282,571</w:t>
            </w:r>
          </w:p>
        </w:tc>
        <w:tc>
          <w:tcPr>
            <w:tcW w:w="68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255,949</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244,614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580" w:type="dxa"/>
            <w:vAlign w:val="bottom"/>
          </w:tcPr>
          <w:p>
            <w:pPr>
              <w:ind w:left="440"/>
              <w:spacing w:after="0"/>
              <w:rPr>
                <w:sz w:val="20"/>
                <w:szCs w:val="20"/>
                <w:color w:val="auto"/>
              </w:rPr>
            </w:pPr>
            <w:r>
              <w:rPr>
                <w:rFonts w:ascii="Arial" w:cs="Arial" w:eastAsia="Arial" w:hAnsi="Arial"/>
                <w:sz w:val="18"/>
                <w:szCs w:val="18"/>
                <w:color w:val="auto"/>
              </w:rPr>
              <w:t>Total loans</w:t>
            </w:r>
          </w:p>
        </w:tc>
        <w:tc>
          <w:tcPr>
            <w:tcW w:w="820" w:type="dxa"/>
            <w:vAlign w:val="bottom"/>
          </w:tcPr>
          <w:p>
            <w:pPr>
              <w:jc w:val="right"/>
              <w:spacing w:after="0"/>
              <w:rPr>
                <w:sz w:val="20"/>
                <w:szCs w:val="20"/>
                <w:color w:val="auto"/>
              </w:rPr>
            </w:pPr>
            <w:r>
              <w:rPr>
                <w:rFonts w:ascii="Arial" w:cs="Arial" w:eastAsia="Arial" w:hAnsi="Arial"/>
                <w:sz w:val="18"/>
                <w:szCs w:val="18"/>
                <w:color w:val="auto"/>
                <w:w w:val="84"/>
              </w:rPr>
              <w:t>$ 4,137,845</w:t>
            </w:r>
          </w:p>
        </w:tc>
        <w:tc>
          <w:tcPr>
            <w:tcW w:w="680" w:type="dxa"/>
            <w:vAlign w:val="bottom"/>
          </w:tcPr>
          <w:p>
            <w:pPr>
              <w:spacing w:after="0"/>
              <w:rPr>
                <w:sz w:val="19"/>
                <w:szCs w:val="19"/>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4,109,614</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$ 4,109,875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Substantially all of United’s loans are to customers located in the immediate market areas of its community banks in Georgia, North Carolina, and Tennessee, including customers who have a seasonal residence in United’s market areas. More than 85% of the loans are secured by real estate. At September 30, 2012, total loans, excluding loans acquired from SCB that are covered by loss sharing agreements with the FDIC, were $4.14 billion, an increase of $28.0 million, or 1%, from September 30, 2011. The rate of loan growth began to decline in the first quarter of 2007 and the balances have continued to decline over the last four years. The decrease in the loan portfolio began with deterioration in the residential construction and housing markets. This deterioration resulted in part as an oversupply of lot inventory, houses and land within United’s markets, which further slowed construction activities and acquisition and development projects. The resulting recession that began in the housing market led to high rates of unemployment that resulted in stress in the other segments of United’s loan portfolio. Despite the weak economy and lack of loan demand, United has continued to pursue lending opportunities which resulted in $137 million in new loans funded during the third quarter of 2012 and net positive loan</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growth of $28.2 million in the first nine months of 2012. The rate of decrease in the loan portfolio dropped significantly following the execution of the Problem Asset Disposition Plan in the first quarter of 2011 and has continued to stabilize resulting in the modest growth in the first nine months of 2012. The increase from December 31, 2011 and a year ago in residential mortgage in the table above reflects a successful home equity line promotion that has gained traction in United’s footprint. The increase in consumer installment loans reflects purchases of approximately $20 million in indirect auto loans over the last two quarters.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Quality and Risk Elements</w:t>
      </w:r>
    </w:p>
    <w:p>
      <w:pPr>
        <w:spacing w:after="0" w:line="9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 xml:space="preserve">United manages asset quality and controls credit risk through review and oversight of the loan portfolio as well as adherence to policies designed to promote sound underwriting and loan monitoring practices. United’s credit administration function is responsible for monitoring asset quality and Board-approved portfolio limits, establishing credit policies and procedures and enforcing the consistent application of these policies and procedures among all of the community banks. Additional information on the credit administration function is included in Item 1 under the heading </w:t>
      </w:r>
      <w:r>
        <w:rPr>
          <w:rFonts w:ascii="Arial" w:cs="Arial" w:eastAsia="Arial" w:hAnsi="Arial"/>
          <w:sz w:val="18"/>
          <w:szCs w:val="18"/>
          <w:i w:val="1"/>
          <w:iCs w:val="1"/>
          <w:color w:val="auto"/>
        </w:rPr>
        <w:t>Loan Review and Non-performing Assets</w:t>
      </w:r>
      <w:r>
        <w:rPr>
          <w:rFonts w:ascii="Arial" w:cs="Arial" w:eastAsia="Arial" w:hAnsi="Arial"/>
          <w:sz w:val="18"/>
          <w:szCs w:val="18"/>
          <w:color w:val="auto"/>
        </w:rPr>
        <w:t xml:space="preserve"> in United’s Annual Report on Form 10-K for the year ended December 31, 2011.</w:t>
      </w:r>
    </w:p>
    <w:p>
      <w:pPr>
        <w:spacing w:after="0" w:line="14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United classifies performing loans as “substandard” when there is a well-defined weakness or weaknesses that jeopardize the repayment by the borrower and there is a distinct possibility that United could sustain some loss if the deficiency is not corrected. The table below presents performing substandard loans for the last five quarters.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8 - Performing Substandard Loans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w w:val="83"/>
              </w:rPr>
              <w:t>September 30,</w:t>
            </w:r>
          </w:p>
        </w:tc>
        <w:tc>
          <w:tcPr>
            <w:tcW w:w="400" w:type="dxa"/>
            <w:vAlign w:val="bottom"/>
          </w:tcPr>
          <w:p>
            <w:pPr>
              <w:spacing w:after="0"/>
              <w:rPr>
                <w:sz w:val="14"/>
                <w:szCs w:val="14"/>
                <w:color w:val="auto"/>
              </w:rPr>
            </w:pPr>
          </w:p>
        </w:tc>
        <w:tc>
          <w:tcPr>
            <w:tcW w:w="680" w:type="dxa"/>
            <w:vAlign w:val="bottom"/>
          </w:tcPr>
          <w:p>
            <w:pPr>
              <w:jc w:val="right"/>
              <w:ind w:right="17"/>
              <w:spacing w:after="0"/>
              <w:rPr>
                <w:sz w:val="20"/>
                <w:szCs w:val="20"/>
                <w:color w:val="auto"/>
              </w:rPr>
            </w:pPr>
            <w:r>
              <w:rPr>
                <w:rFonts w:ascii="Arial" w:cs="Arial" w:eastAsia="Arial" w:hAnsi="Arial"/>
                <w:sz w:val="14"/>
                <w:szCs w:val="14"/>
                <w:b w:val="1"/>
                <w:bCs w:val="1"/>
                <w:color w:val="auto"/>
                <w:w w:val="99"/>
              </w:rPr>
              <w:t>June 30,</w:t>
            </w:r>
          </w:p>
        </w:tc>
        <w:tc>
          <w:tcPr>
            <w:tcW w:w="4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95"/>
              </w:rPr>
              <w:t>March 31,</w:t>
            </w:r>
          </w:p>
        </w:tc>
        <w:tc>
          <w:tcPr>
            <w:tcW w:w="400" w:type="dxa"/>
            <w:vAlign w:val="bottom"/>
          </w:tcPr>
          <w:p>
            <w:pPr>
              <w:spacing w:after="0"/>
              <w:rPr>
                <w:sz w:val="14"/>
                <w:szCs w:val="14"/>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w w:val="85"/>
              </w:rPr>
              <w:t>December 31,</w:t>
            </w:r>
          </w:p>
        </w:tc>
        <w:tc>
          <w:tcPr>
            <w:tcW w:w="40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3"/>
              </w:rPr>
              <w:t>September 30,</w:t>
            </w:r>
          </w:p>
        </w:tc>
        <w:tc>
          <w:tcPr>
            <w:tcW w:w="0" w:type="dxa"/>
            <w:vAlign w:val="bottom"/>
          </w:tcPr>
          <w:p>
            <w:pPr>
              <w:spacing w:after="0"/>
              <w:rPr>
                <w:sz w:val="1"/>
                <w:szCs w:val="1"/>
                <w:color w:val="auto"/>
              </w:rPr>
            </w:pPr>
          </w:p>
        </w:tc>
      </w:tr>
      <w:tr>
        <w:trPr>
          <w:trHeight w:val="161"/>
        </w:trPr>
        <w:tc>
          <w:tcPr>
            <w:tcW w:w="40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3"/>
              <w:spacing w:after="0"/>
              <w:rPr>
                <w:sz w:val="20"/>
                <w:szCs w:val="20"/>
                <w:color w:val="auto"/>
              </w:rPr>
            </w:pPr>
            <w:r>
              <w:rPr>
                <w:rFonts w:ascii="Arial" w:cs="Arial" w:eastAsia="Arial" w:hAnsi="Arial"/>
                <w:sz w:val="14"/>
                <w:szCs w:val="14"/>
                <w:b w:val="1"/>
                <w:bCs w:val="1"/>
                <w:color w:val="auto"/>
              </w:rPr>
              <w:t>2012</w:t>
            </w:r>
          </w:p>
        </w:tc>
        <w:tc>
          <w:tcPr>
            <w:tcW w:w="1080" w:type="dxa"/>
            <w:vAlign w:val="bottom"/>
            <w:gridSpan w:val="2"/>
          </w:tcPr>
          <w:p>
            <w:pPr>
              <w:jc w:val="right"/>
              <w:ind w:right="117"/>
              <w:spacing w:after="0"/>
              <w:rPr>
                <w:sz w:val="20"/>
                <w:szCs w:val="20"/>
                <w:color w:val="auto"/>
              </w:rPr>
            </w:pPr>
            <w:r>
              <w:rPr>
                <w:rFonts w:ascii="Arial" w:cs="Arial" w:eastAsia="Arial" w:hAnsi="Arial"/>
                <w:sz w:val="14"/>
                <w:szCs w:val="14"/>
                <w:b w:val="1"/>
                <w:bCs w:val="1"/>
                <w:color w:val="auto"/>
              </w:rPr>
              <w:t>2012</w:t>
            </w:r>
          </w:p>
        </w:tc>
        <w:tc>
          <w:tcPr>
            <w:tcW w:w="1080" w:type="dxa"/>
            <w:vAlign w:val="bottom"/>
            <w:gridSpan w:val="2"/>
          </w:tcPr>
          <w:p>
            <w:pPr>
              <w:jc w:val="right"/>
              <w:ind w:right="117"/>
              <w:spacing w:after="0"/>
              <w:rPr>
                <w:sz w:val="20"/>
                <w:szCs w:val="20"/>
                <w:color w:val="auto"/>
              </w:rPr>
            </w:pPr>
            <w:r>
              <w:rPr>
                <w:rFonts w:ascii="Arial" w:cs="Arial" w:eastAsia="Arial" w:hAnsi="Arial"/>
                <w:sz w:val="14"/>
                <w:szCs w:val="14"/>
                <w:b w:val="1"/>
                <w:bCs w:val="1"/>
                <w:color w:val="auto"/>
              </w:rPr>
              <w:t>2012</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93"/>
              <w:spacing w:after="0"/>
              <w:rPr>
                <w:sz w:val="20"/>
                <w:szCs w:val="20"/>
                <w:color w:val="auto"/>
              </w:rPr>
            </w:pPr>
            <w:r>
              <w:rPr>
                <w:rFonts w:ascii="Arial" w:cs="Arial" w:eastAsia="Arial" w:hAnsi="Arial"/>
                <w:sz w:val="14"/>
                <w:szCs w:val="14"/>
                <w:b w:val="1"/>
                <w:bCs w:val="1"/>
                <w:color w:val="auto"/>
              </w:rPr>
              <w:t>2011</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93"/>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0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By Category</w:t>
            </w:r>
          </w:p>
        </w:tc>
        <w:tc>
          <w:tcPr>
            <w:tcW w:w="19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Commercial (sec. by RE)</w:t>
            </w:r>
          </w:p>
        </w:tc>
        <w:tc>
          <w:tcPr>
            <w:tcW w:w="2080" w:type="dxa"/>
            <w:vAlign w:val="bottom"/>
            <w:gridSpan w:val="2"/>
          </w:tcPr>
          <w:p>
            <w:pPr>
              <w:ind w:left="19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126,332</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$148,418</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$133,840</w:t>
            </w:r>
          </w:p>
        </w:tc>
        <w:tc>
          <w:tcPr>
            <w:tcW w:w="5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143,058</w:t>
            </w:r>
          </w:p>
        </w:tc>
        <w:tc>
          <w:tcPr>
            <w:tcW w:w="5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134,356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Commercial &amp; industrial</w:t>
            </w:r>
          </w:p>
        </w:tc>
        <w:tc>
          <w:tcPr>
            <w:tcW w:w="1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18,740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15,916</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17,217</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15,753</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00" w:type="dxa"/>
            <w:vAlign w:val="bottom"/>
          </w:tcPr>
          <w:p>
            <w:pPr>
              <w:spacing w:after="0"/>
              <w:rPr>
                <w:sz w:val="20"/>
                <w:szCs w:val="20"/>
                <w:color w:val="auto"/>
              </w:rPr>
            </w:pPr>
            <w:r>
              <w:rPr>
                <w:rFonts w:ascii="Arial" w:cs="Arial" w:eastAsia="Arial" w:hAnsi="Arial"/>
                <w:sz w:val="18"/>
                <w:szCs w:val="18"/>
                <w:color w:val="auto"/>
              </w:rPr>
              <w:t>Commercial construction</w:t>
            </w:r>
          </w:p>
        </w:tc>
        <w:tc>
          <w:tcPr>
            <w:tcW w:w="19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27,180</w:t>
            </w:r>
          </w:p>
        </w:tc>
        <w:tc>
          <w:tcPr>
            <w:tcW w:w="4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37,876</w:t>
            </w:r>
          </w:p>
        </w:tc>
        <w:tc>
          <w:tcPr>
            <w:tcW w:w="4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23,256</w:t>
            </w:r>
          </w:p>
        </w:tc>
        <w:tc>
          <w:tcPr>
            <w:tcW w:w="4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18,510</w:t>
            </w:r>
          </w:p>
        </w:tc>
        <w:tc>
          <w:tcPr>
            <w:tcW w:w="4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commercial</w:t>
            </w:r>
          </w:p>
        </w:tc>
        <w:tc>
          <w:tcPr>
            <w:tcW w:w="1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172,252</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202,210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174,313</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177,321</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185,754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Residential mortgage</w:t>
            </w:r>
          </w:p>
        </w:tc>
        <w:tc>
          <w:tcPr>
            <w:tcW w:w="1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72,198</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73,277</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75,736</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76,442</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76,707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Residential construction</w:t>
            </w:r>
          </w:p>
        </w:tc>
        <w:tc>
          <w:tcPr>
            <w:tcW w:w="1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35,170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45,450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64,274</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71,955</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00" w:type="dxa"/>
            <w:vAlign w:val="bottom"/>
          </w:tcPr>
          <w:p>
            <w:pPr>
              <w:spacing w:after="0"/>
              <w:rPr>
                <w:sz w:val="20"/>
                <w:szCs w:val="20"/>
                <w:color w:val="auto"/>
              </w:rPr>
            </w:pPr>
            <w:r>
              <w:rPr>
                <w:rFonts w:ascii="Arial" w:cs="Arial" w:eastAsia="Arial" w:hAnsi="Arial"/>
                <w:sz w:val="18"/>
                <w:szCs w:val="18"/>
                <w:color w:val="auto"/>
              </w:rPr>
              <w:t>Consumer installment</w:t>
            </w:r>
          </w:p>
        </w:tc>
        <w:tc>
          <w:tcPr>
            <w:tcW w:w="19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2,886</w:t>
            </w:r>
          </w:p>
        </w:tc>
        <w:tc>
          <w:tcPr>
            <w:tcW w:w="4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2,706</w:t>
            </w:r>
          </w:p>
        </w:tc>
        <w:tc>
          <w:tcPr>
            <w:tcW w:w="4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2,610</w:t>
            </w:r>
          </w:p>
        </w:tc>
        <w:tc>
          <w:tcPr>
            <w:tcW w:w="4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2,751</w:t>
            </w:r>
          </w:p>
        </w:tc>
        <w:tc>
          <w:tcPr>
            <w:tcW w:w="4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w:t>
            </w:r>
          </w:p>
        </w:tc>
        <w:tc>
          <w:tcPr>
            <w:tcW w:w="2080" w:type="dxa"/>
            <w:vAlign w:val="bottom"/>
            <w:gridSpan w:val="2"/>
            <w:shd w:val="clear" w:color="auto" w:fill="CCEEFF"/>
          </w:tcPr>
          <w:p>
            <w:pPr>
              <w:ind w:left="19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282,506</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323,643</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316,933</w:t>
            </w:r>
          </w:p>
        </w:tc>
        <w:tc>
          <w:tcPr>
            <w:tcW w:w="5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328,469</w:t>
            </w:r>
          </w:p>
        </w:tc>
        <w:tc>
          <w:tcPr>
            <w:tcW w:w="5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341,343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0" w:type="dxa"/>
            <w:vAlign w:val="bottom"/>
            <w:vMerge w:val="restart"/>
          </w:tcPr>
          <w:p>
            <w:pPr>
              <w:spacing w:after="0"/>
              <w:rPr>
                <w:sz w:val="20"/>
                <w:szCs w:val="20"/>
                <w:color w:val="auto"/>
              </w:rPr>
            </w:pPr>
            <w:r>
              <w:rPr>
                <w:rFonts w:ascii="Arial" w:cs="Arial" w:eastAsia="Arial" w:hAnsi="Arial"/>
                <w:sz w:val="18"/>
                <w:szCs w:val="18"/>
                <w:b w:val="1"/>
                <w:bCs w:val="1"/>
                <w:color w:val="auto"/>
              </w:rPr>
              <w:t>By Market</w:t>
            </w:r>
          </w:p>
        </w:tc>
        <w:tc>
          <w:tcPr>
            <w:tcW w:w="19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000" w:type="dxa"/>
            <w:vAlign w:val="bottom"/>
            <w:vMerge w:val="continue"/>
          </w:tcPr>
          <w:p>
            <w:pPr>
              <w:spacing w:after="0"/>
              <w:rPr>
                <w:sz w:val="18"/>
                <w:szCs w:val="18"/>
                <w:color w:val="auto"/>
              </w:rPr>
            </w:pPr>
          </w:p>
        </w:tc>
        <w:tc>
          <w:tcPr>
            <w:tcW w:w="1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North Georgia</w:t>
            </w:r>
          </w:p>
        </w:tc>
        <w:tc>
          <w:tcPr>
            <w:tcW w:w="2080" w:type="dxa"/>
            <w:vAlign w:val="bottom"/>
            <w:gridSpan w:val="2"/>
            <w:shd w:val="clear" w:color="auto" w:fill="CCEEFF"/>
          </w:tcPr>
          <w:p>
            <w:pPr>
              <w:ind w:left="19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116,871</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$121,358</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$131,253</w:t>
            </w:r>
          </w:p>
        </w:tc>
        <w:tc>
          <w:tcPr>
            <w:tcW w:w="5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134,945</w:t>
            </w:r>
          </w:p>
        </w:tc>
        <w:tc>
          <w:tcPr>
            <w:tcW w:w="5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156,063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Atlanta MSA</w:t>
            </w:r>
          </w:p>
        </w:tc>
        <w:tc>
          <w:tcPr>
            <w:tcW w:w="1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79,242</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105,647</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94,191</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99,453</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97,906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North Carolina</w:t>
            </w:r>
          </w:p>
        </w:tc>
        <w:tc>
          <w:tcPr>
            <w:tcW w:w="1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34,998</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38,049</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38,792</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40,302</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Coastal Georgia</w:t>
            </w:r>
          </w:p>
        </w:tc>
        <w:tc>
          <w:tcPr>
            <w:tcW w:w="1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12,998</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20,164</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19,342</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24,985</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23,966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Gainesville MSA</w:t>
            </w:r>
          </w:p>
        </w:tc>
        <w:tc>
          <w:tcPr>
            <w:tcW w:w="1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21,219</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20,524</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18,745</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17,338</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00" w:type="dxa"/>
            <w:vAlign w:val="bottom"/>
          </w:tcPr>
          <w:p>
            <w:pPr>
              <w:spacing w:after="0"/>
              <w:rPr>
                <w:sz w:val="20"/>
                <w:szCs w:val="20"/>
                <w:color w:val="auto"/>
              </w:rPr>
            </w:pPr>
            <w:r>
              <w:rPr>
                <w:rFonts w:ascii="Arial" w:cs="Arial" w:eastAsia="Arial" w:hAnsi="Arial"/>
                <w:sz w:val="18"/>
                <w:szCs w:val="18"/>
                <w:color w:val="auto"/>
              </w:rPr>
              <w:t>East Tennessee</w:t>
            </w:r>
          </w:p>
        </w:tc>
        <w:tc>
          <w:tcPr>
            <w:tcW w:w="19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17,178</w:t>
            </w:r>
          </w:p>
        </w:tc>
        <w:tc>
          <w:tcPr>
            <w:tcW w:w="4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17,901</w:t>
            </w:r>
          </w:p>
        </w:tc>
        <w:tc>
          <w:tcPr>
            <w:tcW w:w="4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14,610</w:t>
            </w:r>
          </w:p>
        </w:tc>
        <w:tc>
          <w:tcPr>
            <w:tcW w:w="4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11,446</w:t>
            </w:r>
          </w:p>
        </w:tc>
        <w:tc>
          <w:tcPr>
            <w:tcW w:w="4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loans</w:t>
            </w:r>
          </w:p>
        </w:tc>
        <w:tc>
          <w:tcPr>
            <w:tcW w:w="2080" w:type="dxa"/>
            <w:vAlign w:val="bottom"/>
            <w:gridSpan w:val="2"/>
            <w:shd w:val="clear" w:color="auto" w:fill="CCEEFF"/>
          </w:tcPr>
          <w:p>
            <w:pPr>
              <w:ind w:left="19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282,506</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323,643</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316,933</w:t>
            </w:r>
          </w:p>
        </w:tc>
        <w:tc>
          <w:tcPr>
            <w:tcW w:w="5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328,469</w:t>
            </w:r>
          </w:p>
        </w:tc>
        <w:tc>
          <w:tcPr>
            <w:tcW w:w="5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341,343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At September 30, 2012, performing substandard loans totaled $283 million and decreased $41.1 million from the prior quarter-end, and decreased $58.8 million from a year ago. The decrease from the second quarter of 2012 was primarily in commercial loans in the Atlanta MSA. The decrease from the third quarter of 2011 was primarily in residential construction, primarily in north Georgia, the Atlanta MSA and coastal Georgia.</w:t>
      </w:r>
    </w:p>
    <w:p>
      <w:pPr>
        <w:spacing w:after="0" w:line="10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Reviews of substandard performing and non-performing loans, troubled debt restructures, past due loans and larger credits, are conducted on a regular basis with management each quarter and are designed to identify risk migration and potential charges to the allowance for loan losses. These reviews are presented by the responsible lending officers and specific action plans are discussed along with the financial strength of borrowers, the value of the applicable collateral, past loan loss experience, anticipated loan losses, changes in risk profile, the effect of prevailing economic conditions on the borrower along with other factors specific to the borrower and its industry. In addition to United’s internal loan review, United also uses external loan review to ensure the independence of the loan review process.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a summary of the changes in the allowance for loan losses for the three and nine months ended September 30, 2012 and 2011.</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9 - Allowance for Loan Losses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gridSpan w:val="5"/>
          </w:tcPr>
          <w:p>
            <w:pPr>
              <w:jc w:val="right"/>
              <w:ind w:right="960"/>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80" w:type="dxa"/>
            <w:vAlign w:val="bottom"/>
            <w:gridSpan w:val="7"/>
          </w:tcPr>
          <w:p>
            <w:pPr>
              <w:jc w:val="right"/>
              <w:ind w:right="63"/>
              <w:spacing w:after="0"/>
              <w:rPr>
                <w:sz w:val="20"/>
                <w:szCs w:val="20"/>
                <w:color w:val="auto"/>
              </w:rPr>
            </w:pPr>
            <w:r>
              <w:rPr>
                <w:rFonts w:ascii="Arial" w:cs="Arial" w:eastAsia="Arial" w:hAnsi="Arial"/>
                <w:sz w:val="14"/>
                <w:szCs w:val="14"/>
                <w:b w:val="1"/>
                <w:bCs w:val="1"/>
                <w:color w:val="auto"/>
                <w:w w:val="87"/>
              </w:rPr>
              <w:t>Nine Months Ended September 30,</w:t>
            </w: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2012</w:t>
            </w:r>
          </w:p>
        </w:tc>
        <w:tc>
          <w:tcPr>
            <w:tcW w:w="3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2011</w:t>
            </w:r>
          </w:p>
        </w:tc>
        <w:tc>
          <w:tcPr>
            <w:tcW w:w="3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gridSpan w:val="2"/>
          </w:tcPr>
          <w:p>
            <w:pPr>
              <w:jc w:val="right"/>
              <w:ind w:right="17"/>
              <w:spacing w:after="0" w:line="142" w:lineRule="exact"/>
              <w:rPr>
                <w:sz w:val="20"/>
                <w:szCs w:val="20"/>
                <w:color w:val="auto"/>
              </w:rPr>
            </w:pPr>
            <w:r>
              <w:rPr>
                <w:rFonts w:ascii="Arial" w:cs="Arial" w:eastAsia="Arial" w:hAnsi="Arial"/>
                <w:sz w:val="14"/>
                <w:szCs w:val="14"/>
                <w:b w:val="1"/>
                <w:bCs w:val="1"/>
                <w:color w:val="auto"/>
              </w:rPr>
              <w:t>2011</w:t>
            </w:r>
          </w:p>
        </w:tc>
        <w:tc>
          <w:tcPr>
            <w:tcW w:w="2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0"/>
                <w:szCs w:val="10"/>
                <w:b w:val="1"/>
                <w:bCs w:val="1"/>
                <w:color w:val="auto"/>
              </w:rPr>
              <w:t xml:space="preserve">Problem </w:t>
            </w:r>
            <w:r>
              <w:rPr>
                <w:rFonts w:ascii="Arial" w:cs="Arial" w:eastAsia="Arial" w:hAnsi="Arial"/>
                <w:sz w:val="14"/>
                <w:szCs w:val="14"/>
                <w:color w:val="auto"/>
                <w:vertAlign w:val="superscript"/>
              </w:rPr>
              <w:t>(1)</w:t>
            </w: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15"/>
              <w:spacing w:after="0" w:line="149" w:lineRule="exact"/>
              <w:rPr>
                <w:sz w:val="20"/>
                <w:szCs w:val="20"/>
                <w:color w:val="auto"/>
              </w:rPr>
            </w:pPr>
            <w:r>
              <w:rPr>
                <w:rFonts w:ascii="Arial" w:cs="Arial" w:eastAsia="Arial" w:hAnsi="Arial"/>
                <w:sz w:val="14"/>
                <w:szCs w:val="14"/>
                <w:b w:val="1"/>
                <w:bCs w:val="1"/>
                <w:color w:val="auto"/>
                <w:w w:val="94"/>
              </w:rPr>
              <w:t>Asset</w:t>
            </w: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3"/>
              </w:rPr>
              <w:t>Disposition</w:t>
            </w: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c>
          <w:tcPr>
            <w:tcW w:w="10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4"/>
                <w:szCs w:val="14"/>
                <w:color w:val="auto"/>
              </w:rPr>
            </w:pPr>
          </w:p>
        </w:tc>
        <w:tc>
          <w:tcPr>
            <w:tcW w:w="74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35"/>
              <w:spacing w:after="0"/>
              <w:rPr>
                <w:sz w:val="20"/>
                <w:szCs w:val="20"/>
                <w:color w:val="auto"/>
              </w:rPr>
            </w:pPr>
            <w:r>
              <w:rPr>
                <w:rFonts w:ascii="Arial" w:cs="Arial" w:eastAsia="Arial" w:hAnsi="Arial"/>
                <w:sz w:val="14"/>
                <w:szCs w:val="14"/>
                <w:b w:val="1"/>
                <w:bCs w:val="1"/>
                <w:color w:val="auto"/>
              </w:rPr>
              <w:t>Plan</w:t>
            </w:r>
          </w:p>
        </w:tc>
        <w:tc>
          <w:tcPr>
            <w:tcW w:w="280" w:type="dxa"/>
            <w:vAlign w:val="bottom"/>
          </w:tcPr>
          <w:p>
            <w:pPr>
              <w:spacing w:after="0"/>
              <w:rPr>
                <w:sz w:val="14"/>
                <w:szCs w:val="14"/>
                <w:color w:val="auto"/>
              </w:rPr>
            </w:pPr>
          </w:p>
        </w:tc>
        <w:tc>
          <w:tcPr>
            <w:tcW w:w="960" w:type="dxa"/>
            <w:vAlign w:val="bottom"/>
            <w:gridSpan w:val="3"/>
          </w:tcPr>
          <w:p>
            <w:pPr>
              <w:jc w:val="right"/>
              <w:ind w:right="423"/>
              <w:spacing w:after="0"/>
              <w:rPr>
                <w:sz w:val="20"/>
                <w:szCs w:val="20"/>
                <w:color w:val="auto"/>
              </w:rPr>
            </w:pPr>
            <w:r>
              <w:rPr>
                <w:rFonts w:ascii="Arial" w:cs="Arial" w:eastAsia="Arial" w:hAnsi="Arial"/>
                <w:sz w:val="14"/>
                <w:szCs w:val="14"/>
                <w:b w:val="1"/>
                <w:bCs w:val="1"/>
                <w:color w:val="auto"/>
              </w:rPr>
              <w:t>Other</w:t>
            </w:r>
          </w:p>
        </w:tc>
        <w:tc>
          <w:tcPr>
            <w:tcW w:w="9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beginning of period</w:t>
            </w:r>
          </w:p>
        </w:tc>
        <w:tc>
          <w:tcPr>
            <w:tcW w:w="7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112,705</w:t>
            </w: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127,638</w:t>
            </w:r>
          </w:p>
        </w:tc>
        <w:tc>
          <w:tcPr>
            <w:tcW w:w="3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114,468</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174,695</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15,500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36,000</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48,500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237,000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Charge-offs: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420"/>
              <w:spacing w:after="0"/>
              <w:rPr>
                <w:sz w:val="20"/>
                <w:szCs w:val="20"/>
                <w:color w:val="auto"/>
              </w:rPr>
            </w:pPr>
            <w:r>
              <w:rPr>
                <w:rFonts w:ascii="Arial" w:cs="Arial" w:eastAsia="Arial" w:hAnsi="Arial"/>
                <w:sz w:val="18"/>
                <w:szCs w:val="18"/>
                <w:color w:val="auto"/>
              </w:rPr>
              <w:t>Commercial (secured by real estate)</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8,445</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2,270</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16,791</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44,052</w:t>
            </w:r>
          </w:p>
        </w:tc>
        <w:tc>
          <w:tcPr>
            <w:tcW w:w="1140" w:type="dxa"/>
            <w:vAlign w:val="bottom"/>
            <w:gridSpan w:val="3"/>
          </w:tcPr>
          <w:p>
            <w:pPr>
              <w:jc w:val="right"/>
              <w:ind w:right="280"/>
              <w:spacing w:after="0"/>
              <w:rPr>
                <w:sz w:val="20"/>
                <w:szCs w:val="20"/>
                <w:color w:val="auto"/>
              </w:rPr>
            </w:pPr>
            <w:r>
              <w:rPr>
                <w:rFonts w:ascii="Arial" w:cs="Arial" w:eastAsia="Arial" w:hAnsi="Arial"/>
                <w:sz w:val="18"/>
                <w:szCs w:val="18"/>
                <w:color w:val="auto"/>
              </w:rPr>
              <w:t>$10,358</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54,410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Commercial (commercial and industrial)</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1,987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3,411</w:t>
            </w:r>
          </w:p>
        </w:tc>
        <w:tc>
          <w:tcPr>
            <w:tcW w:w="11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2,421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420"/>
              <w:spacing w:after="0"/>
              <w:rPr>
                <w:sz w:val="20"/>
                <w:szCs w:val="20"/>
                <w:color w:val="auto"/>
              </w:rPr>
            </w:pPr>
            <w:r>
              <w:rPr>
                <w:rFonts w:ascii="Arial" w:cs="Arial" w:eastAsia="Arial" w:hAnsi="Arial"/>
                <w:sz w:val="18"/>
                <w:szCs w:val="18"/>
                <w:color w:val="auto"/>
              </w:rPr>
              <w:t>Commercial construction</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3,198</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1,705</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3,650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47,237</w:t>
            </w:r>
          </w:p>
        </w:tc>
        <w:tc>
          <w:tcPr>
            <w:tcW w:w="1140" w:type="dxa"/>
            <w:vAlign w:val="bottom"/>
            <w:gridSpan w:val="3"/>
          </w:tcPr>
          <w:p>
            <w:pPr>
              <w:jc w:val="right"/>
              <w:ind w:right="280"/>
              <w:spacing w:after="0"/>
              <w:rPr>
                <w:sz w:val="20"/>
                <w:szCs w:val="20"/>
                <w:color w:val="auto"/>
              </w:rPr>
            </w:pPr>
            <w:r>
              <w:rPr>
                <w:rFonts w:ascii="Arial" w:cs="Arial" w:eastAsia="Arial" w:hAnsi="Arial"/>
                <w:sz w:val="18"/>
                <w:szCs w:val="18"/>
                <w:color w:val="auto"/>
              </w:rPr>
              <w:t>5,163</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52,400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Residential mortgage</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6,399</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13,356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30,139</w:t>
            </w:r>
          </w:p>
        </w:tc>
        <w:tc>
          <w:tcPr>
            <w:tcW w:w="11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17,603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47,742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420"/>
              <w:spacing w:after="0"/>
              <w:rPr>
                <w:sz w:val="20"/>
                <w:szCs w:val="20"/>
                <w:color w:val="auto"/>
              </w:rPr>
            </w:pPr>
            <w:r>
              <w:rPr>
                <w:rFonts w:ascii="Arial" w:cs="Arial" w:eastAsia="Arial" w:hAnsi="Arial"/>
                <w:sz w:val="18"/>
                <w:szCs w:val="18"/>
                <w:color w:val="auto"/>
              </w:rPr>
              <w:t>Residential construction</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6,231</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7,668</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21,706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78,653</w:t>
            </w:r>
          </w:p>
        </w:tc>
        <w:tc>
          <w:tcPr>
            <w:tcW w:w="1140" w:type="dxa"/>
            <w:vAlign w:val="bottom"/>
            <w:gridSpan w:val="3"/>
          </w:tcPr>
          <w:p>
            <w:pPr>
              <w:jc w:val="right"/>
              <w:ind w:right="280"/>
              <w:spacing w:after="0"/>
              <w:rPr>
                <w:sz w:val="20"/>
                <w:szCs w:val="20"/>
                <w:color w:val="auto"/>
              </w:rPr>
            </w:pPr>
            <w:r>
              <w:rPr>
                <w:rFonts w:ascii="Arial" w:cs="Arial" w:eastAsia="Arial" w:hAnsi="Arial"/>
                <w:sz w:val="18"/>
                <w:szCs w:val="18"/>
                <w:color w:val="auto"/>
              </w:rPr>
              <w:t>28,039</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106,692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Consumer installment</w:t>
            </w:r>
          </w:p>
        </w:tc>
        <w:tc>
          <w:tcPr>
            <w:tcW w:w="7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3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1,603</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28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2,652</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80" w:type="dxa"/>
            <w:vAlign w:val="bottom"/>
          </w:tcPr>
          <w:p>
            <w:pPr>
              <w:ind w:left="860"/>
              <w:spacing w:after="0"/>
              <w:rPr>
                <w:sz w:val="20"/>
                <w:szCs w:val="20"/>
                <w:color w:val="auto"/>
              </w:rPr>
            </w:pPr>
            <w:r>
              <w:rPr>
                <w:rFonts w:ascii="Arial" w:cs="Arial" w:eastAsia="Arial" w:hAnsi="Arial"/>
                <w:sz w:val="18"/>
                <w:szCs w:val="18"/>
                <w:color w:val="auto"/>
              </w:rPr>
              <w:t>Total loans charged-off</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22,234</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19,878</w:t>
            </w: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59,093</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203,789</w:t>
            </w:r>
          </w:p>
        </w:tc>
        <w:tc>
          <w:tcPr>
            <w:tcW w:w="1140" w:type="dxa"/>
            <w:vAlign w:val="bottom"/>
            <w:gridSpan w:val="3"/>
          </w:tcPr>
          <w:p>
            <w:pPr>
              <w:jc w:val="right"/>
              <w:ind w:right="280"/>
              <w:spacing w:after="0"/>
              <w:rPr>
                <w:sz w:val="20"/>
                <w:szCs w:val="20"/>
                <w:color w:val="auto"/>
              </w:rPr>
            </w:pPr>
            <w:r>
              <w:rPr>
                <w:rFonts w:ascii="Arial" w:cs="Arial" w:eastAsia="Arial" w:hAnsi="Arial"/>
                <w:sz w:val="18"/>
                <w:szCs w:val="18"/>
                <w:color w:val="auto"/>
              </w:rPr>
              <w:t>66,236</w:t>
            </w:r>
          </w:p>
        </w:tc>
        <w:tc>
          <w:tcPr>
            <w:tcW w:w="10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270,025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Recoveries:</w:t>
            </w:r>
          </w:p>
        </w:tc>
        <w:tc>
          <w:tcPr>
            <w:tcW w:w="7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420"/>
              <w:spacing w:after="0"/>
              <w:rPr>
                <w:sz w:val="20"/>
                <w:szCs w:val="20"/>
                <w:color w:val="auto"/>
              </w:rPr>
            </w:pPr>
            <w:r>
              <w:rPr>
                <w:rFonts w:ascii="Arial" w:cs="Arial" w:eastAsia="Arial" w:hAnsi="Arial"/>
                <w:sz w:val="18"/>
                <w:szCs w:val="18"/>
                <w:color w:val="auto"/>
              </w:rPr>
              <w:t>Commercial (secured by real estate)</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271</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78</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571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280"/>
              <w:spacing w:after="0"/>
              <w:rPr>
                <w:sz w:val="20"/>
                <w:szCs w:val="20"/>
                <w:color w:val="auto"/>
              </w:rPr>
            </w:pPr>
            <w:r>
              <w:rPr>
                <w:rFonts w:ascii="Arial" w:cs="Arial" w:eastAsia="Arial" w:hAnsi="Arial"/>
                <w:sz w:val="18"/>
                <w:szCs w:val="18"/>
                <w:color w:val="auto"/>
              </w:rPr>
              <w:t>352</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Commercial (commercial and industrial)</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849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420"/>
              <w:spacing w:after="0"/>
              <w:rPr>
                <w:sz w:val="20"/>
                <w:szCs w:val="20"/>
                <w:color w:val="auto"/>
              </w:rPr>
            </w:pPr>
            <w:r>
              <w:rPr>
                <w:rFonts w:ascii="Arial" w:cs="Arial" w:eastAsia="Arial" w:hAnsi="Arial"/>
                <w:sz w:val="18"/>
                <w:szCs w:val="18"/>
                <w:color w:val="auto"/>
              </w:rPr>
              <w:t>Commercial construction</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80</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280"/>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Residential mortgage</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660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420"/>
              <w:spacing w:after="0"/>
              <w:rPr>
                <w:sz w:val="20"/>
                <w:szCs w:val="20"/>
                <w:color w:val="auto"/>
              </w:rPr>
            </w:pPr>
            <w:r>
              <w:rPr>
                <w:rFonts w:ascii="Arial" w:cs="Arial" w:eastAsia="Arial" w:hAnsi="Arial"/>
                <w:sz w:val="18"/>
                <w:szCs w:val="18"/>
                <w:color w:val="auto"/>
              </w:rPr>
              <w:t>Residential construction</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555</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1,287</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1,153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280"/>
              <w:spacing w:after="0"/>
              <w:rPr>
                <w:sz w:val="20"/>
                <w:szCs w:val="20"/>
                <w:color w:val="auto"/>
              </w:rPr>
            </w:pPr>
            <w:r>
              <w:rPr>
                <w:rFonts w:ascii="Arial" w:cs="Arial" w:eastAsia="Arial" w:hAnsi="Arial"/>
                <w:sz w:val="18"/>
                <w:szCs w:val="18"/>
                <w:color w:val="auto"/>
              </w:rPr>
              <w:t>1,544</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1,544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Consumer installment</w:t>
            </w:r>
          </w:p>
        </w:tc>
        <w:tc>
          <w:tcPr>
            <w:tcW w:w="7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3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80" w:type="dxa"/>
            <w:vAlign w:val="bottom"/>
          </w:tcPr>
          <w:p>
            <w:pPr>
              <w:ind w:left="860"/>
              <w:spacing w:after="0"/>
              <w:rPr>
                <w:sz w:val="20"/>
                <w:szCs w:val="20"/>
                <w:color w:val="auto"/>
              </w:rPr>
            </w:pPr>
            <w:r>
              <w:rPr>
                <w:rFonts w:ascii="Arial" w:cs="Arial" w:eastAsia="Arial" w:hAnsi="Arial"/>
                <w:sz w:val="18"/>
                <w:szCs w:val="18"/>
                <w:color w:val="auto"/>
              </w:rPr>
              <w:t>Total recoveries</w:t>
            </w:r>
          </w:p>
        </w:tc>
        <w:tc>
          <w:tcPr>
            <w:tcW w:w="7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1,671</w:t>
            </w:r>
          </w:p>
        </w:tc>
        <w:tc>
          <w:tcPr>
            <w:tcW w:w="3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2,332</w:t>
            </w:r>
          </w:p>
        </w:tc>
        <w:tc>
          <w:tcPr>
            <w:tcW w:w="3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3,767</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4,422</w:t>
            </w: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4,422</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charge-offs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20,563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17,546</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55,326</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203,789</w:t>
            </w:r>
          </w:p>
        </w:tc>
        <w:tc>
          <w:tcPr>
            <w:tcW w:w="11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61,814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265,603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vMerge w:val="restart"/>
          </w:tcPr>
          <w:p>
            <w:pPr>
              <w:ind w:left="860"/>
              <w:spacing w:after="0"/>
              <w:rPr>
                <w:sz w:val="20"/>
                <w:szCs w:val="20"/>
                <w:color w:val="auto"/>
              </w:rPr>
            </w:pPr>
            <w:r>
              <w:rPr>
                <w:rFonts w:ascii="Arial" w:cs="Arial" w:eastAsia="Arial" w:hAnsi="Arial"/>
                <w:sz w:val="18"/>
                <w:szCs w:val="18"/>
                <w:color w:val="auto"/>
              </w:rPr>
              <w:t>Balance end of period</w:t>
            </w:r>
          </w:p>
        </w:tc>
        <w:tc>
          <w:tcPr>
            <w:tcW w:w="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380" w:type="dxa"/>
            <w:vAlign w:val="bottom"/>
            <w:vMerge w:val="continue"/>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107,642</w:t>
            </w:r>
          </w:p>
        </w:tc>
        <w:tc>
          <w:tcPr>
            <w:tcW w:w="3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146,092</w:t>
            </w:r>
          </w:p>
        </w:tc>
        <w:tc>
          <w:tcPr>
            <w:tcW w:w="3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107,642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4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146,092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Total loans: *</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420"/>
              <w:spacing w:after="0"/>
              <w:rPr>
                <w:sz w:val="20"/>
                <w:szCs w:val="20"/>
                <w:color w:val="auto"/>
              </w:rPr>
            </w:pPr>
            <w:r>
              <w:rPr>
                <w:rFonts w:ascii="Arial" w:cs="Arial" w:eastAsia="Arial" w:hAnsi="Arial"/>
                <w:sz w:val="18"/>
                <w:szCs w:val="18"/>
                <w:color w:val="auto"/>
              </w:rPr>
              <w:t>At period-end</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4,137,845</w:t>
            </w:r>
          </w:p>
        </w:tc>
        <w:tc>
          <w:tcPr>
            <w:tcW w:w="3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4,109,875</w:t>
            </w:r>
          </w:p>
        </w:tc>
        <w:tc>
          <w:tcPr>
            <w:tcW w:w="3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4,137,845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4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w w:val="84"/>
              </w:rPr>
              <w:t>4,109,875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Average</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4,107,608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4,132,526</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4,112,727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4,286,260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Allowance as a percentage of period-end loans</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3.55%</w:t>
            </w:r>
          </w:p>
        </w:tc>
        <w:tc>
          <w:tcPr>
            <w:tcW w:w="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2.60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As a percentage of average loans: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420"/>
              <w:spacing w:after="0"/>
              <w:rPr>
                <w:sz w:val="20"/>
                <w:szCs w:val="20"/>
                <w:color w:val="auto"/>
              </w:rPr>
            </w:pPr>
            <w:r>
              <w:rPr>
                <w:rFonts w:ascii="Arial" w:cs="Arial" w:eastAsia="Arial" w:hAnsi="Arial"/>
                <w:sz w:val="18"/>
                <w:szCs w:val="18"/>
                <w:color w:val="auto"/>
              </w:rPr>
              <w:t>Net charge-offs (annualized)</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1.99</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1.68</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1.80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8.28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loan losses (annualized)</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7.39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Allowance as a percentage of non-performing loans</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94</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101</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94</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bl>
    <w:p>
      <w:pPr>
        <w:spacing w:after="0" w:line="186"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Excludes loans covered by loss sharing agreements with the FDIC</w:t>
      </w:r>
    </w:p>
    <w:p>
      <w:pPr>
        <w:spacing w:after="0" w:line="11" w:lineRule="exact"/>
        <w:rPr>
          <w:sz w:val="20"/>
          <w:szCs w:val="20"/>
          <w:color w:val="auto"/>
        </w:rPr>
      </w:pPr>
    </w:p>
    <w:p>
      <w:pPr>
        <w:ind w:left="460" w:right="100" w:hanging="452"/>
        <w:spacing w:after="0" w:line="244" w:lineRule="auto"/>
        <w:tabs>
          <w:tab w:leader="none" w:pos="460" w:val="left"/>
        </w:tabs>
        <w:numPr>
          <w:ilvl w:val="0"/>
          <w:numId w:val="11"/>
        </w:numPr>
        <w:rPr>
          <w:rFonts w:ascii="Arial" w:cs="Arial" w:eastAsia="Arial" w:hAnsi="Arial"/>
          <w:sz w:val="22"/>
          <w:szCs w:val="22"/>
          <w:color w:val="auto"/>
          <w:vertAlign w:val="superscript"/>
        </w:rPr>
      </w:pPr>
      <w:r>
        <w:rPr>
          <w:rFonts w:ascii="Arial" w:cs="Arial" w:eastAsia="Arial" w:hAnsi="Arial"/>
          <w:sz w:val="18"/>
          <w:szCs w:val="18"/>
          <w:color w:val="auto"/>
        </w:rPr>
        <w:t>During the first quarter of 2011, United’s Problem Asset Dispostion Plan resulted in charge-offs totaling $186 million related to the Bulk Loan Sale that closed on April 18, 2011. The charge-offs were estimated based on indicative bids from prospective purchasers. Also in the first quarter related to United’s Problem Asset Disposition Plan was an additional $9.5 million in charge-offs related to other bulk loan sales that were completed in the first quarter of 2011 and $15.6 million in charge-offs on foreclosed properties related to the Problem Asset Disposition Plan. The loans sold in the Bulk Loan Sale that closed April 18, 2011 were reported in the loans held for sale category at March 31, 2011. Actual losses upon closing of the Bulk Loan Sale were $179 resulting in a $7.269 million reduction in charge-offs in the second quarter. Total losses related to the Problem Asset Disposition Plan for the first nine months of 2011 were $203.8 million.</w:t>
      </w:r>
    </w:p>
    <w:p>
      <w:pPr>
        <w:spacing w:after="0" w:line="15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provision for loan losses charged to earnings was based upon management’s judgment of the amount necessary to maintain the allowance at a level appropriate to absorb losses inherent in the loan portfolio at the balance sheet date. The amount each quarter is dependent upon many factors, including growth and changes in the composition of the loan portfolio, net charge-offs, delinquencies, management’s assessment of loan portfolio quality, the value of collateral, and other macro-economic factors and trends. The evaluation of these factors is performed quarterly by management through an analysis of the appropriateness of the allowance for loan losses.</w:t>
      </w:r>
    </w:p>
    <w:p>
      <w:pPr>
        <w:spacing w:after="0" w:line="14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At September 30, 2012 the allowance for loan losses was $108 million, or 2.60% of loans, compared with $114 million, or 2.79% of loans, at December 31, 2011 and $146 million, or 3.55% of loans, at September 30, 2011. The declining balance of the allowance for loan losses over the last four quarters reflects an overall improving trend in credit quality of the loan portfolio.</w:t>
      </w:r>
    </w:p>
    <w:p>
      <w:pPr>
        <w:sectPr>
          <w:pgSz w:w="11900" w:h="16838" w:orient="portrait"/>
          <w:cols w:equalWidth="0" w:num="1">
            <w:col w:w="11420"/>
          </w:cols>
          <w:pgMar w:left="240" w:top="459" w:right="239" w:bottom="1440" w:gutter="0" w:footer="0" w:header="0"/>
        </w:sectPr>
      </w:pP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420"/>
          </w:cols>
          <w:pgMar w:left="240" w:top="459" w:right="239" w:bottom="1440" w:gutter="0" w:footer="0" w:header="0"/>
          <w:type w:val="continuous"/>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Management believes that the allowance for loan losses at September 30, 2012 reflects the losses inherent in the loan portfolio. This assessment involves uncertainty and judgment; therefore, the adequacy of the allowance for loan losses cannot be determined with precision and may be subject to change in future periods. The amount of any changes could be significant if management’s assessment of loan quality or collateral values change substantially with respect to one or more loan relationships or portfolios. In addition, bank regulatory authorities, as part of their periodic examination of the Bank, may require adjustments to the provision for loan losses in future periods if, in their opinion, the results of their review warrant such additions. See the “Critical Accounting Policies” section for additional information on the allowance for loan losses.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Nonperforming Assets</w:t>
      </w:r>
    </w:p>
    <w:p>
      <w:pPr>
        <w:spacing w:after="0" w:line="9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table below summarizes nonperforming assets, excluding SCB’s assets covered by the loss-sharing agreement with the FDIC. Those assets have been excluded from nonperforming assets, as the loss-sharing agreement with the FDIC and purchase price adjustments to reflect credit losses effectively eliminate the likelihood of recognizing any losses on the covered assets.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10 - Nonperforming Assets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6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3"/>
              </w:rPr>
              <w:t>September 30,</w:t>
            </w:r>
          </w:p>
        </w:tc>
        <w:tc>
          <w:tcPr>
            <w:tcW w:w="0" w:type="dxa"/>
            <w:vAlign w:val="bottom"/>
          </w:tcPr>
          <w:p>
            <w:pPr>
              <w:spacing w:after="0"/>
              <w:rPr>
                <w:sz w:val="1"/>
                <w:szCs w:val="1"/>
                <w:color w:val="auto"/>
              </w:rPr>
            </w:pPr>
          </w:p>
        </w:tc>
      </w:tr>
      <w:tr>
        <w:trPr>
          <w:trHeight w:val="161"/>
        </w:trPr>
        <w:tc>
          <w:tcPr>
            <w:tcW w:w="502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2012</w:t>
            </w:r>
          </w:p>
        </w:tc>
        <w:tc>
          <w:tcPr>
            <w:tcW w:w="7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2011</w:t>
            </w:r>
          </w:p>
        </w:tc>
        <w:tc>
          <w:tcPr>
            <w:tcW w:w="44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Nonperforming loans*</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115,001</w:t>
            </w: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127,479</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144,484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20" w:type="dxa"/>
            <w:vAlign w:val="bottom"/>
          </w:tcPr>
          <w:p>
            <w:pPr>
              <w:spacing w:after="0"/>
              <w:rPr>
                <w:sz w:val="20"/>
                <w:szCs w:val="20"/>
                <w:color w:val="auto"/>
              </w:rPr>
            </w:pPr>
            <w:r>
              <w:rPr>
                <w:rFonts w:ascii="Arial" w:cs="Arial" w:eastAsia="Arial" w:hAnsi="Arial"/>
                <w:sz w:val="18"/>
                <w:szCs w:val="18"/>
                <w:color w:val="auto"/>
              </w:rPr>
              <w:t>Foreclosed properties (OREO)</w:t>
            </w:r>
          </w:p>
        </w:tc>
        <w:tc>
          <w:tcPr>
            <w:tcW w:w="5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26,958</w:t>
            </w:r>
          </w:p>
        </w:tc>
        <w:tc>
          <w:tcPr>
            <w:tcW w:w="7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32,859</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nonperforming assets</w:t>
            </w:r>
          </w:p>
        </w:tc>
        <w:tc>
          <w:tcPr>
            <w:tcW w:w="5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141,959</w:t>
            </w:r>
          </w:p>
        </w:tc>
        <w:tc>
          <w:tcPr>
            <w:tcW w:w="7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160,338</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188,747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20" w:type="dxa"/>
            <w:vAlign w:val="bottom"/>
            <w:vMerge w:val="restart"/>
          </w:tcPr>
          <w:p>
            <w:pPr>
              <w:spacing w:after="0"/>
              <w:rPr>
                <w:sz w:val="20"/>
                <w:szCs w:val="20"/>
                <w:color w:val="auto"/>
              </w:rPr>
            </w:pPr>
            <w:r>
              <w:rPr>
                <w:rFonts w:ascii="Arial" w:cs="Arial" w:eastAsia="Arial" w:hAnsi="Arial"/>
                <w:sz w:val="18"/>
                <w:szCs w:val="18"/>
                <w:color w:val="auto"/>
              </w:rPr>
              <w:t>Nonperforming loans as a percentage of total loans</w:t>
            </w:r>
          </w:p>
        </w:tc>
        <w:tc>
          <w:tcPr>
            <w:tcW w:w="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020" w:type="dxa"/>
            <w:vAlign w:val="bottom"/>
            <w:vMerge w:val="continue"/>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2.78%</w:t>
            </w:r>
          </w:p>
        </w:tc>
        <w:tc>
          <w:tcPr>
            <w:tcW w:w="16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3.10%</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w w:val="97"/>
              </w:rPr>
              <w:t>Nonperforming assets as a percentage of total loans and OREO</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3.87</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20" w:type="dxa"/>
            <w:vAlign w:val="bottom"/>
          </w:tcPr>
          <w:p>
            <w:pPr>
              <w:spacing w:after="0"/>
              <w:rPr>
                <w:sz w:val="20"/>
                <w:szCs w:val="20"/>
                <w:color w:val="auto"/>
              </w:rPr>
            </w:pPr>
            <w:r>
              <w:rPr>
                <w:rFonts w:ascii="Arial" w:cs="Arial" w:eastAsia="Arial" w:hAnsi="Arial"/>
                <w:sz w:val="18"/>
                <w:szCs w:val="18"/>
                <w:color w:val="auto"/>
              </w:rPr>
              <w:t>Nonperforming assets as a percentage of total assets</w:t>
            </w: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2.12</w:t>
            </w: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2.30</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There were no loans 90 days or more past due that were still accruing at period end.</w:t>
      </w:r>
    </w:p>
    <w:p>
      <w:pPr>
        <w:spacing w:after="0" w:line="171"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At September 30, 2012, nonperforming loans were $115 million, compared to $127 million at December 31, 2011 and $144 million at September 30, 2011. Nonperforming loans have steadily decreased in dollar amount and as a percentage of total loans following the classification of United’s largest lending relationship in the third quarter of 2011. Nonperforming assets, which include nonperforming loans and foreclosed real estate, totaled $142 million at September 30, 2012, compared with $160 million at December 31, 2011 and $189 million at September 30, 2011. United sold $8.82 million and $27.9 million, respectively, of foreclosed properties during the third quarter and first nine months of 2012 which helped to lower the balance of foreclosed properties by 39% compared to September 30, 2011.</w:t>
      </w:r>
    </w:p>
    <w:p>
      <w:pPr>
        <w:spacing w:after="0" w:line="144"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United’s policy is to place loans on nonaccrual status when, in the opinion of management, the principal and interest on a loan is not likely to be repaid in accordance with the loan terms or when the loan becomes 90 days past due and is not well secured and in the process of collection. When a loan is classified on nonaccrual status, interest previously accrued but not collected is reversed against current interest revenue. Principal and interest payments received on a nonaccrual loan are applied to reduce outstanding principal.</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60"/>
          </w:cols>
          <w:pgMar w:left="240" w:top="459" w:right="29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following table summarizes non-performing assets by category and market. As with Tables 7, 8 and 10, assets covered by the loss-sharing agreement with the FDIC, related to the acquisition of SCB, are excluded from this table.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Table 11 - Nonperforming Assets by Quarter </w:t>
      </w:r>
      <w:r>
        <w:rPr>
          <w:rFonts w:ascii="Arial" w:cs="Arial" w:eastAsia="Arial" w:hAnsi="Arial"/>
          <w:sz w:val="11"/>
          <w:szCs w:val="11"/>
          <w:b w:val="1"/>
          <w:bCs w:val="1"/>
          <w:color w:val="auto"/>
        </w:rPr>
        <w:t>(1)</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85"/>
              </w:rPr>
              <w:t>September 30, 2012</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w w:val="87"/>
              </w:rPr>
              <w:t>December 31, 2011</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6"/>
          </w:tcPr>
          <w:p>
            <w:pPr>
              <w:ind w:left="120"/>
              <w:spacing w:after="0"/>
              <w:rPr>
                <w:sz w:val="20"/>
                <w:szCs w:val="20"/>
                <w:color w:val="auto"/>
              </w:rPr>
            </w:pPr>
            <w:r>
              <w:rPr>
                <w:rFonts w:ascii="Arial" w:cs="Arial" w:eastAsia="Arial" w:hAnsi="Arial"/>
                <w:sz w:val="14"/>
                <w:szCs w:val="14"/>
                <w:b w:val="1"/>
                <w:bCs w:val="1"/>
                <w:color w:val="auto"/>
                <w:w w:val="93"/>
              </w:rPr>
              <w:t>September 30, 2011</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660" w:type="dxa"/>
            <w:vAlign w:val="bottom"/>
          </w:tcPr>
          <w:p>
            <w:pPr>
              <w:spacing w:after="0"/>
              <w:rPr>
                <w:sz w:val="11"/>
                <w:szCs w:val="11"/>
                <w:color w:val="auto"/>
              </w:rPr>
            </w:pPr>
          </w:p>
        </w:tc>
        <w:tc>
          <w:tcPr>
            <w:tcW w:w="96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Nonaccrual</w:t>
            </w:r>
          </w:p>
        </w:tc>
        <w:tc>
          <w:tcPr>
            <w:tcW w:w="840" w:type="dxa"/>
            <w:vAlign w:val="bottom"/>
            <w:tcBorders>
              <w:right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Foreclosed</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ind w:right="94"/>
              <w:spacing w:after="0" w:line="129" w:lineRule="exact"/>
              <w:rPr>
                <w:sz w:val="20"/>
                <w:szCs w:val="20"/>
                <w:color w:val="auto"/>
              </w:rPr>
            </w:pPr>
            <w:r>
              <w:rPr>
                <w:rFonts w:ascii="Arial" w:cs="Arial" w:eastAsia="Arial" w:hAnsi="Arial"/>
                <w:sz w:val="14"/>
                <w:szCs w:val="14"/>
                <w:b w:val="1"/>
                <w:bCs w:val="1"/>
                <w:color w:val="auto"/>
              </w:rPr>
              <w:t>Total</w:t>
            </w:r>
          </w:p>
        </w:tc>
        <w:tc>
          <w:tcPr>
            <w:tcW w:w="2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Nonaccrual</w:t>
            </w:r>
          </w:p>
        </w:tc>
        <w:tc>
          <w:tcPr>
            <w:tcW w:w="60" w:type="dxa"/>
            <w:vAlign w:val="bottom"/>
          </w:tcPr>
          <w:p>
            <w:pPr>
              <w:spacing w:after="0"/>
              <w:rPr>
                <w:sz w:val="11"/>
                <w:szCs w:val="11"/>
                <w:color w:val="auto"/>
              </w:rPr>
            </w:pPr>
          </w:p>
        </w:tc>
        <w:tc>
          <w:tcPr>
            <w:tcW w:w="840" w:type="dxa"/>
            <w:vAlign w:val="bottom"/>
            <w:tcBorders>
              <w:right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Foreclosed</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ind w:right="94"/>
              <w:spacing w:after="0" w:line="129" w:lineRule="exact"/>
              <w:rPr>
                <w:sz w:val="20"/>
                <w:szCs w:val="20"/>
                <w:color w:val="auto"/>
              </w:rPr>
            </w:pPr>
            <w:r>
              <w:rPr>
                <w:rFonts w:ascii="Arial" w:cs="Arial" w:eastAsia="Arial" w:hAnsi="Arial"/>
                <w:sz w:val="14"/>
                <w:szCs w:val="14"/>
                <w:b w:val="1"/>
                <w:bCs w:val="1"/>
                <w:color w:val="auto"/>
              </w:rPr>
              <w:t>Total</w:t>
            </w:r>
          </w:p>
        </w:tc>
        <w:tc>
          <w:tcPr>
            <w:tcW w:w="2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Nonaccrual</w:t>
            </w:r>
          </w:p>
        </w:tc>
        <w:tc>
          <w:tcPr>
            <w:tcW w:w="60" w:type="dxa"/>
            <w:vAlign w:val="bottom"/>
          </w:tcPr>
          <w:p>
            <w:pPr>
              <w:spacing w:after="0"/>
              <w:rPr>
                <w:sz w:val="11"/>
                <w:szCs w:val="11"/>
                <w:color w:val="auto"/>
              </w:rPr>
            </w:pPr>
          </w:p>
        </w:tc>
        <w:tc>
          <w:tcPr>
            <w:tcW w:w="840" w:type="dxa"/>
            <w:vAlign w:val="bottom"/>
            <w:tcBorders>
              <w:right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Foreclosed</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ind w:right="114"/>
              <w:spacing w:after="0" w:line="129" w:lineRule="exact"/>
              <w:rPr>
                <w:sz w:val="20"/>
                <w:szCs w:val="20"/>
                <w:color w:val="auto"/>
              </w:rPr>
            </w:pPr>
            <w:r>
              <w:rPr>
                <w:rFonts w:ascii="Arial" w:cs="Arial" w:eastAsia="Arial" w:hAnsi="Arial"/>
                <w:sz w:val="14"/>
                <w:szCs w:val="14"/>
                <w:b w:val="1"/>
                <w:bCs w:val="1"/>
                <w:color w:val="auto"/>
              </w:rPr>
              <w:t>Total</w:t>
            </w:r>
          </w:p>
        </w:tc>
        <w:tc>
          <w:tcPr>
            <w:tcW w:w="5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372"/>
              <w:spacing w:after="0"/>
              <w:rPr>
                <w:sz w:val="20"/>
                <w:szCs w:val="20"/>
                <w:color w:val="auto"/>
              </w:rPr>
            </w:pPr>
            <w:r>
              <w:rPr>
                <w:rFonts w:ascii="Arial" w:cs="Arial" w:eastAsia="Arial" w:hAnsi="Arial"/>
                <w:sz w:val="14"/>
                <w:szCs w:val="14"/>
                <w:b w:val="1"/>
                <w:bCs w:val="1"/>
                <w:color w:val="auto"/>
                <w:w w:val="96"/>
              </w:rPr>
              <w:t>Loans</w:t>
            </w:r>
          </w:p>
        </w:tc>
        <w:tc>
          <w:tcPr>
            <w:tcW w:w="840" w:type="dxa"/>
            <w:vAlign w:val="bottom"/>
            <w:tcBorders>
              <w:right w:val="single" w:sz="8" w:color="auto"/>
            </w:tcBorders>
            <w:gridSpan w:val="3"/>
          </w:tcPr>
          <w:p>
            <w:pPr>
              <w:spacing w:after="0"/>
              <w:rPr>
                <w:sz w:val="20"/>
                <w:szCs w:val="20"/>
                <w:color w:val="auto"/>
              </w:rPr>
            </w:pPr>
            <w:r>
              <w:rPr>
                <w:rFonts w:ascii="Arial" w:cs="Arial" w:eastAsia="Arial" w:hAnsi="Arial"/>
                <w:sz w:val="14"/>
                <w:szCs w:val="14"/>
                <w:b w:val="1"/>
                <w:bCs w:val="1"/>
                <w:color w:val="auto"/>
              </w:rPr>
              <w:t>Properties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Borders>
              <w:right w:val="single" w:sz="8" w:color="auto"/>
            </w:tcBorders>
            <w:gridSpan w:val="2"/>
          </w:tcPr>
          <w:p>
            <w:pPr>
              <w:jc w:val="right"/>
              <w:ind w:right="400"/>
              <w:spacing w:after="0"/>
              <w:rPr>
                <w:sz w:val="20"/>
                <w:szCs w:val="20"/>
                <w:color w:val="auto"/>
              </w:rPr>
            </w:pPr>
            <w:r>
              <w:rPr>
                <w:rFonts w:ascii="Arial" w:cs="Arial" w:eastAsia="Arial" w:hAnsi="Arial"/>
                <w:sz w:val="14"/>
                <w:szCs w:val="14"/>
                <w:b w:val="1"/>
                <w:bCs w:val="1"/>
                <w:color w:val="auto"/>
              </w:rPr>
              <w:t>NPAs</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312"/>
              <w:spacing w:after="0"/>
              <w:rPr>
                <w:sz w:val="20"/>
                <w:szCs w:val="20"/>
                <w:color w:val="auto"/>
              </w:rPr>
            </w:pPr>
            <w:r>
              <w:rPr>
                <w:rFonts w:ascii="Arial" w:cs="Arial" w:eastAsia="Arial" w:hAnsi="Arial"/>
                <w:sz w:val="14"/>
                <w:szCs w:val="14"/>
                <w:b w:val="1"/>
                <w:bCs w:val="1"/>
                <w:color w:val="auto"/>
                <w:w w:val="96"/>
              </w:rPr>
              <w:t>Loans</w:t>
            </w:r>
          </w:p>
        </w:tc>
        <w:tc>
          <w:tcPr>
            <w:tcW w:w="60" w:type="dxa"/>
            <w:vAlign w:val="bottom"/>
          </w:tcPr>
          <w:p>
            <w:pPr>
              <w:spacing w:after="0"/>
              <w:rPr>
                <w:sz w:val="14"/>
                <w:szCs w:val="14"/>
                <w:color w:val="auto"/>
              </w:rPr>
            </w:pPr>
          </w:p>
        </w:tc>
        <w:tc>
          <w:tcPr>
            <w:tcW w:w="840" w:type="dxa"/>
            <w:vAlign w:val="bottom"/>
            <w:tcBorders>
              <w:right w:val="single" w:sz="8" w:color="auto"/>
            </w:tcBorders>
            <w:gridSpan w:val="3"/>
          </w:tcPr>
          <w:p>
            <w:pPr>
              <w:spacing w:after="0"/>
              <w:rPr>
                <w:sz w:val="20"/>
                <w:szCs w:val="20"/>
                <w:color w:val="auto"/>
              </w:rPr>
            </w:pPr>
            <w:r>
              <w:rPr>
                <w:rFonts w:ascii="Arial" w:cs="Arial" w:eastAsia="Arial" w:hAnsi="Arial"/>
                <w:sz w:val="14"/>
                <w:szCs w:val="14"/>
                <w:b w:val="1"/>
                <w:bCs w:val="1"/>
                <w:color w:val="auto"/>
              </w:rPr>
              <w:t>Properties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Borders>
              <w:right w:val="single" w:sz="8" w:color="auto"/>
            </w:tcBorders>
            <w:gridSpan w:val="2"/>
          </w:tcPr>
          <w:p>
            <w:pPr>
              <w:jc w:val="right"/>
              <w:ind w:right="400"/>
              <w:spacing w:after="0"/>
              <w:rPr>
                <w:sz w:val="20"/>
                <w:szCs w:val="20"/>
                <w:color w:val="auto"/>
              </w:rPr>
            </w:pPr>
            <w:r>
              <w:rPr>
                <w:rFonts w:ascii="Arial" w:cs="Arial" w:eastAsia="Arial" w:hAnsi="Arial"/>
                <w:sz w:val="14"/>
                <w:szCs w:val="14"/>
                <w:b w:val="1"/>
                <w:bCs w:val="1"/>
                <w:color w:val="auto"/>
              </w:rPr>
              <w:t>NPAs</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492"/>
              <w:spacing w:after="0"/>
              <w:rPr>
                <w:sz w:val="20"/>
                <w:szCs w:val="20"/>
                <w:color w:val="auto"/>
              </w:rPr>
            </w:pPr>
            <w:r>
              <w:rPr>
                <w:rFonts w:ascii="Arial" w:cs="Arial" w:eastAsia="Arial" w:hAnsi="Arial"/>
                <w:sz w:val="14"/>
                <w:szCs w:val="14"/>
                <w:b w:val="1"/>
                <w:bCs w:val="1"/>
                <w:color w:val="auto"/>
                <w:w w:val="96"/>
              </w:rPr>
              <w:t>Loans</w:t>
            </w:r>
          </w:p>
        </w:tc>
        <w:tc>
          <w:tcPr>
            <w:tcW w:w="60" w:type="dxa"/>
            <w:vAlign w:val="bottom"/>
          </w:tcPr>
          <w:p>
            <w:pPr>
              <w:spacing w:after="0"/>
              <w:rPr>
                <w:sz w:val="14"/>
                <w:szCs w:val="14"/>
                <w:color w:val="auto"/>
              </w:rPr>
            </w:pPr>
          </w:p>
        </w:tc>
        <w:tc>
          <w:tcPr>
            <w:tcW w:w="840" w:type="dxa"/>
            <w:vAlign w:val="bottom"/>
            <w:tcBorders>
              <w:right w:val="single" w:sz="8" w:color="auto"/>
            </w:tcBorders>
            <w:gridSpan w:val="3"/>
          </w:tcPr>
          <w:p>
            <w:pPr>
              <w:spacing w:after="0"/>
              <w:rPr>
                <w:sz w:val="20"/>
                <w:szCs w:val="20"/>
                <w:color w:val="auto"/>
              </w:rPr>
            </w:pPr>
            <w:r>
              <w:rPr>
                <w:rFonts w:ascii="Arial" w:cs="Arial" w:eastAsia="Arial" w:hAnsi="Arial"/>
                <w:sz w:val="14"/>
                <w:szCs w:val="14"/>
                <w:b w:val="1"/>
                <w:bCs w:val="1"/>
                <w:color w:val="auto"/>
              </w:rPr>
              <w:t>Properties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Borders>
              <w:right w:val="single" w:sz="8" w:color="auto"/>
            </w:tcBorders>
            <w:gridSpan w:val="2"/>
          </w:tcPr>
          <w:p>
            <w:pPr>
              <w:jc w:val="right"/>
              <w:ind w:right="680"/>
              <w:spacing w:after="0"/>
              <w:rPr>
                <w:sz w:val="20"/>
                <w:szCs w:val="20"/>
                <w:color w:val="auto"/>
              </w:rPr>
            </w:pPr>
            <w:r>
              <w:rPr>
                <w:rFonts w:ascii="Arial" w:cs="Arial" w:eastAsia="Arial" w:hAnsi="Arial"/>
                <w:sz w:val="14"/>
                <w:szCs w:val="14"/>
                <w:b w:val="1"/>
                <w:bCs w:val="1"/>
                <w:color w:val="auto"/>
              </w:rPr>
              <w:t>NPAs</w:t>
            </w:r>
          </w:p>
        </w:tc>
        <w:tc>
          <w:tcPr>
            <w:tcW w:w="0" w:type="dxa"/>
            <w:vAlign w:val="bottom"/>
          </w:tcPr>
          <w:p>
            <w:pPr>
              <w:spacing w:after="0"/>
              <w:rPr>
                <w:sz w:val="1"/>
                <w:szCs w:val="1"/>
                <w:color w:val="auto"/>
              </w:rPr>
            </w:pPr>
          </w:p>
        </w:tc>
      </w:tr>
      <w:tr>
        <w:trPr>
          <w:trHeight w:val="196"/>
        </w:trPr>
        <w:tc>
          <w:tcPr>
            <w:tcW w:w="26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BY CATEGORY</w:t>
            </w: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right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right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right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right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right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Commercial (sec. by RE)</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25,896</w:t>
            </w:r>
          </w:p>
        </w:tc>
        <w:tc>
          <w:tcPr>
            <w:tcW w:w="2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8,767</w:t>
            </w:r>
          </w:p>
        </w:tc>
        <w:tc>
          <w:tcPr>
            <w:tcW w:w="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34,663</w:t>
            </w:r>
          </w:p>
        </w:tc>
        <w:tc>
          <w:tcPr>
            <w:tcW w:w="140" w:type="dxa"/>
            <w:vAlign w:val="bottom"/>
            <w:gridSpan w:val="2"/>
          </w:tcPr>
          <w:p>
            <w:pPr>
              <w:ind w:left="60"/>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52"/>
              <w:spacing w:after="0"/>
              <w:rPr>
                <w:sz w:val="20"/>
                <w:szCs w:val="20"/>
                <w:color w:val="auto"/>
              </w:rPr>
            </w:pPr>
            <w:r>
              <w:rPr>
                <w:rFonts w:ascii="Arial" w:cs="Arial" w:eastAsia="Arial" w:hAnsi="Arial"/>
                <w:sz w:val="18"/>
                <w:szCs w:val="18"/>
                <w:color w:val="auto"/>
              </w:rPr>
              <w:t>27,322</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9,745</w:t>
            </w:r>
          </w:p>
        </w:tc>
        <w:tc>
          <w:tcPr>
            <w:tcW w:w="22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37,067</w:t>
            </w:r>
          </w:p>
        </w:tc>
        <w:tc>
          <w:tcPr>
            <w:tcW w:w="2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332"/>
              <w:spacing w:after="0"/>
              <w:rPr>
                <w:sz w:val="20"/>
                <w:szCs w:val="20"/>
                <w:color w:val="auto"/>
              </w:rPr>
            </w:pPr>
            <w:r>
              <w:rPr>
                <w:rFonts w:ascii="Arial" w:cs="Arial" w:eastAsia="Arial" w:hAnsi="Arial"/>
                <w:sz w:val="18"/>
                <w:szCs w:val="18"/>
                <w:color w:val="auto"/>
              </w:rPr>
              <w:t>21,998</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8,880</w:t>
            </w:r>
          </w:p>
        </w:tc>
        <w:tc>
          <w:tcPr>
            <w:tcW w:w="2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right w:val="single" w:sz="8" w:color="auto"/>
            </w:tcBorders>
            <w:gridSpan w:val="2"/>
          </w:tcPr>
          <w:p>
            <w:pPr>
              <w:jc w:val="right"/>
              <w:ind w:right="500"/>
              <w:spacing w:after="0"/>
              <w:rPr>
                <w:sz w:val="20"/>
                <w:szCs w:val="20"/>
                <w:color w:val="auto"/>
              </w:rPr>
            </w:pPr>
            <w:r>
              <w:rPr>
                <w:rFonts w:ascii="Arial" w:cs="Arial" w:eastAsia="Arial" w:hAnsi="Arial"/>
                <w:sz w:val="18"/>
                <w:szCs w:val="18"/>
                <w:color w:val="auto"/>
              </w:rPr>
              <w:t>30,878</w:t>
            </w: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Commercial &amp; industrial</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32,678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tcBorders>
              <w:right w:val="single" w:sz="8" w:color="auto"/>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32,678</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34,613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tcBorders>
              <w:right w:val="single" w:sz="8" w:color="auto"/>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34,613</w:t>
            </w:r>
          </w:p>
        </w:tc>
        <w:tc>
          <w:tcPr>
            <w:tcW w:w="2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53,009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tcBorders>
              <w:right w:val="single" w:sz="8" w:color="auto"/>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tcBorders>
              <w:right w:val="single" w:sz="8" w:color="auto"/>
            </w:tcBorders>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53,009</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Commercial construction</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18,590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3,121</w:t>
            </w:r>
          </w:p>
        </w:tc>
        <w:tc>
          <w:tcPr>
            <w:tcW w:w="22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21,711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52"/>
              <w:spacing w:after="0"/>
              <w:rPr>
                <w:sz w:val="20"/>
                <w:szCs w:val="20"/>
                <w:color w:val="auto"/>
              </w:rPr>
            </w:pPr>
            <w:r>
              <w:rPr>
                <w:rFonts w:ascii="Arial" w:cs="Arial" w:eastAsia="Arial" w:hAnsi="Arial"/>
                <w:sz w:val="18"/>
                <w:szCs w:val="18"/>
                <w:color w:val="auto"/>
              </w:rPr>
              <w:t>16,655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3,336</w:t>
            </w:r>
          </w:p>
        </w:tc>
        <w:tc>
          <w:tcPr>
            <w:tcW w:w="22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19,991</w:t>
            </w:r>
          </w:p>
        </w:tc>
        <w:tc>
          <w:tcPr>
            <w:tcW w:w="2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332"/>
              <w:spacing w:after="0"/>
              <w:rPr>
                <w:sz w:val="20"/>
                <w:szCs w:val="20"/>
                <w:color w:val="auto"/>
              </w:rPr>
            </w:pPr>
            <w:r>
              <w:rPr>
                <w:rFonts w:ascii="Arial" w:cs="Arial" w:eastAsia="Arial" w:hAnsi="Arial"/>
                <w:sz w:val="18"/>
                <w:szCs w:val="18"/>
                <w:color w:val="auto"/>
              </w:rPr>
              <w:t>11,370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5,862</w:t>
            </w:r>
          </w:p>
        </w:tc>
        <w:tc>
          <w:tcPr>
            <w:tcW w:w="2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Borders>
              <w:right w:val="single" w:sz="8" w:color="auto"/>
            </w:tcBorders>
            <w:gridSpan w:val="2"/>
          </w:tcPr>
          <w:p>
            <w:pPr>
              <w:jc w:val="right"/>
              <w:ind w:right="500"/>
              <w:spacing w:after="0"/>
              <w:rPr>
                <w:sz w:val="20"/>
                <w:szCs w:val="20"/>
                <w:color w:val="auto"/>
              </w:rPr>
            </w:pPr>
            <w:r>
              <w:rPr>
                <w:rFonts w:ascii="Arial" w:cs="Arial" w:eastAsia="Arial" w:hAnsi="Arial"/>
                <w:sz w:val="18"/>
                <w:szCs w:val="18"/>
                <w:color w:val="auto"/>
              </w:rPr>
              <w:t>17,232</w:t>
            </w:r>
          </w:p>
        </w:tc>
        <w:tc>
          <w:tcPr>
            <w:tcW w:w="0" w:type="dxa"/>
            <w:vAlign w:val="bottom"/>
          </w:tcPr>
          <w:p>
            <w:pPr>
              <w:spacing w:after="0"/>
              <w:rPr>
                <w:sz w:val="1"/>
                <w:szCs w:val="1"/>
                <w:color w:val="auto"/>
              </w:rPr>
            </w:pPr>
          </w:p>
        </w:tc>
      </w:tr>
      <w:tr>
        <w:trPr>
          <w:trHeight w:val="27"/>
        </w:trPr>
        <w:tc>
          <w:tcPr>
            <w:tcW w:w="2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0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commercial</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77,164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11,888</w:t>
            </w:r>
          </w:p>
        </w:tc>
        <w:tc>
          <w:tcPr>
            <w:tcW w:w="220" w:type="dxa"/>
            <w:vAlign w:val="bottom"/>
            <w:tcBorders>
              <w:right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89,052</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78,590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13,081</w:t>
            </w:r>
          </w:p>
        </w:tc>
        <w:tc>
          <w:tcPr>
            <w:tcW w:w="220" w:type="dxa"/>
            <w:vAlign w:val="bottom"/>
            <w:tcBorders>
              <w:right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91,671</w:t>
            </w:r>
          </w:p>
        </w:tc>
        <w:tc>
          <w:tcPr>
            <w:tcW w:w="2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86,377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14,742</w:t>
            </w:r>
          </w:p>
        </w:tc>
        <w:tc>
          <w:tcPr>
            <w:tcW w:w="2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tcBorders>
              <w:right w:val="single" w:sz="8" w:color="auto"/>
            </w:tcBorders>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6"/>
              </w:rPr>
              <w:t>101,119</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Residential mortgage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13,996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6,031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20,027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52"/>
              <w:spacing w:after="0"/>
              <w:rPr>
                <w:sz w:val="20"/>
                <w:szCs w:val="20"/>
                <w:color w:val="auto"/>
              </w:rPr>
            </w:pPr>
            <w:r>
              <w:rPr>
                <w:rFonts w:ascii="Arial" w:cs="Arial" w:eastAsia="Arial" w:hAnsi="Arial"/>
                <w:sz w:val="18"/>
                <w:szCs w:val="18"/>
                <w:color w:val="auto"/>
              </w:rPr>
              <w:t>22,358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6,927</w:t>
            </w:r>
          </w:p>
        </w:tc>
        <w:tc>
          <w:tcPr>
            <w:tcW w:w="22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29,285</w:t>
            </w:r>
          </w:p>
        </w:tc>
        <w:tc>
          <w:tcPr>
            <w:tcW w:w="2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332"/>
              <w:spacing w:after="0"/>
              <w:rPr>
                <w:sz w:val="20"/>
                <w:szCs w:val="20"/>
                <w:color w:val="auto"/>
              </w:rPr>
            </w:pPr>
            <w:r>
              <w:rPr>
                <w:rFonts w:ascii="Arial" w:cs="Arial" w:eastAsia="Arial" w:hAnsi="Arial"/>
                <w:sz w:val="18"/>
                <w:szCs w:val="18"/>
                <w:color w:val="auto"/>
              </w:rPr>
              <w:t>22,671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7,960</w:t>
            </w:r>
          </w:p>
        </w:tc>
        <w:tc>
          <w:tcPr>
            <w:tcW w:w="2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Borders>
              <w:right w:val="single" w:sz="8" w:color="auto"/>
            </w:tcBorders>
            <w:gridSpan w:val="2"/>
          </w:tcPr>
          <w:p>
            <w:pPr>
              <w:jc w:val="right"/>
              <w:ind w:right="500"/>
              <w:spacing w:after="0"/>
              <w:rPr>
                <w:sz w:val="20"/>
                <w:szCs w:val="20"/>
                <w:color w:val="auto"/>
              </w:rPr>
            </w:pPr>
            <w:r>
              <w:rPr>
                <w:rFonts w:ascii="Arial" w:cs="Arial" w:eastAsia="Arial" w:hAnsi="Arial"/>
                <w:sz w:val="18"/>
                <w:szCs w:val="18"/>
                <w:color w:val="auto"/>
              </w:rPr>
              <w:t>30,631</w:t>
            </w: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Residential construction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22,935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9,039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31,974</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25,523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12,851</w:t>
            </w:r>
          </w:p>
        </w:tc>
        <w:tc>
          <w:tcPr>
            <w:tcW w:w="220" w:type="dxa"/>
            <w:vAlign w:val="bottom"/>
            <w:tcBorders>
              <w:right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38,374</w:t>
            </w:r>
          </w:p>
        </w:tc>
        <w:tc>
          <w:tcPr>
            <w:tcW w:w="2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34,472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21,561</w:t>
            </w:r>
          </w:p>
        </w:tc>
        <w:tc>
          <w:tcPr>
            <w:tcW w:w="2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tcBorders>
              <w:right w:val="single" w:sz="8" w:color="auto"/>
            </w:tcBorders>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56,033</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Consumer installment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906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906</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52"/>
              <w:spacing w:after="0"/>
              <w:rPr>
                <w:sz w:val="20"/>
                <w:szCs w:val="20"/>
                <w:color w:val="auto"/>
              </w:rPr>
            </w:pPr>
            <w:r>
              <w:rPr>
                <w:rFonts w:ascii="Arial" w:cs="Arial" w:eastAsia="Arial" w:hAnsi="Arial"/>
                <w:sz w:val="18"/>
                <w:szCs w:val="18"/>
                <w:color w:val="auto"/>
              </w:rPr>
              <w:t>1,008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Borders>
              <w:right w:val="single" w:sz="8" w:color="auto"/>
            </w:tcBorders>
            <w:gridSpan w:val="2"/>
          </w:tcPr>
          <w:p>
            <w:pPr>
              <w:jc w:val="right"/>
              <w:ind w:right="3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1,008</w:t>
            </w:r>
          </w:p>
        </w:tc>
        <w:tc>
          <w:tcPr>
            <w:tcW w:w="2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332"/>
              <w:spacing w:after="0"/>
              <w:rPr>
                <w:sz w:val="20"/>
                <w:szCs w:val="20"/>
                <w:color w:val="auto"/>
              </w:rPr>
            </w:pPr>
            <w:r>
              <w:rPr>
                <w:rFonts w:ascii="Arial" w:cs="Arial" w:eastAsia="Arial" w:hAnsi="Arial"/>
                <w:sz w:val="18"/>
                <w:szCs w:val="18"/>
                <w:color w:val="auto"/>
              </w:rPr>
              <w:t>964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Borders>
              <w:right w:val="single" w:sz="8" w:color="auto"/>
            </w:tcBorders>
            <w:gridSpan w:val="2"/>
          </w:tcPr>
          <w:p>
            <w:pPr>
              <w:jc w:val="right"/>
              <w:ind w:right="3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Borders>
              <w:right w:val="single" w:sz="8" w:color="auto"/>
            </w:tcBorders>
            <w:gridSpan w:val="2"/>
          </w:tcPr>
          <w:p>
            <w:pPr>
              <w:jc w:val="right"/>
              <w:ind w:right="500"/>
              <w:spacing w:after="0"/>
              <w:rPr>
                <w:sz w:val="20"/>
                <w:szCs w:val="20"/>
                <w:color w:val="auto"/>
              </w:rPr>
            </w:pPr>
            <w:r>
              <w:rPr>
                <w:rFonts w:ascii="Arial" w:cs="Arial" w:eastAsia="Arial" w:hAnsi="Arial"/>
                <w:sz w:val="18"/>
                <w:szCs w:val="18"/>
                <w:color w:val="auto"/>
              </w:rPr>
              <w:t>964</w:t>
            </w:r>
          </w:p>
        </w:tc>
        <w:tc>
          <w:tcPr>
            <w:tcW w:w="0" w:type="dxa"/>
            <w:vAlign w:val="bottom"/>
          </w:tcPr>
          <w:p>
            <w:pPr>
              <w:spacing w:after="0"/>
              <w:rPr>
                <w:sz w:val="1"/>
                <w:szCs w:val="1"/>
                <w:color w:val="auto"/>
              </w:rPr>
            </w:pPr>
          </w:p>
        </w:tc>
      </w:tr>
      <w:tr>
        <w:trPr>
          <w:trHeight w:val="27"/>
        </w:trPr>
        <w:tc>
          <w:tcPr>
            <w:tcW w:w="2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0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66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NPAs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115,001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26,958</w:t>
            </w:r>
          </w:p>
        </w:tc>
        <w:tc>
          <w:tcPr>
            <w:tcW w:w="220" w:type="dxa"/>
            <w:vAlign w:val="bottom"/>
            <w:tcBorders>
              <w:right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141,959</w:t>
            </w: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5"/>
                <w:szCs w:val="15"/>
                <w:u w:val="single" w:color="auto"/>
                <w:color w:val="auto"/>
                <w:w w:val="71"/>
              </w:rPr>
              <w:t>$</w:t>
            </w:r>
          </w:p>
        </w:tc>
        <w:tc>
          <w:tcPr>
            <w:tcW w:w="80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w w:val="86"/>
              </w:rPr>
              <w:t>127,479</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32,859</w:t>
            </w:r>
          </w:p>
        </w:tc>
        <w:tc>
          <w:tcPr>
            <w:tcW w:w="220" w:type="dxa"/>
            <w:vAlign w:val="bottom"/>
            <w:tcBorders>
              <w:right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160,338</w:t>
            </w:r>
          </w:p>
        </w:tc>
        <w:tc>
          <w:tcPr>
            <w:tcW w:w="2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u w:val="single" w:color="auto"/>
                <w:color w:val="auto"/>
                <w:w w:val="71"/>
              </w:rPr>
              <w:t>$</w:t>
            </w:r>
          </w:p>
        </w:tc>
        <w:tc>
          <w:tcPr>
            <w:tcW w:w="98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w w:val="86"/>
              </w:rPr>
              <w:t>144,484</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44,263</w:t>
            </w:r>
          </w:p>
        </w:tc>
        <w:tc>
          <w:tcPr>
            <w:tcW w:w="2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080" w:type="dxa"/>
            <w:vAlign w:val="bottom"/>
            <w:tcBorders>
              <w:right w:val="single" w:sz="8" w:color="auto"/>
            </w:tcBorders>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6"/>
              </w:rPr>
              <w:t>188,747</w:t>
            </w:r>
          </w:p>
        </w:tc>
        <w:tc>
          <w:tcPr>
            <w:tcW w:w="0" w:type="dxa"/>
            <w:vAlign w:val="bottom"/>
          </w:tcPr>
          <w:p>
            <w:pPr>
              <w:spacing w:after="0"/>
              <w:rPr>
                <w:sz w:val="1"/>
                <w:szCs w:val="1"/>
                <w:color w:val="auto"/>
              </w:rPr>
            </w:pPr>
          </w:p>
        </w:tc>
      </w:tr>
      <w:tr>
        <w:trPr>
          <w:trHeight w:val="20"/>
        </w:trPr>
        <w:tc>
          <w:tcPr>
            <w:tcW w:w="2660" w:type="dxa"/>
            <w:vAlign w:val="bottom"/>
            <w:vMerge w:val="restart"/>
          </w:tcPr>
          <w:p>
            <w:pPr>
              <w:ind w:left="440"/>
              <w:spacing w:after="0"/>
              <w:rPr>
                <w:sz w:val="20"/>
                <w:szCs w:val="20"/>
                <w:color w:val="auto"/>
              </w:rPr>
            </w:pPr>
            <w:r>
              <w:rPr>
                <w:rFonts w:ascii="Arial" w:cs="Arial" w:eastAsia="Arial" w:hAnsi="Arial"/>
                <w:sz w:val="18"/>
                <w:szCs w:val="18"/>
                <w:b w:val="1"/>
                <w:bCs w:val="1"/>
                <w:color w:val="auto"/>
              </w:rPr>
              <w:t>Balance as a % of Unpaid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660" w:type="dxa"/>
            <w:vAlign w:val="bottom"/>
          </w:tcPr>
          <w:p>
            <w:pPr>
              <w:ind w:left="660"/>
              <w:spacing w:after="0"/>
              <w:rPr>
                <w:sz w:val="20"/>
                <w:szCs w:val="20"/>
                <w:color w:val="auto"/>
              </w:rPr>
            </w:pPr>
            <w:r>
              <w:rPr>
                <w:rFonts w:ascii="Arial" w:cs="Arial" w:eastAsia="Arial" w:hAnsi="Arial"/>
                <w:sz w:val="18"/>
                <w:szCs w:val="18"/>
                <w:b w:val="1"/>
                <w:bCs w:val="1"/>
                <w:color w:val="auto"/>
              </w:rPr>
              <w:t>Principal</w:t>
            </w:r>
          </w:p>
        </w:tc>
        <w:tc>
          <w:tcPr>
            <w:tcW w:w="100" w:type="dxa"/>
            <w:vAlign w:val="bottom"/>
          </w:tcPr>
          <w:p>
            <w:pPr>
              <w:spacing w:after="0"/>
              <w:rPr>
                <w:sz w:val="19"/>
                <w:szCs w:val="19"/>
                <w:color w:val="auto"/>
              </w:rPr>
            </w:pPr>
          </w:p>
        </w:tc>
        <w:tc>
          <w:tcPr>
            <w:tcW w:w="860" w:type="dxa"/>
            <w:vAlign w:val="bottom"/>
            <w:gridSpan w:val="2"/>
          </w:tcPr>
          <w:p>
            <w:pPr>
              <w:jc w:val="right"/>
              <w:ind w:right="52"/>
              <w:spacing w:after="0"/>
              <w:rPr>
                <w:sz w:val="20"/>
                <w:szCs w:val="20"/>
                <w:color w:val="auto"/>
              </w:rPr>
            </w:pPr>
            <w:r>
              <w:rPr>
                <w:rFonts w:ascii="Arial" w:cs="Arial" w:eastAsia="Arial" w:hAnsi="Arial"/>
                <w:sz w:val="18"/>
                <w:szCs w:val="18"/>
                <w:color w:val="auto"/>
              </w:rPr>
              <w:t>68.8%</w:t>
            </w:r>
          </w:p>
        </w:tc>
        <w:tc>
          <w:tcPr>
            <w:tcW w:w="100" w:type="dxa"/>
            <w:vAlign w:val="bottom"/>
          </w:tcPr>
          <w:p>
            <w:pPr>
              <w:spacing w:after="0"/>
              <w:rPr>
                <w:sz w:val="19"/>
                <w:szCs w:val="19"/>
                <w:color w:val="auto"/>
              </w:rPr>
            </w:pPr>
          </w:p>
        </w:tc>
        <w:tc>
          <w:tcPr>
            <w:tcW w:w="74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36.4%</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58.8%</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71.3%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35.9%</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59.3%</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ind w:right="12"/>
              <w:spacing w:after="0"/>
              <w:rPr>
                <w:sz w:val="20"/>
                <w:szCs w:val="20"/>
                <w:color w:val="auto"/>
              </w:rPr>
            </w:pPr>
            <w:r>
              <w:rPr>
                <w:rFonts w:ascii="Arial" w:cs="Arial" w:eastAsia="Arial" w:hAnsi="Arial"/>
                <w:sz w:val="18"/>
                <w:szCs w:val="18"/>
                <w:color w:val="auto"/>
              </w:rPr>
              <w:t xml:space="preserve">77.8% </w:t>
            </w:r>
            <w:r>
              <w:rPr>
                <w:rFonts w:ascii="Arial" w:cs="Arial" w:eastAsia="Arial" w:hAnsi="Arial"/>
                <w:sz w:val="11"/>
                <w:szCs w:val="11"/>
                <w:color w:val="auto"/>
              </w:rPr>
              <w:t>(2)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33.4%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 xml:space="preserve">59.3% </w:t>
            </w: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18"/>
        </w:trPr>
        <w:tc>
          <w:tcPr>
            <w:tcW w:w="2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BY MARKET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tcBorders>
              <w:right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tcBorders>
              <w:right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North Georgia</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72,211</w:t>
            </w:r>
          </w:p>
        </w:tc>
        <w:tc>
          <w:tcPr>
            <w:tcW w:w="2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w w:val="90"/>
              </w:rPr>
              <w:t>14,582</w:t>
            </w:r>
          </w:p>
        </w:tc>
        <w:tc>
          <w:tcPr>
            <w:tcW w:w="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86,793</w:t>
            </w:r>
          </w:p>
        </w:tc>
        <w:tc>
          <w:tcPr>
            <w:tcW w:w="140" w:type="dxa"/>
            <w:vAlign w:val="bottom"/>
            <w:gridSpan w:val="2"/>
          </w:tcPr>
          <w:p>
            <w:pPr>
              <w:ind w:left="60"/>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52"/>
              <w:spacing w:after="0"/>
              <w:rPr>
                <w:sz w:val="20"/>
                <w:szCs w:val="20"/>
                <w:color w:val="auto"/>
              </w:rPr>
            </w:pPr>
            <w:r>
              <w:rPr>
                <w:rFonts w:ascii="Arial" w:cs="Arial" w:eastAsia="Arial" w:hAnsi="Arial"/>
                <w:sz w:val="18"/>
                <w:szCs w:val="18"/>
                <w:color w:val="auto"/>
              </w:rPr>
              <w:t>88,600</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15,136</w:t>
            </w:r>
          </w:p>
        </w:tc>
        <w:tc>
          <w:tcPr>
            <w:tcW w:w="22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103,736</w:t>
            </w:r>
          </w:p>
        </w:tc>
        <w:tc>
          <w:tcPr>
            <w:tcW w:w="2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332"/>
              <w:spacing w:after="0"/>
              <w:rPr>
                <w:sz w:val="20"/>
                <w:szCs w:val="20"/>
                <w:color w:val="auto"/>
              </w:rPr>
            </w:pPr>
            <w:r>
              <w:rPr>
                <w:rFonts w:ascii="Arial" w:cs="Arial" w:eastAsia="Arial" w:hAnsi="Arial"/>
                <w:sz w:val="18"/>
                <w:szCs w:val="18"/>
                <w:color w:val="auto"/>
                <w:w w:val="86"/>
              </w:rPr>
              <w:t>105,078</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17,467</w:t>
            </w:r>
          </w:p>
        </w:tc>
        <w:tc>
          <w:tcPr>
            <w:tcW w:w="2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right w:val="single" w:sz="8" w:color="auto"/>
            </w:tcBorders>
            <w:gridSpan w:val="2"/>
          </w:tcPr>
          <w:p>
            <w:pPr>
              <w:jc w:val="right"/>
              <w:ind w:right="500"/>
              <w:spacing w:after="0"/>
              <w:rPr>
                <w:sz w:val="20"/>
                <w:szCs w:val="20"/>
                <w:color w:val="auto"/>
              </w:rPr>
            </w:pPr>
            <w:r>
              <w:rPr>
                <w:rFonts w:ascii="Arial" w:cs="Arial" w:eastAsia="Arial" w:hAnsi="Arial"/>
                <w:sz w:val="18"/>
                <w:szCs w:val="18"/>
                <w:color w:val="auto"/>
                <w:w w:val="86"/>
              </w:rPr>
              <w:t>122,545</w:t>
            </w: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Atlanta MSA</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21,349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5,926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27,275</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14,480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6,169</w:t>
            </w:r>
          </w:p>
        </w:tc>
        <w:tc>
          <w:tcPr>
            <w:tcW w:w="220" w:type="dxa"/>
            <w:vAlign w:val="bottom"/>
            <w:tcBorders>
              <w:right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20,649</w:t>
            </w:r>
          </w:p>
        </w:tc>
        <w:tc>
          <w:tcPr>
            <w:tcW w:w="2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13,350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12,971</w:t>
            </w:r>
          </w:p>
        </w:tc>
        <w:tc>
          <w:tcPr>
            <w:tcW w:w="2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tcBorders>
              <w:right w:val="single" w:sz="8" w:color="auto"/>
            </w:tcBorders>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26,321</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North Carolina</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9,622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2,771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12,393</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52"/>
              <w:spacing w:after="0"/>
              <w:rPr>
                <w:sz w:val="20"/>
                <w:szCs w:val="20"/>
                <w:color w:val="auto"/>
              </w:rPr>
            </w:pPr>
            <w:r>
              <w:rPr>
                <w:rFonts w:ascii="Arial" w:cs="Arial" w:eastAsia="Arial" w:hAnsi="Arial"/>
                <w:sz w:val="18"/>
                <w:szCs w:val="18"/>
                <w:color w:val="auto"/>
              </w:rPr>
              <w:t>15,100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5,365</w:t>
            </w:r>
          </w:p>
        </w:tc>
        <w:tc>
          <w:tcPr>
            <w:tcW w:w="22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20,465</w:t>
            </w:r>
          </w:p>
        </w:tc>
        <w:tc>
          <w:tcPr>
            <w:tcW w:w="2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332"/>
              <w:spacing w:after="0"/>
              <w:rPr>
                <w:sz w:val="20"/>
                <w:szCs w:val="20"/>
                <w:color w:val="auto"/>
              </w:rPr>
            </w:pPr>
            <w:r>
              <w:rPr>
                <w:rFonts w:ascii="Arial" w:cs="Arial" w:eastAsia="Arial" w:hAnsi="Arial"/>
                <w:sz w:val="18"/>
                <w:szCs w:val="18"/>
                <w:color w:val="auto"/>
              </w:rPr>
              <w:t>13,243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7,941</w:t>
            </w:r>
          </w:p>
        </w:tc>
        <w:tc>
          <w:tcPr>
            <w:tcW w:w="2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Borders>
              <w:right w:val="single" w:sz="8" w:color="auto"/>
            </w:tcBorders>
            <w:gridSpan w:val="2"/>
          </w:tcPr>
          <w:p>
            <w:pPr>
              <w:jc w:val="right"/>
              <w:ind w:right="500"/>
              <w:spacing w:after="0"/>
              <w:rPr>
                <w:sz w:val="20"/>
                <w:szCs w:val="20"/>
                <w:color w:val="auto"/>
              </w:rPr>
            </w:pPr>
            <w:r>
              <w:rPr>
                <w:rFonts w:ascii="Arial" w:cs="Arial" w:eastAsia="Arial" w:hAnsi="Arial"/>
                <w:sz w:val="18"/>
                <w:szCs w:val="18"/>
                <w:color w:val="auto"/>
              </w:rPr>
              <w:t>21,184</w:t>
            </w: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Coastal Georgia</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7,686</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5,248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1,620</w:t>
            </w:r>
          </w:p>
        </w:tc>
        <w:tc>
          <w:tcPr>
            <w:tcW w:w="220" w:type="dxa"/>
            <w:vAlign w:val="bottom"/>
            <w:tcBorders>
              <w:right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6,868</w:t>
            </w:r>
          </w:p>
        </w:tc>
        <w:tc>
          <w:tcPr>
            <w:tcW w:w="2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5,600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2,354</w:t>
            </w:r>
          </w:p>
        </w:tc>
        <w:tc>
          <w:tcPr>
            <w:tcW w:w="2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tcBorders>
              <w:right w:val="single" w:sz="8" w:color="auto"/>
            </w:tcBorders>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7,954</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Gainesville MSA</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840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1,328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2,168</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52"/>
              <w:spacing w:after="0"/>
              <w:rPr>
                <w:sz w:val="20"/>
                <w:szCs w:val="20"/>
                <w:color w:val="auto"/>
              </w:rPr>
            </w:pPr>
            <w:r>
              <w:rPr>
                <w:rFonts w:ascii="Arial" w:cs="Arial" w:eastAsia="Arial" w:hAnsi="Arial"/>
                <w:sz w:val="18"/>
                <w:szCs w:val="18"/>
                <w:color w:val="auto"/>
              </w:rPr>
              <w:t>2,069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3,760</w:t>
            </w:r>
          </w:p>
        </w:tc>
        <w:tc>
          <w:tcPr>
            <w:tcW w:w="22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5,829</w:t>
            </w:r>
          </w:p>
        </w:tc>
        <w:tc>
          <w:tcPr>
            <w:tcW w:w="2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332"/>
              <w:spacing w:after="0"/>
              <w:rPr>
                <w:sz w:val="20"/>
                <w:szCs w:val="20"/>
                <w:color w:val="auto"/>
              </w:rPr>
            </w:pPr>
            <w:r>
              <w:rPr>
                <w:rFonts w:ascii="Arial" w:cs="Arial" w:eastAsia="Arial" w:hAnsi="Arial"/>
                <w:sz w:val="18"/>
                <w:szCs w:val="18"/>
                <w:color w:val="auto"/>
              </w:rPr>
              <w:t>5,311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2,495</w:t>
            </w:r>
          </w:p>
        </w:tc>
        <w:tc>
          <w:tcPr>
            <w:tcW w:w="2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Borders>
              <w:right w:val="single" w:sz="8" w:color="auto"/>
            </w:tcBorders>
            <w:gridSpan w:val="2"/>
          </w:tcPr>
          <w:p>
            <w:pPr>
              <w:jc w:val="right"/>
              <w:ind w:right="500"/>
              <w:spacing w:after="0"/>
              <w:rPr>
                <w:sz w:val="20"/>
                <w:szCs w:val="20"/>
                <w:color w:val="auto"/>
              </w:rPr>
            </w:pPr>
            <w:r>
              <w:rPr>
                <w:rFonts w:ascii="Arial" w:cs="Arial" w:eastAsia="Arial" w:hAnsi="Arial"/>
                <w:sz w:val="18"/>
                <w:szCs w:val="18"/>
                <w:color w:val="auto"/>
              </w:rPr>
              <w:t>7,806</w:t>
            </w: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East Tennessee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1,487</w:t>
            </w:r>
          </w:p>
        </w:tc>
        <w:tc>
          <w:tcPr>
            <w:tcW w:w="220" w:type="dxa"/>
            <w:vAlign w:val="bottom"/>
            <w:tcBorders>
              <w:right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5,644</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1,982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w:t>
            </w:r>
          </w:p>
        </w:tc>
        <w:tc>
          <w:tcPr>
            <w:tcW w:w="220" w:type="dxa"/>
            <w:vAlign w:val="bottom"/>
            <w:tcBorders>
              <w:right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2,791</w:t>
            </w:r>
          </w:p>
        </w:tc>
        <w:tc>
          <w:tcPr>
            <w:tcW w:w="2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1,902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w:t>
            </w:r>
          </w:p>
        </w:tc>
        <w:tc>
          <w:tcPr>
            <w:tcW w:w="2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tcBorders>
              <w:right w:val="single" w:sz="8" w:color="auto"/>
            </w:tcBorders>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2,937</w:t>
            </w:r>
          </w:p>
        </w:tc>
        <w:tc>
          <w:tcPr>
            <w:tcW w:w="0" w:type="dxa"/>
            <w:vAlign w:val="bottom"/>
          </w:tcPr>
          <w:p>
            <w:pPr>
              <w:spacing w:after="0"/>
              <w:rPr>
                <w:sz w:val="1"/>
                <w:szCs w:val="1"/>
                <w:color w:val="auto"/>
              </w:rPr>
            </w:pPr>
          </w:p>
        </w:tc>
      </w:tr>
      <w:tr>
        <w:trPr>
          <w:trHeight w:val="20"/>
        </w:trPr>
        <w:tc>
          <w:tcPr>
            <w:tcW w:w="2660" w:type="dxa"/>
            <w:vAlign w:val="bottom"/>
            <w:vMerge w:val="restart"/>
          </w:tcPr>
          <w:p>
            <w:pPr>
              <w:ind w:left="440"/>
              <w:spacing w:after="0"/>
              <w:rPr>
                <w:sz w:val="20"/>
                <w:szCs w:val="20"/>
                <w:color w:val="auto"/>
              </w:rPr>
            </w:pPr>
            <w:r>
              <w:rPr>
                <w:rFonts w:ascii="Arial" w:cs="Arial" w:eastAsia="Arial" w:hAnsi="Arial"/>
                <w:sz w:val="18"/>
                <w:szCs w:val="18"/>
                <w:b w:val="1"/>
                <w:bCs w:val="1"/>
                <w:color w:val="auto"/>
              </w:rPr>
              <w:t>Total NPAs</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66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115,001</w:t>
            </w:r>
          </w:p>
        </w:tc>
        <w:tc>
          <w:tcPr>
            <w:tcW w:w="28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26,958</w:t>
            </w:r>
          </w:p>
        </w:tc>
        <w:tc>
          <w:tcPr>
            <w:tcW w:w="22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w w:val="86"/>
              </w:rPr>
              <w:t>141,959</w:t>
            </w:r>
          </w:p>
        </w:tc>
        <w:tc>
          <w:tcPr>
            <w:tcW w:w="140" w:type="dxa"/>
            <w:vAlign w:val="bottom"/>
            <w:gridSpan w:val="2"/>
          </w:tcPr>
          <w:p>
            <w:pPr>
              <w:ind w:left="60"/>
              <w:spacing w:after="0"/>
              <w:rPr>
                <w:sz w:val="20"/>
                <w:szCs w:val="20"/>
                <w:color w:val="auto"/>
              </w:rPr>
            </w:pPr>
            <w:r>
              <w:rPr>
                <w:rFonts w:ascii="Arial" w:cs="Arial" w:eastAsia="Arial" w:hAnsi="Arial"/>
                <w:sz w:val="15"/>
                <w:szCs w:val="15"/>
                <w:u w:val="single" w:color="auto"/>
                <w:color w:val="auto"/>
                <w:w w:val="71"/>
              </w:rPr>
              <w:t>$</w:t>
            </w:r>
          </w:p>
        </w:tc>
        <w:tc>
          <w:tcPr>
            <w:tcW w:w="800" w:type="dxa"/>
            <w:vAlign w:val="bottom"/>
            <w:gridSpan w:val="2"/>
          </w:tcPr>
          <w:p>
            <w:pPr>
              <w:jc w:val="right"/>
              <w:ind w:right="152"/>
              <w:spacing w:after="0"/>
              <w:rPr>
                <w:sz w:val="20"/>
                <w:szCs w:val="20"/>
                <w:color w:val="auto"/>
              </w:rPr>
            </w:pPr>
            <w:r>
              <w:rPr>
                <w:rFonts w:ascii="Arial" w:cs="Arial" w:eastAsia="Arial" w:hAnsi="Arial"/>
                <w:sz w:val="18"/>
                <w:szCs w:val="18"/>
                <w:color w:val="auto"/>
                <w:w w:val="86"/>
              </w:rPr>
              <w:t>127,479</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32,859</w:t>
            </w:r>
          </w:p>
        </w:tc>
        <w:tc>
          <w:tcPr>
            <w:tcW w:w="22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160,338</w:t>
            </w:r>
          </w:p>
        </w:tc>
        <w:tc>
          <w:tcPr>
            <w:tcW w:w="2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u w:val="single" w:color="auto"/>
                <w:color w:val="auto"/>
                <w:w w:val="71"/>
              </w:rPr>
              <w:t>$</w:t>
            </w:r>
          </w:p>
        </w:tc>
        <w:tc>
          <w:tcPr>
            <w:tcW w:w="980" w:type="dxa"/>
            <w:vAlign w:val="bottom"/>
            <w:gridSpan w:val="2"/>
          </w:tcPr>
          <w:p>
            <w:pPr>
              <w:jc w:val="right"/>
              <w:ind w:right="332"/>
              <w:spacing w:after="0"/>
              <w:rPr>
                <w:sz w:val="20"/>
                <w:szCs w:val="20"/>
                <w:color w:val="auto"/>
              </w:rPr>
            </w:pPr>
            <w:r>
              <w:rPr>
                <w:rFonts w:ascii="Arial" w:cs="Arial" w:eastAsia="Arial" w:hAnsi="Arial"/>
                <w:sz w:val="18"/>
                <w:szCs w:val="18"/>
                <w:color w:val="auto"/>
                <w:w w:val="86"/>
              </w:rPr>
              <w:t>144,484</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44,263</w:t>
            </w:r>
          </w:p>
        </w:tc>
        <w:tc>
          <w:tcPr>
            <w:tcW w:w="2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1080" w:type="dxa"/>
            <w:vAlign w:val="bottom"/>
            <w:tcBorders>
              <w:right w:val="single" w:sz="8" w:color="auto"/>
            </w:tcBorders>
            <w:gridSpan w:val="2"/>
          </w:tcPr>
          <w:p>
            <w:pPr>
              <w:jc w:val="right"/>
              <w:ind w:right="500"/>
              <w:spacing w:after="0"/>
              <w:rPr>
                <w:sz w:val="20"/>
                <w:szCs w:val="20"/>
                <w:color w:val="auto"/>
              </w:rPr>
            </w:pPr>
            <w:r>
              <w:rPr>
                <w:rFonts w:ascii="Arial" w:cs="Arial" w:eastAsia="Arial" w:hAnsi="Arial"/>
                <w:sz w:val="18"/>
                <w:szCs w:val="18"/>
                <w:color w:val="auto"/>
                <w:w w:val="86"/>
              </w:rPr>
              <w:t>188,747</w:t>
            </w: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21"/>
          <w:szCs w:val="21"/>
          <w:color w:val="auto"/>
          <w:vertAlign w:val="superscript"/>
        </w:rPr>
      </w:pPr>
      <w:r>
        <w:rPr>
          <w:rFonts w:ascii="Arial" w:cs="Arial" w:eastAsia="Arial" w:hAnsi="Arial"/>
          <w:sz w:val="17"/>
          <w:szCs w:val="17"/>
          <w:color w:val="auto"/>
        </w:rPr>
        <w:t>Excludes non-performing loans and foreclosed properties covered by the loss-sharing agreement with the FDIC, related to the acquisition of SCB.</w:t>
      </w:r>
    </w:p>
    <w:p>
      <w:pPr>
        <w:spacing w:after="0" w:line="7" w:lineRule="exact"/>
        <w:rPr>
          <w:rFonts w:ascii="Arial" w:cs="Arial" w:eastAsia="Arial" w:hAnsi="Arial"/>
          <w:sz w:val="21"/>
          <w:szCs w:val="21"/>
          <w:color w:val="auto"/>
          <w:vertAlign w:val="superscript"/>
        </w:rPr>
      </w:pPr>
    </w:p>
    <w:p>
      <w:pPr>
        <w:ind w:left="460" w:right="300" w:hanging="452"/>
        <w:spacing w:after="0" w:line="230" w:lineRule="auto"/>
        <w:tabs>
          <w:tab w:leader="none" w:pos="460" w:val="left"/>
        </w:tabs>
        <w:numPr>
          <w:ilvl w:val="0"/>
          <w:numId w:val="12"/>
        </w:numPr>
        <w:rPr>
          <w:rFonts w:ascii="Arial" w:cs="Arial" w:eastAsia="Arial" w:hAnsi="Arial"/>
          <w:sz w:val="22"/>
          <w:szCs w:val="22"/>
          <w:color w:val="auto"/>
          <w:vertAlign w:val="superscript"/>
        </w:rPr>
      </w:pPr>
      <w:r>
        <w:rPr>
          <w:rFonts w:ascii="Arial" w:cs="Arial" w:eastAsia="Arial" w:hAnsi="Arial"/>
          <w:sz w:val="18"/>
          <w:szCs w:val="18"/>
          <w:color w:val="auto"/>
        </w:rPr>
        <w:t>These amounts were significantly impacted by the placing of United’s largest lending relationship on nonaccrual status. Excluding that loan relationship which had a $25 million special allowance allocation as of September 30, 2011, the balance of nonaccrual loans and total nonperforming assets as a percentage of unpaid principal was 62.2% and 46.4%, respectively, at September 30, 2011.</w:t>
      </w:r>
    </w:p>
    <w:p>
      <w:pPr>
        <w:spacing w:after="0" w:line="157"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Nonperforming assets in the residential construction category were $32.0 million at September 30, 2012, compared with $56.0 million at September 30, 2011, a decrease of $24.1 million, or 43%. Commercial nonperforming assets decreased from $101 million at September 30, 2011 to $89.1 million at September 30, 2012. Residential mortgage non-performing assets of $20.0 million decreased $10.6 million from September 30, 2011.</w:t>
      </w:r>
    </w:p>
    <w:p>
      <w:pPr>
        <w:spacing w:after="0" w:line="107"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At September 30, 2012, December 31, 2011, and September 30, 2011 United had $166 million, $124 million and $75.7 respectively, in loans with terms that have been modified in a troubled debt restructuring (“TDR”). Included therein were $28.0 million, $17.9 million and $5.91 million of TDRs that were not performing in accordance with their modified terms and were included in nonperforming loans. The remaining TDRs with an aggregate balance of $138 million, $106 million and $69.8 million, respectively, were performing according to their modified terms and are therefore not considered to be nonperforming assets.</w:t>
      </w:r>
    </w:p>
    <w:p>
      <w:pPr>
        <w:spacing w:after="0" w:line="113"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 xml:space="preserve">At September 30, 2012, December 31, 2011, and September 30, 2011, there were $269 million, $257 million and $183 million, respectively, of loans classified as impaired under the definition outlined in the Accounting Standards Codification. Included in impaired loans at September 30, 2012, December 31, 2011 and September 30, 2011, was $174 million, $189 million and $66.6 million, respectively, that did not require specific reserves or had previously been charged down to net realizable value. The balance of impaired loans at September 30, 2012, December 31, 2011 and September 30, 2011, of $94.4 million, $68.8 million and $116 million, respectively, had specific reserves that totaled $12.9 million, $14.8 million and $33.5 million, respectively. The average recorded investment in impaired loans for the third quarters of 2012 and 2011 was $276 million and $109 million, respectively. For the three and nine months ended September 30, 2012, United recognized $2.11 million and $6.80 million, respectively, in interest revenue on impaired loans. For both the three and nine months ended September 30, 2011, United recognized $797,000 in interest revenue on impaired loans. United’s policy is to discontinue the recognition of interest revenue for loans classified as impaired under ASC 310-10-35, </w:t>
      </w:r>
      <w:r>
        <w:rPr>
          <w:rFonts w:ascii="Arial" w:cs="Arial" w:eastAsia="Arial" w:hAnsi="Arial"/>
          <w:sz w:val="16"/>
          <w:szCs w:val="16"/>
          <w:i w:val="1"/>
          <w:iCs w:val="1"/>
          <w:color w:val="auto"/>
        </w:rPr>
        <w:t>Receivables,</w:t>
      </w:r>
      <w:r>
        <w:rPr>
          <w:rFonts w:ascii="Arial" w:cs="Arial" w:eastAsia="Arial" w:hAnsi="Arial"/>
          <w:sz w:val="16"/>
          <w:szCs w:val="16"/>
          <w:color w:val="auto"/>
        </w:rPr>
        <w:t xml:space="preserve"> when a loan meets the criteria for nonaccrual status.</w:t>
      </w:r>
    </w:p>
    <w:p>
      <w:pPr>
        <w:spacing w:after="0" w:line="10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40"/>
          </w:cols>
          <w:pgMar w:left="240" w:top="459" w:right="21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table below summarizes activity in non-performing assets by quarter. Assets covered by loss sharing agreements with the FDIC, related to the acquisition of SCB, are not included in this table.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12 - Activity in Nonperforming Assets by Quarter</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93"/>
              </w:rPr>
              <w:t>Third Quarter 2012</w:t>
            </w:r>
          </w:p>
        </w:tc>
        <w:tc>
          <w:tcPr>
            <w:tcW w:w="6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1"/>
              </w:rPr>
              <w:t>Third Quarter 2011</w:t>
            </w:r>
          </w:p>
        </w:tc>
        <w:tc>
          <w:tcPr>
            <w:tcW w:w="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98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740" w:type="dxa"/>
            <w:vAlign w:val="bottom"/>
            <w:gridSpan w:val="3"/>
          </w:tcPr>
          <w:p>
            <w:pPr>
              <w:jc w:val="center"/>
              <w:ind w:right="40"/>
              <w:spacing w:after="0" w:line="129" w:lineRule="exact"/>
              <w:rPr>
                <w:sz w:val="20"/>
                <w:szCs w:val="20"/>
                <w:color w:val="auto"/>
              </w:rPr>
            </w:pPr>
            <w:r>
              <w:rPr>
                <w:rFonts w:ascii="Arial" w:cs="Arial" w:eastAsia="Arial" w:hAnsi="Arial"/>
                <w:sz w:val="14"/>
                <w:szCs w:val="14"/>
                <w:b w:val="1"/>
                <w:bCs w:val="1"/>
                <w:color w:val="auto"/>
                <w:w w:val="86"/>
              </w:rPr>
              <w:t>Nonaccrual</w:t>
            </w:r>
          </w:p>
        </w:tc>
        <w:tc>
          <w:tcPr>
            <w:tcW w:w="260" w:type="dxa"/>
            <w:vAlign w:val="bottom"/>
          </w:tcPr>
          <w:p>
            <w:pPr>
              <w:spacing w:after="0"/>
              <w:rPr>
                <w:sz w:val="11"/>
                <w:szCs w:val="11"/>
                <w:color w:val="auto"/>
              </w:rPr>
            </w:pPr>
          </w:p>
        </w:tc>
        <w:tc>
          <w:tcPr>
            <w:tcW w:w="760" w:type="dxa"/>
            <w:vAlign w:val="bottom"/>
            <w:tcBorders>
              <w:right w:val="single" w:sz="8" w:color="auto"/>
            </w:tcBorders>
            <w:gridSpan w:val="2"/>
          </w:tcPr>
          <w:p>
            <w:pPr>
              <w:jc w:val="center"/>
              <w:ind w:right="140"/>
              <w:spacing w:after="0" w:line="129" w:lineRule="exact"/>
              <w:rPr>
                <w:sz w:val="20"/>
                <w:szCs w:val="20"/>
                <w:color w:val="auto"/>
              </w:rPr>
            </w:pPr>
            <w:r>
              <w:rPr>
                <w:rFonts w:ascii="Arial" w:cs="Arial" w:eastAsia="Arial" w:hAnsi="Arial"/>
                <w:sz w:val="14"/>
                <w:szCs w:val="14"/>
                <w:b w:val="1"/>
                <w:bCs w:val="1"/>
                <w:color w:val="auto"/>
                <w:w w:val="82"/>
              </w:rPr>
              <w:t>Foreclosed</w:t>
            </w:r>
          </w:p>
        </w:tc>
        <w:tc>
          <w:tcPr>
            <w:tcW w:w="200" w:type="dxa"/>
            <w:vAlign w:val="bottom"/>
          </w:tcPr>
          <w:p>
            <w:pPr>
              <w:spacing w:after="0"/>
              <w:rPr>
                <w:sz w:val="11"/>
                <w:szCs w:val="11"/>
                <w:color w:val="auto"/>
              </w:rPr>
            </w:pPr>
          </w:p>
        </w:tc>
        <w:tc>
          <w:tcPr>
            <w:tcW w:w="660" w:type="dxa"/>
            <w:vAlign w:val="bottom"/>
          </w:tcPr>
          <w:p>
            <w:pPr>
              <w:ind w:left="180"/>
              <w:spacing w:after="0" w:line="129" w:lineRule="exact"/>
              <w:rPr>
                <w:sz w:val="20"/>
                <w:szCs w:val="20"/>
                <w:color w:val="auto"/>
              </w:rPr>
            </w:pPr>
            <w:r>
              <w:rPr>
                <w:rFonts w:ascii="Arial" w:cs="Arial" w:eastAsia="Arial" w:hAnsi="Arial"/>
                <w:sz w:val="14"/>
                <w:szCs w:val="14"/>
                <w:b w:val="1"/>
                <w:bCs w:val="1"/>
                <w:color w:val="auto"/>
              </w:rPr>
              <w:t>Total</w:t>
            </w:r>
          </w:p>
        </w:tc>
        <w:tc>
          <w:tcPr>
            <w:tcW w:w="14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2"/>
          </w:tcPr>
          <w:p>
            <w:pPr>
              <w:jc w:val="center"/>
              <w:ind w:right="80"/>
              <w:spacing w:after="0" w:line="129" w:lineRule="exact"/>
              <w:rPr>
                <w:sz w:val="20"/>
                <w:szCs w:val="20"/>
                <w:color w:val="auto"/>
              </w:rPr>
            </w:pPr>
            <w:r>
              <w:rPr>
                <w:rFonts w:ascii="Arial" w:cs="Arial" w:eastAsia="Arial" w:hAnsi="Arial"/>
                <w:sz w:val="14"/>
                <w:szCs w:val="14"/>
                <w:b w:val="1"/>
                <w:bCs w:val="1"/>
                <w:color w:val="auto"/>
                <w:w w:val="86"/>
              </w:rPr>
              <w:t>Nonaccrual</w:t>
            </w:r>
          </w:p>
        </w:tc>
        <w:tc>
          <w:tcPr>
            <w:tcW w:w="240" w:type="dxa"/>
            <w:vAlign w:val="bottom"/>
          </w:tcPr>
          <w:p>
            <w:pPr>
              <w:spacing w:after="0"/>
              <w:rPr>
                <w:sz w:val="11"/>
                <w:szCs w:val="11"/>
                <w:color w:val="auto"/>
              </w:rPr>
            </w:pPr>
          </w:p>
        </w:tc>
        <w:tc>
          <w:tcPr>
            <w:tcW w:w="800" w:type="dxa"/>
            <w:vAlign w:val="bottom"/>
            <w:tcBorders>
              <w:right w:val="single" w:sz="8" w:color="auto"/>
            </w:tcBorders>
            <w:gridSpan w:val="3"/>
          </w:tcPr>
          <w:p>
            <w:pPr>
              <w:jc w:val="center"/>
              <w:ind w:right="100"/>
              <w:spacing w:after="0" w:line="129" w:lineRule="exact"/>
              <w:rPr>
                <w:sz w:val="20"/>
                <w:szCs w:val="20"/>
                <w:color w:val="auto"/>
              </w:rPr>
            </w:pPr>
            <w:r>
              <w:rPr>
                <w:rFonts w:ascii="Arial" w:cs="Arial" w:eastAsia="Arial" w:hAnsi="Arial"/>
                <w:sz w:val="14"/>
                <w:szCs w:val="14"/>
                <w:b w:val="1"/>
                <w:bCs w:val="1"/>
                <w:color w:val="auto"/>
                <w:w w:val="82"/>
              </w:rPr>
              <w:t>Foreclosed</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ind w:left="200"/>
              <w:spacing w:after="0" w:line="129" w:lineRule="exact"/>
              <w:rPr>
                <w:sz w:val="20"/>
                <w:szCs w:val="20"/>
                <w:color w:val="auto"/>
              </w:rPr>
            </w:pPr>
            <w:r>
              <w:rPr>
                <w:rFonts w:ascii="Arial" w:cs="Arial" w:eastAsia="Arial" w:hAnsi="Arial"/>
                <w:sz w:val="14"/>
                <w:szCs w:val="14"/>
                <w:b w:val="1"/>
                <w:bCs w:val="1"/>
                <w:color w:val="auto"/>
              </w:rPr>
              <w:t>Total</w:t>
            </w:r>
          </w:p>
        </w:tc>
        <w:tc>
          <w:tcPr>
            <w:tcW w:w="2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9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7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7"/>
              </w:rPr>
              <w:t>Loans</w:t>
            </w:r>
          </w:p>
        </w:tc>
        <w:tc>
          <w:tcPr>
            <w:tcW w:w="260" w:type="dxa"/>
            <w:vAlign w:val="bottom"/>
          </w:tcPr>
          <w:p>
            <w:pPr>
              <w:spacing w:after="0"/>
              <w:rPr>
                <w:sz w:val="14"/>
                <w:szCs w:val="14"/>
                <w:color w:val="auto"/>
              </w:rPr>
            </w:pPr>
          </w:p>
        </w:tc>
        <w:tc>
          <w:tcPr>
            <w:tcW w:w="760" w:type="dxa"/>
            <w:vAlign w:val="bottom"/>
            <w:tcBorders>
              <w:right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86"/>
              </w:rPr>
              <w:t>Properties</w:t>
            </w:r>
          </w:p>
        </w:tc>
        <w:tc>
          <w:tcPr>
            <w:tcW w:w="200" w:type="dxa"/>
            <w:vAlign w:val="bottom"/>
          </w:tcPr>
          <w:p>
            <w:pPr>
              <w:spacing w:after="0"/>
              <w:rPr>
                <w:sz w:val="14"/>
                <w:szCs w:val="14"/>
                <w:color w:val="auto"/>
              </w:rPr>
            </w:pPr>
          </w:p>
        </w:tc>
        <w:tc>
          <w:tcPr>
            <w:tcW w:w="800" w:type="dxa"/>
            <w:vAlign w:val="bottom"/>
            <w:tcBorders>
              <w:right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NPAs</w:t>
            </w:r>
          </w:p>
        </w:tc>
        <w:tc>
          <w:tcPr>
            <w:tcW w:w="180" w:type="dxa"/>
            <w:vAlign w:val="bottom"/>
          </w:tcPr>
          <w:p>
            <w:pPr>
              <w:spacing w:after="0"/>
              <w:rPr>
                <w:sz w:val="14"/>
                <w:szCs w:val="14"/>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7"/>
              </w:rPr>
              <w:t>Loans</w:t>
            </w:r>
          </w:p>
        </w:tc>
        <w:tc>
          <w:tcPr>
            <w:tcW w:w="240" w:type="dxa"/>
            <w:vAlign w:val="bottom"/>
          </w:tcPr>
          <w:p>
            <w:pPr>
              <w:spacing w:after="0"/>
              <w:rPr>
                <w:sz w:val="14"/>
                <w:szCs w:val="14"/>
                <w:color w:val="auto"/>
              </w:rPr>
            </w:pPr>
          </w:p>
        </w:tc>
        <w:tc>
          <w:tcPr>
            <w:tcW w:w="800" w:type="dxa"/>
            <w:vAlign w:val="bottom"/>
            <w:tcBorders>
              <w:right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86"/>
              </w:rPr>
              <w:t>Properties</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tcBorders>
              <w:right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NPAs</w:t>
            </w:r>
          </w:p>
        </w:tc>
        <w:tc>
          <w:tcPr>
            <w:tcW w:w="0" w:type="dxa"/>
            <w:vAlign w:val="bottom"/>
          </w:tcPr>
          <w:p>
            <w:pPr>
              <w:spacing w:after="0"/>
              <w:rPr>
                <w:sz w:val="1"/>
                <w:szCs w:val="1"/>
                <w:color w:val="auto"/>
              </w:rPr>
            </w:pPr>
          </w:p>
        </w:tc>
      </w:tr>
      <w:tr>
        <w:trPr>
          <w:trHeight w:val="210"/>
        </w:trPr>
        <w:tc>
          <w:tcPr>
            <w:tcW w:w="3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Beginning Balance</w:t>
            </w:r>
          </w:p>
        </w:tc>
        <w:tc>
          <w:tcPr>
            <w:tcW w:w="16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$ 115,340</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$ 30,421</w:t>
            </w: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$145,761</w:t>
            </w:r>
          </w:p>
        </w:tc>
        <w:tc>
          <w:tcPr>
            <w:tcW w:w="140" w:type="dxa"/>
            <w:vAlign w:val="bottom"/>
            <w:tcBorders>
              <w:top w:val="single" w:sz="8" w:color="CCEEFF"/>
              <w:right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$ 71,065</w:t>
            </w: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47,584</w:t>
            </w: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$ 118,649</w:t>
            </w:r>
          </w:p>
        </w:tc>
        <w:tc>
          <w:tcPr>
            <w:tcW w:w="240" w:type="dxa"/>
            <w:vAlign w:val="bottom"/>
            <w:tcBorders>
              <w:top w:val="single" w:sz="8" w:color="CCEEFF"/>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 xml:space="preserve">Loans placed on non-accrual </w:t>
            </w:r>
            <w:r>
              <w:rPr>
                <w:rFonts w:ascii="Arial" w:cs="Arial" w:eastAsia="Arial" w:hAnsi="Arial"/>
                <w:sz w:val="11"/>
                <w:szCs w:val="11"/>
                <w:color w:val="auto"/>
              </w:rPr>
              <w:t>(1)</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30,535</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30,535</w:t>
            </w:r>
          </w:p>
        </w:tc>
        <w:tc>
          <w:tcPr>
            <w:tcW w:w="140" w:type="dxa"/>
            <w:vAlign w:val="bottom"/>
            <w:tcBorders>
              <w:right w:val="single" w:sz="8" w:color="auto"/>
            </w:tcBorders>
          </w:tcPr>
          <w:p>
            <w:pPr>
              <w:spacing w:after="0"/>
              <w:rPr>
                <w:sz w:val="18"/>
                <w:szCs w:val="18"/>
                <w:color w:val="auto"/>
              </w:rPr>
            </w:pP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103,365</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103,365</w:t>
            </w:r>
          </w:p>
        </w:tc>
        <w:tc>
          <w:tcPr>
            <w:tcW w:w="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Payments received</w:t>
            </w:r>
          </w:p>
        </w:tc>
        <w:tc>
          <w:tcPr>
            <w:tcW w:w="23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(3,646)</w:t>
            </w:r>
          </w:p>
        </w:tc>
        <w:tc>
          <w:tcPr>
            <w:tcW w:w="260" w:type="dxa"/>
            <w:vAlign w:val="bottom"/>
            <w:shd w:val="clear" w:color="auto" w:fill="CCEEFF"/>
          </w:tcPr>
          <w:p>
            <w:pPr>
              <w:spacing w:after="0"/>
              <w:rPr>
                <w:sz w:val="18"/>
                <w:szCs w:val="18"/>
                <w:color w:val="auto"/>
              </w:rPr>
            </w:pPr>
          </w:p>
        </w:tc>
        <w:tc>
          <w:tcPr>
            <w:tcW w:w="76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(3,646)</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(3,995)</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tcBorders>
              <w:right w:val="single" w:sz="8" w:color="auto"/>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(3,995)</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Loan charge-offs</w:t>
            </w:r>
          </w:p>
        </w:tc>
        <w:tc>
          <w:tcPr>
            <w:tcW w:w="2380" w:type="dxa"/>
            <w:vAlign w:val="bottom"/>
            <w:gridSpan w:val="4"/>
          </w:tcPr>
          <w:p>
            <w:pPr>
              <w:jc w:val="right"/>
              <w:spacing w:after="0"/>
              <w:rPr>
                <w:sz w:val="20"/>
                <w:szCs w:val="20"/>
                <w:color w:val="auto"/>
              </w:rPr>
            </w:pPr>
            <w:r>
              <w:rPr>
                <w:rFonts w:ascii="Arial" w:cs="Arial" w:eastAsia="Arial" w:hAnsi="Arial"/>
                <w:sz w:val="18"/>
                <w:szCs w:val="18"/>
                <w:color w:val="auto"/>
              </w:rPr>
              <w:t>(19,227)</w:t>
            </w:r>
          </w:p>
        </w:tc>
        <w:tc>
          <w:tcPr>
            <w:tcW w:w="260" w:type="dxa"/>
            <w:vAlign w:val="bottom"/>
          </w:tcPr>
          <w:p>
            <w:pPr>
              <w:spacing w:after="0"/>
              <w:rPr>
                <w:sz w:val="18"/>
                <w:szCs w:val="18"/>
                <w:color w:val="auto"/>
              </w:rPr>
            </w:pPr>
          </w:p>
        </w:tc>
        <w:tc>
          <w:tcPr>
            <w:tcW w:w="7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(19,227)</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(15,335)</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60" w:type="dxa"/>
            <w:vAlign w:val="bottom"/>
            <w:tcBorders>
              <w:right w:val="single" w:sz="8" w:color="auto"/>
            </w:tcBorders>
            <w:gridSpan w:val="3"/>
          </w:tcPr>
          <w:p>
            <w:pPr>
              <w:jc w:val="right"/>
              <w:ind w:right="180"/>
              <w:spacing w:after="0"/>
              <w:rPr>
                <w:sz w:val="20"/>
                <w:szCs w:val="20"/>
                <w:color w:val="auto"/>
              </w:rPr>
            </w:pPr>
            <w:r>
              <w:rPr>
                <w:rFonts w:ascii="Arial" w:cs="Arial" w:eastAsia="Arial" w:hAnsi="Arial"/>
                <w:sz w:val="18"/>
                <w:szCs w:val="18"/>
                <w:color w:val="auto"/>
              </w:rPr>
              <w:t>(15,335)</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Foreclosures</w:t>
            </w:r>
          </w:p>
        </w:tc>
        <w:tc>
          <w:tcPr>
            <w:tcW w:w="23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(8,001)</w:t>
            </w:r>
          </w:p>
        </w:tc>
        <w:tc>
          <w:tcPr>
            <w:tcW w:w="1020" w:type="dxa"/>
            <w:vAlign w:val="bottom"/>
            <w:tcBorders>
              <w:right w:val="single" w:sz="8" w:color="auto"/>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8,001</w:t>
            </w:r>
          </w:p>
        </w:tc>
        <w:tc>
          <w:tcPr>
            <w:tcW w:w="200" w:type="dxa"/>
            <w:vAlign w:val="bottom"/>
            <w:shd w:val="clear" w:color="auto" w:fill="CCEEFF"/>
          </w:tcPr>
          <w:p>
            <w:pPr>
              <w:spacing w:after="0"/>
              <w:rPr>
                <w:sz w:val="18"/>
                <w:szCs w:val="18"/>
                <w:color w:val="auto"/>
              </w:rPr>
            </w:pPr>
          </w:p>
        </w:tc>
        <w:tc>
          <w:tcPr>
            <w:tcW w:w="80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(10,616)</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10,616</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20" w:type="dxa"/>
            <w:vAlign w:val="bottom"/>
            <w:tcBorders>
              <w:right w:val="single" w:sz="8" w:color="auto"/>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Capitalized costs</w:t>
            </w:r>
          </w:p>
        </w:tc>
        <w:tc>
          <w:tcPr>
            <w:tcW w:w="1640" w:type="dxa"/>
            <w:vAlign w:val="bottom"/>
          </w:tcPr>
          <w:p>
            <w:pPr>
              <w:spacing w:after="0"/>
              <w:rPr>
                <w:sz w:val="18"/>
                <w:szCs w:val="18"/>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auto"/>
            </w:tcBorders>
            <w:gridSpan w:val="3"/>
          </w:tcPr>
          <w:p>
            <w:pPr>
              <w:jc w:val="right"/>
              <w:ind w:right="120"/>
              <w:spacing w:after="0"/>
              <w:rPr>
                <w:sz w:val="20"/>
                <w:szCs w:val="20"/>
                <w:color w:val="auto"/>
              </w:rPr>
            </w:pPr>
            <w:r>
              <w:rPr>
                <w:rFonts w:ascii="Arial" w:cs="Arial" w:eastAsia="Arial" w:hAnsi="Arial"/>
                <w:sz w:val="18"/>
                <w:szCs w:val="18"/>
                <w:color w:val="auto"/>
              </w:rPr>
              <w:t>102</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102</w:t>
            </w:r>
          </w:p>
        </w:tc>
        <w:tc>
          <w:tcPr>
            <w:tcW w:w="14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818</w:t>
            </w:r>
          </w:p>
        </w:tc>
        <w:tc>
          <w:tcPr>
            <w:tcW w:w="1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818</w:t>
            </w:r>
          </w:p>
        </w:tc>
        <w:tc>
          <w:tcPr>
            <w:tcW w:w="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Note / property sales</w:t>
            </w:r>
          </w:p>
        </w:tc>
        <w:tc>
          <w:tcPr>
            <w:tcW w:w="16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(8,822)</w:t>
            </w:r>
          </w:p>
        </w:tc>
        <w:tc>
          <w:tcPr>
            <w:tcW w:w="200" w:type="dxa"/>
            <w:vAlign w:val="bottom"/>
            <w:shd w:val="clear" w:color="auto" w:fill="CCEEFF"/>
          </w:tcPr>
          <w:p>
            <w:pPr>
              <w:spacing w:after="0"/>
              <w:rPr>
                <w:sz w:val="18"/>
                <w:szCs w:val="18"/>
                <w:color w:val="auto"/>
              </w:rPr>
            </w:pPr>
          </w:p>
        </w:tc>
        <w:tc>
          <w:tcPr>
            <w:tcW w:w="80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(8,822)</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(13,787)</w:t>
            </w:r>
          </w:p>
        </w:tc>
        <w:tc>
          <w:tcPr>
            <w:tcW w:w="140" w:type="dxa"/>
            <w:vAlign w:val="bottom"/>
            <w:shd w:val="clear" w:color="auto" w:fill="CCEEFF"/>
          </w:tcPr>
          <w:p>
            <w:pPr>
              <w:spacing w:after="0"/>
              <w:rPr>
                <w:sz w:val="18"/>
                <w:szCs w:val="18"/>
                <w:color w:val="auto"/>
              </w:rPr>
            </w:pPr>
          </w:p>
        </w:tc>
        <w:tc>
          <w:tcPr>
            <w:tcW w:w="960" w:type="dxa"/>
            <w:vAlign w:val="bottom"/>
            <w:tcBorders>
              <w:right w:val="single" w:sz="8" w:color="auto"/>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(13,787)</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Write downs</w:t>
            </w:r>
          </w:p>
        </w:tc>
        <w:tc>
          <w:tcPr>
            <w:tcW w:w="1640" w:type="dxa"/>
            <w:vAlign w:val="bottom"/>
          </w:tcPr>
          <w:p>
            <w:pPr>
              <w:spacing w:after="0"/>
              <w:rPr>
                <w:sz w:val="18"/>
                <w:szCs w:val="18"/>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(2,394)</w:t>
            </w:r>
          </w:p>
        </w:tc>
        <w:tc>
          <w:tcPr>
            <w:tcW w:w="200" w:type="dxa"/>
            <w:vAlign w:val="bottom"/>
          </w:tcPr>
          <w:p>
            <w:pPr>
              <w:spacing w:after="0"/>
              <w:rPr>
                <w:sz w:val="18"/>
                <w:szCs w:val="18"/>
                <w:color w:val="auto"/>
              </w:rPr>
            </w:pPr>
          </w:p>
        </w:tc>
        <w:tc>
          <w:tcPr>
            <w:tcW w:w="80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(2,394)</w:t>
            </w:r>
          </w:p>
        </w:tc>
        <w:tc>
          <w:tcPr>
            <w:tcW w:w="1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(1,772)</w:t>
            </w:r>
          </w:p>
        </w:tc>
        <w:tc>
          <w:tcPr>
            <w:tcW w:w="140" w:type="dxa"/>
            <w:vAlign w:val="bottom"/>
          </w:tcPr>
          <w:p>
            <w:pPr>
              <w:spacing w:after="0"/>
              <w:rPr>
                <w:sz w:val="18"/>
                <w:szCs w:val="18"/>
                <w:color w:val="auto"/>
              </w:rPr>
            </w:pPr>
          </w:p>
        </w:tc>
        <w:tc>
          <w:tcPr>
            <w:tcW w:w="960" w:type="dxa"/>
            <w:vAlign w:val="bottom"/>
            <w:tcBorders>
              <w:right w:val="single" w:sz="8" w:color="auto"/>
            </w:tcBorders>
            <w:gridSpan w:val="3"/>
          </w:tcPr>
          <w:p>
            <w:pPr>
              <w:jc w:val="right"/>
              <w:ind w:right="180"/>
              <w:spacing w:after="0"/>
              <w:rPr>
                <w:sz w:val="20"/>
                <w:szCs w:val="20"/>
                <w:color w:val="auto"/>
              </w:rPr>
            </w:pPr>
            <w:r>
              <w:rPr>
                <w:rFonts w:ascii="Arial" w:cs="Arial" w:eastAsia="Arial" w:hAnsi="Arial"/>
                <w:sz w:val="18"/>
                <w:szCs w:val="18"/>
                <w:color w:val="auto"/>
              </w:rPr>
              <w:t>(1,772)</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Net gains (losses) on sales</w:t>
            </w:r>
          </w:p>
        </w:tc>
        <w:tc>
          <w:tcPr>
            <w:tcW w:w="16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gridSpan w:val="2"/>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(350)</w:t>
            </w:r>
          </w:p>
        </w:tc>
        <w:tc>
          <w:tcPr>
            <w:tcW w:w="200" w:type="dxa"/>
            <w:vAlign w:val="bottom"/>
            <w:shd w:val="clear" w:color="auto" w:fill="CCEEFF"/>
          </w:tcPr>
          <w:p>
            <w:pPr>
              <w:spacing w:after="0"/>
              <w:rPr>
                <w:sz w:val="18"/>
                <w:szCs w:val="18"/>
                <w:color w:val="auto"/>
              </w:rPr>
            </w:pPr>
          </w:p>
        </w:tc>
        <w:tc>
          <w:tcPr>
            <w:tcW w:w="80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(350)</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804</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804</w:t>
            </w:r>
          </w:p>
        </w:tc>
        <w:tc>
          <w:tcPr>
            <w:tcW w:w="24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80" w:type="dxa"/>
            <w:vAlign w:val="bottom"/>
            <w:vMerge w:val="restart"/>
          </w:tcPr>
          <w:p>
            <w:pPr>
              <w:ind w:left="440"/>
              <w:spacing w:after="0"/>
              <w:rPr>
                <w:sz w:val="20"/>
                <w:szCs w:val="20"/>
                <w:color w:val="auto"/>
              </w:rPr>
            </w:pPr>
            <w:r>
              <w:rPr>
                <w:rFonts w:ascii="Arial" w:cs="Arial" w:eastAsia="Arial" w:hAnsi="Arial"/>
                <w:sz w:val="18"/>
                <w:szCs w:val="18"/>
                <w:b w:val="1"/>
                <w:bCs w:val="1"/>
                <w:color w:val="auto"/>
              </w:rPr>
              <w:t>Ending Balance</w:t>
            </w:r>
          </w:p>
        </w:tc>
        <w:tc>
          <w:tcPr>
            <w:tcW w:w="16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980" w:type="dxa"/>
            <w:vAlign w:val="bottom"/>
            <w:vMerge w:val="continue"/>
          </w:tcPr>
          <w:p>
            <w:pPr>
              <w:spacing w:after="0"/>
              <w:rPr>
                <w:sz w:val="19"/>
                <w:szCs w:val="19"/>
                <w:color w:val="auto"/>
              </w:rPr>
            </w:pPr>
          </w:p>
        </w:tc>
        <w:tc>
          <w:tcPr>
            <w:tcW w:w="16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2"/>
              </w:rPr>
              <w:t>$ 115,001</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20" w:type="dxa"/>
            <w:vAlign w:val="bottom"/>
            <w:tcBorders>
              <w:right w:val="single" w:sz="8" w:color="auto"/>
            </w:tcBorders>
            <w:gridSpan w:val="3"/>
          </w:tcPr>
          <w:p>
            <w:pPr>
              <w:jc w:val="right"/>
              <w:ind w:right="120"/>
              <w:spacing w:after="0"/>
              <w:rPr>
                <w:sz w:val="20"/>
                <w:szCs w:val="20"/>
                <w:color w:val="auto"/>
              </w:rPr>
            </w:pPr>
            <w:r>
              <w:rPr>
                <w:rFonts w:ascii="Arial" w:cs="Arial" w:eastAsia="Arial" w:hAnsi="Arial"/>
                <w:sz w:val="18"/>
                <w:szCs w:val="18"/>
                <w:color w:val="auto"/>
              </w:rPr>
              <w:t>$ 26,958</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141,959</w:t>
            </w:r>
          </w:p>
        </w:tc>
        <w:tc>
          <w:tcPr>
            <w:tcW w:w="140" w:type="dxa"/>
            <w:vAlign w:val="bottom"/>
            <w:tcBorders>
              <w:right w:val="single" w:sz="8" w:color="auto"/>
            </w:tcBorders>
          </w:tcPr>
          <w:p>
            <w:pPr>
              <w:spacing w:after="0"/>
              <w:rPr>
                <w:sz w:val="19"/>
                <w:szCs w:val="19"/>
                <w:color w:val="auto"/>
              </w:rPr>
            </w:pPr>
          </w:p>
        </w:tc>
        <w:tc>
          <w:tcPr>
            <w:tcW w:w="920" w:type="dxa"/>
            <w:vAlign w:val="bottom"/>
            <w:gridSpan w:val="3"/>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144,484</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w w:val="98"/>
              </w:rPr>
              <w:t>44,263</w:t>
            </w:r>
          </w:p>
        </w:tc>
        <w:tc>
          <w:tcPr>
            <w:tcW w:w="14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188,747</w:t>
            </w:r>
          </w:p>
        </w:tc>
        <w:tc>
          <w:tcPr>
            <w:tcW w:w="2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Borders>
              <w:bottom w:val="single" w:sz="8" w:color="auto"/>
            </w:tcBorders>
            <w:gridSpan w:val="2"/>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bottom w:val="single" w:sz="8" w:color="auto"/>
            </w:tcBorders>
            <w:gridSpan w:val="2"/>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39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760" w:type="dxa"/>
            <w:vAlign w:val="bottom"/>
            <w:gridSpan w:val="9"/>
          </w:tcPr>
          <w:p>
            <w:pPr>
              <w:jc w:val="center"/>
              <w:ind w:right="120"/>
              <w:spacing w:after="0"/>
              <w:rPr>
                <w:sz w:val="20"/>
                <w:szCs w:val="20"/>
                <w:color w:val="auto"/>
              </w:rPr>
            </w:pPr>
            <w:r>
              <w:rPr>
                <w:rFonts w:ascii="Arial" w:cs="Arial" w:eastAsia="Arial" w:hAnsi="Arial"/>
                <w:sz w:val="14"/>
                <w:szCs w:val="14"/>
                <w:b w:val="1"/>
                <w:bCs w:val="1"/>
                <w:color w:val="auto"/>
                <w:w w:val="88"/>
              </w:rPr>
              <w:t>First Nine Months 2012</w:t>
            </w:r>
          </w:p>
        </w:tc>
        <w:tc>
          <w:tcPr>
            <w:tcW w:w="180" w:type="dxa"/>
            <w:vAlign w:val="bottom"/>
          </w:tcPr>
          <w:p>
            <w:pPr>
              <w:spacing w:after="0"/>
              <w:rPr>
                <w:sz w:val="24"/>
                <w:szCs w:val="24"/>
                <w:color w:val="auto"/>
              </w:rPr>
            </w:pPr>
          </w:p>
        </w:tc>
        <w:tc>
          <w:tcPr>
            <w:tcW w:w="2880" w:type="dxa"/>
            <w:vAlign w:val="bottom"/>
            <w:gridSpan w:val="10"/>
          </w:tcPr>
          <w:p>
            <w:pPr>
              <w:jc w:val="center"/>
              <w:ind w:right="240"/>
              <w:spacing w:after="0"/>
              <w:rPr>
                <w:sz w:val="20"/>
                <w:szCs w:val="20"/>
                <w:color w:val="auto"/>
              </w:rPr>
            </w:pPr>
            <w:r>
              <w:rPr>
                <w:rFonts w:ascii="Arial" w:cs="Arial" w:eastAsia="Arial" w:hAnsi="Arial"/>
                <w:sz w:val="14"/>
                <w:szCs w:val="14"/>
                <w:b w:val="1"/>
                <w:bCs w:val="1"/>
                <w:color w:val="auto"/>
                <w:w w:val="86"/>
              </w:rPr>
              <w:t xml:space="preserve">First Nine Months 2011 </w:t>
            </w:r>
            <w:r>
              <w:rPr>
                <w:rFonts w:ascii="Arial" w:cs="Arial" w:eastAsia="Arial" w:hAnsi="Arial"/>
                <w:sz w:val="22"/>
                <w:szCs w:val="22"/>
                <w:b w:val="1"/>
                <w:bCs w:val="1"/>
                <w:color w:val="auto"/>
                <w:w w:val="86"/>
                <w:vertAlign w:val="superscript"/>
              </w:rPr>
              <w:t>(2)</w:t>
            </w:r>
          </w:p>
        </w:tc>
        <w:tc>
          <w:tcPr>
            <w:tcW w:w="0" w:type="dxa"/>
            <w:vAlign w:val="bottom"/>
          </w:tcPr>
          <w:p>
            <w:pPr>
              <w:spacing w:after="0"/>
              <w:rPr>
                <w:sz w:val="1"/>
                <w:szCs w:val="1"/>
                <w:color w:val="auto"/>
              </w:rPr>
            </w:pPr>
          </w:p>
        </w:tc>
      </w:tr>
      <w:tr>
        <w:trPr>
          <w:trHeight w:val="129"/>
        </w:trPr>
        <w:tc>
          <w:tcPr>
            <w:tcW w:w="398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740" w:type="dxa"/>
            <w:vAlign w:val="bottom"/>
            <w:tcBorders>
              <w:top w:val="single" w:sz="8" w:color="auto"/>
            </w:tcBorders>
            <w:gridSpan w:val="3"/>
          </w:tcPr>
          <w:p>
            <w:pPr>
              <w:jc w:val="center"/>
              <w:ind w:right="40"/>
              <w:spacing w:after="0" w:line="129" w:lineRule="exact"/>
              <w:rPr>
                <w:sz w:val="20"/>
                <w:szCs w:val="20"/>
                <w:color w:val="auto"/>
              </w:rPr>
            </w:pPr>
            <w:r>
              <w:rPr>
                <w:rFonts w:ascii="Arial" w:cs="Arial" w:eastAsia="Arial" w:hAnsi="Arial"/>
                <w:sz w:val="14"/>
                <w:szCs w:val="14"/>
                <w:b w:val="1"/>
                <w:bCs w:val="1"/>
                <w:color w:val="auto"/>
                <w:w w:val="86"/>
              </w:rPr>
              <w:t>Nonaccrual</w:t>
            </w:r>
          </w:p>
        </w:tc>
        <w:tc>
          <w:tcPr>
            <w:tcW w:w="260" w:type="dxa"/>
            <w:vAlign w:val="bottom"/>
            <w:tcBorders>
              <w:top w:val="single" w:sz="8" w:color="auto"/>
            </w:tcBorders>
          </w:tcPr>
          <w:p>
            <w:pPr>
              <w:spacing w:after="0"/>
              <w:rPr>
                <w:sz w:val="11"/>
                <w:szCs w:val="11"/>
                <w:color w:val="auto"/>
              </w:rPr>
            </w:pPr>
          </w:p>
        </w:tc>
        <w:tc>
          <w:tcPr>
            <w:tcW w:w="760" w:type="dxa"/>
            <w:vAlign w:val="bottom"/>
            <w:tcBorders>
              <w:top w:val="single" w:sz="8" w:color="auto"/>
              <w:right w:val="single" w:sz="8" w:color="auto"/>
            </w:tcBorders>
            <w:gridSpan w:val="2"/>
          </w:tcPr>
          <w:p>
            <w:pPr>
              <w:jc w:val="center"/>
              <w:ind w:right="140"/>
              <w:spacing w:after="0" w:line="129" w:lineRule="exact"/>
              <w:rPr>
                <w:sz w:val="20"/>
                <w:szCs w:val="20"/>
                <w:color w:val="auto"/>
              </w:rPr>
            </w:pPr>
            <w:r>
              <w:rPr>
                <w:rFonts w:ascii="Arial" w:cs="Arial" w:eastAsia="Arial" w:hAnsi="Arial"/>
                <w:sz w:val="14"/>
                <w:szCs w:val="14"/>
                <w:b w:val="1"/>
                <w:bCs w:val="1"/>
                <w:color w:val="auto"/>
                <w:w w:val="82"/>
              </w:rPr>
              <w:t>Foreclosed</w:t>
            </w:r>
          </w:p>
        </w:tc>
        <w:tc>
          <w:tcPr>
            <w:tcW w:w="2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ind w:left="180"/>
              <w:spacing w:after="0" w:line="129" w:lineRule="exact"/>
              <w:rPr>
                <w:sz w:val="20"/>
                <w:szCs w:val="20"/>
                <w:color w:val="auto"/>
              </w:rPr>
            </w:pPr>
            <w:r>
              <w:rPr>
                <w:rFonts w:ascii="Arial" w:cs="Arial" w:eastAsia="Arial" w:hAnsi="Arial"/>
                <w:sz w:val="14"/>
                <w:szCs w:val="14"/>
                <w:b w:val="1"/>
                <w:bCs w:val="1"/>
                <w:color w:val="auto"/>
              </w:rPr>
              <w:t>Total</w:t>
            </w:r>
          </w:p>
        </w:tc>
        <w:tc>
          <w:tcPr>
            <w:tcW w:w="14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Borders>
              <w:top w:val="single" w:sz="8" w:color="auto"/>
            </w:tcBorders>
            <w:gridSpan w:val="2"/>
          </w:tcPr>
          <w:p>
            <w:pPr>
              <w:jc w:val="center"/>
              <w:ind w:right="80"/>
              <w:spacing w:after="0" w:line="129" w:lineRule="exact"/>
              <w:rPr>
                <w:sz w:val="20"/>
                <w:szCs w:val="20"/>
                <w:color w:val="auto"/>
              </w:rPr>
            </w:pPr>
            <w:r>
              <w:rPr>
                <w:rFonts w:ascii="Arial" w:cs="Arial" w:eastAsia="Arial" w:hAnsi="Arial"/>
                <w:sz w:val="14"/>
                <w:szCs w:val="14"/>
                <w:b w:val="1"/>
                <w:bCs w:val="1"/>
                <w:color w:val="auto"/>
                <w:w w:val="86"/>
              </w:rPr>
              <w:t>Nonaccrual</w:t>
            </w:r>
          </w:p>
        </w:tc>
        <w:tc>
          <w:tcPr>
            <w:tcW w:w="240" w:type="dxa"/>
            <w:vAlign w:val="bottom"/>
            <w:tcBorders>
              <w:top w:val="single" w:sz="8" w:color="auto"/>
            </w:tcBorders>
          </w:tcPr>
          <w:p>
            <w:pPr>
              <w:spacing w:after="0"/>
              <w:rPr>
                <w:sz w:val="11"/>
                <w:szCs w:val="11"/>
                <w:color w:val="auto"/>
              </w:rPr>
            </w:pPr>
          </w:p>
        </w:tc>
        <w:tc>
          <w:tcPr>
            <w:tcW w:w="800" w:type="dxa"/>
            <w:vAlign w:val="bottom"/>
            <w:tcBorders>
              <w:top w:val="single" w:sz="8" w:color="auto"/>
              <w:right w:val="single" w:sz="8" w:color="auto"/>
            </w:tcBorders>
            <w:gridSpan w:val="3"/>
          </w:tcPr>
          <w:p>
            <w:pPr>
              <w:jc w:val="center"/>
              <w:ind w:right="100"/>
              <w:spacing w:after="0" w:line="129" w:lineRule="exact"/>
              <w:rPr>
                <w:sz w:val="20"/>
                <w:szCs w:val="20"/>
                <w:color w:val="auto"/>
              </w:rPr>
            </w:pPr>
            <w:r>
              <w:rPr>
                <w:rFonts w:ascii="Arial" w:cs="Arial" w:eastAsia="Arial" w:hAnsi="Arial"/>
                <w:sz w:val="14"/>
                <w:szCs w:val="14"/>
                <w:b w:val="1"/>
                <w:bCs w:val="1"/>
                <w:color w:val="auto"/>
                <w:w w:val="82"/>
              </w:rPr>
              <w:t>Foreclosed</w:t>
            </w:r>
          </w:p>
        </w:tc>
        <w:tc>
          <w:tcPr>
            <w:tcW w:w="1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ind w:left="200"/>
              <w:spacing w:after="0" w:line="129" w:lineRule="exact"/>
              <w:rPr>
                <w:sz w:val="20"/>
                <w:szCs w:val="20"/>
                <w:color w:val="auto"/>
              </w:rPr>
            </w:pPr>
            <w:r>
              <w:rPr>
                <w:rFonts w:ascii="Arial" w:cs="Arial" w:eastAsia="Arial" w:hAnsi="Arial"/>
                <w:sz w:val="14"/>
                <w:szCs w:val="14"/>
                <w:b w:val="1"/>
                <w:bCs w:val="1"/>
                <w:color w:val="auto"/>
              </w:rPr>
              <w:t>Total</w:t>
            </w:r>
          </w:p>
        </w:tc>
        <w:tc>
          <w:tcPr>
            <w:tcW w:w="2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9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7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7"/>
              </w:rPr>
              <w:t>Loans</w:t>
            </w:r>
          </w:p>
        </w:tc>
        <w:tc>
          <w:tcPr>
            <w:tcW w:w="260" w:type="dxa"/>
            <w:vAlign w:val="bottom"/>
          </w:tcPr>
          <w:p>
            <w:pPr>
              <w:spacing w:after="0"/>
              <w:rPr>
                <w:sz w:val="14"/>
                <w:szCs w:val="14"/>
                <w:color w:val="auto"/>
              </w:rPr>
            </w:pPr>
          </w:p>
        </w:tc>
        <w:tc>
          <w:tcPr>
            <w:tcW w:w="760" w:type="dxa"/>
            <w:vAlign w:val="bottom"/>
            <w:tcBorders>
              <w:right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86"/>
              </w:rPr>
              <w:t>Properties</w:t>
            </w:r>
          </w:p>
        </w:tc>
        <w:tc>
          <w:tcPr>
            <w:tcW w:w="200" w:type="dxa"/>
            <w:vAlign w:val="bottom"/>
          </w:tcPr>
          <w:p>
            <w:pPr>
              <w:spacing w:after="0"/>
              <w:rPr>
                <w:sz w:val="14"/>
                <w:szCs w:val="14"/>
                <w:color w:val="auto"/>
              </w:rPr>
            </w:pPr>
          </w:p>
        </w:tc>
        <w:tc>
          <w:tcPr>
            <w:tcW w:w="800" w:type="dxa"/>
            <w:vAlign w:val="bottom"/>
            <w:tcBorders>
              <w:right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NPAs</w:t>
            </w:r>
          </w:p>
        </w:tc>
        <w:tc>
          <w:tcPr>
            <w:tcW w:w="180" w:type="dxa"/>
            <w:vAlign w:val="bottom"/>
          </w:tcPr>
          <w:p>
            <w:pPr>
              <w:spacing w:after="0"/>
              <w:rPr>
                <w:sz w:val="14"/>
                <w:szCs w:val="14"/>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7"/>
              </w:rPr>
              <w:t>Loans</w:t>
            </w:r>
          </w:p>
        </w:tc>
        <w:tc>
          <w:tcPr>
            <w:tcW w:w="240" w:type="dxa"/>
            <w:vAlign w:val="bottom"/>
          </w:tcPr>
          <w:p>
            <w:pPr>
              <w:spacing w:after="0"/>
              <w:rPr>
                <w:sz w:val="14"/>
                <w:szCs w:val="14"/>
                <w:color w:val="auto"/>
              </w:rPr>
            </w:pPr>
          </w:p>
        </w:tc>
        <w:tc>
          <w:tcPr>
            <w:tcW w:w="800" w:type="dxa"/>
            <w:vAlign w:val="bottom"/>
            <w:tcBorders>
              <w:right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86"/>
              </w:rPr>
              <w:t>Properties</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tcBorders>
              <w:right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NPAs</w:t>
            </w:r>
          </w:p>
        </w:tc>
        <w:tc>
          <w:tcPr>
            <w:tcW w:w="0" w:type="dxa"/>
            <w:vAlign w:val="bottom"/>
          </w:tcPr>
          <w:p>
            <w:pPr>
              <w:spacing w:after="0"/>
              <w:rPr>
                <w:sz w:val="1"/>
                <w:szCs w:val="1"/>
                <w:color w:val="auto"/>
              </w:rPr>
            </w:pPr>
          </w:p>
        </w:tc>
      </w:tr>
      <w:tr>
        <w:trPr>
          <w:trHeight w:val="210"/>
        </w:trPr>
        <w:tc>
          <w:tcPr>
            <w:tcW w:w="3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Beginning Balance</w:t>
            </w:r>
          </w:p>
        </w:tc>
        <w:tc>
          <w:tcPr>
            <w:tcW w:w="16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$127,479</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$ 32,859</w:t>
            </w: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$160,338</w:t>
            </w:r>
          </w:p>
        </w:tc>
        <w:tc>
          <w:tcPr>
            <w:tcW w:w="140" w:type="dxa"/>
            <w:vAlign w:val="bottom"/>
            <w:tcBorders>
              <w:top w:val="single" w:sz="8" w:color="CCEEFF"/>
              <w:right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$179,094</w:t>
            </w: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$142,208</w:t>
            </w: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$321,302</w:t>
            </w:r>
          </w:p>
        </w:tc>
        <w:tc>
          <w:tcPr>
            <w:tcW w:w="240" w:type="dxa"/>
            <w:vAlign w:val="bottom"/>
            <w:tcBorders>
              <w:top w:val="single" w:sz="8" w:color="CCEEFF"/>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 xml:space="preserve">Loans placed on non-accrual </w:t>
            </w:r>
            <w:r>
              <w:rPr>
                <w:rFonts w:ascii="Arial" w:cs="Arial" w:eastAsia="Arial" w:hAnsi="Arial"/>
                <w:sz w:val="11"/>
                <w:szCs w:val="11"/>
                <w:color w:val="auto"/>
              </w:rPr>
              <w:t>(1)</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92,336</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92,336</w:t>
            </w:r>
          </w:p>
        </w:tc>
        <w:tc>
          <w:tcPr>
            <w:tcW w:w="140" w:type="dxa"/>
            <w:vAlign w:val="bottom"/>
            <w:tcBorders>
              <w:right w:val="single" w:sz="8" w:color="auto"/>
            </w:tcBorders>
          </w:tcPr>
          <w:p>
            <w:pPr>
              <w:spacing w:after="0"/>
              <w:rPr>
                <w:sz w:val="18"/>
                <w:szCs w:val="18"/>
                <w:color w:val="auto"/>
              </w:rPr>
            </w:pP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194,006</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194,006</w:t>
            </w:r>
          </w:p>
        </w:tc>
        <w:tc>
          <w:tcPr>
            <w:tcW w:w="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Payments received</w:t>
            </w:r>
          </w:p>
        </w:tc>
        <w:tc>
          <w:tcPr>
            <w:tcW w:w="23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(24,618)</w:t>
            </w:r>
          </w:p>
        </w:tc>
        <w:tc>
          <w:tcPr>
            <w:tcW w:w="260" w:type="dxa"/>
            <w:vAlign w:val="bottom"/>
            <w:shd w:val="clear" w:color="auto" w:fill="CCEEFF"/>
          </w:tcPr>
          <w:p>
            <w:pPr>
              <w:spacing w:after="0"/>
              <w:rPr>
                <w:sz w:val="18"/>
                <w:szCs w:val="18"/>
                <w:color w:val="auto"/>
              </w:rPr>
            </w:pPr>
          </w:p>
        </w:tc>
        <w:tc>
          <w:tcPr>
            <w:tcW w:w="76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(24,618)</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(15,247)</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tcBorders>
              <w:right w:val="single" w:sz="8" w:color="auto"/>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(15,247)</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Loan charge-offs</w:t>
            </w:r>
          </w:p>
        </w:tc>
        <w:tc>
          <w:tcPr>
            <w:tcW w:w="2380" w:type="dxa"/>
            <w:vAlign w:val="bottom"/>
            <w:gridSpan w:val="4"/>
          </w:tcPr>
          <w:p>
            <w:pPr>
              <w:jc w:val="right"/>
              <w:spacing w:after="0"/>
              <w:rPr>
                <w:sz w:val="20"/>
                <w:szCs w:val="20"/>
                <w:color w:val="auto"/>
              </w:rPr>
            </w:pPr>
            <w:r>
              <w:rPr>
                <w:rFonts w:ascii="Arial" w:cs="Arial" w:eastAsia="Arial" w:hAnsi="Arial"/>
                <w:sz w:val="18"/>
                <w:szCs w:val="18"/>
                <w:color w:val="auto"/>
              </w:rPr>
              <w:t>(53,342)</w:t>
            </w:r>
          </w:p>
        </w:tc>
        <w:tc>
          <w:tcPr>
            <w:tcW w:w="260" w:type="dxa"/>
            <w:vAlign w:val="bottom"/>
          </w:tcPr>
          <w:p>
            <w:pPr>
              <w:spacing w:after="0"/>
              <w:rPr>
                <w:sz w:val="18"/>
                <w:szCs w:val="18"/>
                <w:color w:val="auto"/>
              </w:rPr>
            </w:pPr>
          </w:p>
        </w:tc>
        <w:tc>
          <w:tcPr>
            <w:tcW w:w="7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(53,342)</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(78,192)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60" w:type="dxa"/>
            <w:vAlign w:val="bottom"/>
            <w:tcBorders>
              <w:right w:val="single" w:sz="8" w:color="auto"/>
            </w:tcBorders>
            <w:gridSpan w:val="3"/>
          </w:tcPr>
          <w:p>
            <w:pPr>
              <w:jc w:val="right"/>
              <w:ind w:right="180"/>
              <w:spacing w:after="0"/>
              <w:rPr>
                <w:sz w:val="20"/>
                <w:szCs w:val="20"/>
                <w:color w:val="auto"/>
              </w:rPr>
            </w:pPr>
            <w:r>
              <w:rPr>
                <w:rFonts w:ascii="Arial" w:cs="Arial" w:eastAsia="Arial" w:hAnsi="Arial"/>
                <w:sz w:val="18"/>
                <w:szCs w:val="18"/>
                <w:color w:val="auto"/>
              </w:rPr>
              <w:t>(78,192)</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Foreclosures</w:t>
            </w:r>
          </w:p>
        </w:tc>
        <w:tc>
          <w:tcPr>
            <w:tcW w:w="23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(26,854)</w:t>
            </w:r>
          </w:p>
        </w:tc>
        <w:tc>
          <w:tcPr>
            <w:tcW w:w="1020" w:type="dxa"/>
            <w:vAlign w:val="bottom"/>
            <w:tcBorders>
              <w:right w:val="single" w:sz="8" w:color="auto"/>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26,854</w:t>
            </w:r>
          </w:p>
        </w:tc>
        <w:tc>
          <w:tcPr>
            <w:tcW w:w="200" w:type="dxa"/>
            <w:vAlign w:val="bottom"/>
            <w:shd w:val="clear" w:color="auto" w:fill="CCEEFF"/>
          </w:tcPr>
          <w:p>
            <w:pPr>
              <w:spacing w:after="0"/>
              <w:rPr>
                <w:sz w:val="18"/>
                <w:szCs w:val="18"/>
                <w:color w:val="auto"/>
              </w:rPr>
            </w:pPr>
          </w:p>
        </w:tc>
        <w:tc>
          <w:tcPr>
            <w:tcW w:w="80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(49,693)</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49,693</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20" w:type="dxa"/>
            <w:vAlign w:val="bottom"/>
            <w:tcBorders>
              <w:right w:val="single" w:sz="8" w:color="auto"/>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Capitalized costs</w:t>
            </w:r>
          </w:p>
        </w:tc>
        <w:tc>
          <w:tcPr>
            <w:tcW w:w="1640" w:type="dxa"/>
            <w:vAlign w:val="bottom"/>
          </w:tcPr>
          <w:p>
            <w:pPr>
              <w:spacing w:after="0"/>
              <w:rPr>
                <w:sz w:val="18"/>
                <w:szCs w:val="18"/>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auto"/>
            </w:tcBorders>
            <w:gridSpan w:val="3"/>
          </w:tcPr>
          <w:p>
            <w:pPr>
              <w:jc w:val="right"/>
              <w:ind w:right="120"/>
              <w:spacing w:after="0"/>
              <w:rPr>
                <w:sz w:val="20"/>
                <w:szCs w:val="20"/>
                <w:color w:val="auto"/>
              </w:rPr>
            </w:pPr>
            <w:r>
              <w:rPr>
                <w:rFonts w:ascii="Arial" w:cs="Arial" w:eastAsia="Arial" w:hAnsi="Arial"/>
                <w:sz w:val="18"/>
                <w:szCs w:val="18"/>
                <w:color w:val="auto"/>
              </w:rPr>
              <w:t>846</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846</w:t>
            </w:r>
          </w:p>
        </w:tc>
        <w:tc>
          <w:tcPr>
            <w:tcW w:w="14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1,108</w:t>
            </w:r>
          </w:p>
        </w:tc>
        <w:tc>
          <w:tcPr>
            <w:tcW w:w="1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1,108</w:t>
            </w:r>
          </w:p>
        </w:tc>
        <w:tc>
          <w:tcPr>
            <w:tcW w:w="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Note / property sales</w:t>
            </w:r>
          </w:p>
        </w:tc>
        <w:tc>
          <w:tcPr>
            <w:tcW w:w="16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(27,914)</w:t>
            </w:r>
          </w:p>
        </w:tc>
        <w:tc>
          <w:tcPr>
            <w:tcW w:w="200" w:type="dxa"/>
            <w:vAlign w:val="bottom"/>
            <w:shd w:val="clear" w:color="auto" w:fill="CCEEFF"/>
          </w:tcPr>
          <w:p>
            <w:pPr>
              <w:spacing w:after="0"/>
              <w:rPr>
                <w:sz w:val="18"/>
                <w:szCs w:val="18"/>
                <w:color w:val="auto"/>
              </w:rPr>
            </w:pPr>
          </w:p>
        </w:tc>
        <w:tc>
          <w:tcPr>
            <w:tcW w:w="80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(27,914)</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(11,400)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(87,273)</w:t>
            </w:r>
          </w:p>
        </w:tc>
        <w:tc>
          <w:tcPr>
            <w:tcW w:w="140" w:type="dxa"/>
            <w:vAlign w:val="bottom"/>
            <w:shd w:val="clear" w:color="auto" w:fill="CCEEFF"/>
          </w:tcPr>
          <w:p>
            <w:pPr>
              <w:spacing w:after="0"/>
              <w:rPr>
                <w:sz w:val="18"/>
                <w:szCs w:val="18"/>
                <w:color w:val="auto"/>
              </w:rPr>
            </w:pPr>
          </w:p>
        </w:tc>
        <w:tc>
          <w:tcPr>
            <w:tcW w:w="960" w:type="dxa"/>
            <w:vAlign w:val="bottom"/>
            <w:tcBorders>
              <w:right w:val="single" w:sz="8" w:color="auto"/>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(98,673)</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Loans transferred to held for sale</w:t>
            </w:r>
          </w:p>
        </w:tc>
        <w:tc>
          <w:tcPr>
            <w:tcW w:w="1640" w:type="dxa"/>
            <w:vAlign w:val="bottom"/>
          </w:tcPr>
          <w:p>
            <w:pPr>
              <w:spacing w:after="0"/>
              <w:rPr>
                <w:sz w:val="18"/>
                <w:szCs w:val="18"/>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(74,084)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60" w:type="dxa"/>
            <w:vAlign w:val="bottom"/>
            <w:tcBorders>
              <w:right w:val="single" w:sz="8" w:color="auto"/>
            </w:tcBorders>
            <w:gridSpan w:val="3"/>
          </w:tcPr>
          <w:p>
            <w:pPr>
              <w:jc w:val="right"/>
              <w:ind w:right="180"/>
              <w:spacing w:after="0"/>
              <w:rPr>
                <w:sz w:val="20"/>
                <w:szCs w:val="20"/>
                <w:color w:val="auto"/>
              </w:rPr>
            </w:pPr>
            <w:r>
              <w:rPr>
                <w:rFonts w:ascii="Arial" w:cs="Arial" w:eastAsia="Arial" w:hAnsi="Arial"/>
                <w:sz w:val="18"/>
                <w:szCs w:val="18"/>
                <w:color w:val="auto"/>
              </w:rPr>
              <w:t>(74,084)</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Write downs</w:t>
            </w:r>
          </w:p>
        </w:tc>
        <w:tc>
          <w:tcPr>
            <w:tcW w:w="16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(5,513)</w:t>
            </w:r>
          </w:p>
        </w:tc>
        <w:tc>
          <w:tcPr>
            <w:tcW w:w="200" w:type="dxa"/>
            <w:vAlign w:val="bottom"/>
            <w:shd w:val="clear" w:color="auto" w:fill="CCEEFF"/>
          </w:tcPr>
          <w:p>
            <w:pPr>
              <w:spacing w:after="0"/>
              <w:rPr>
                <w:sz w:val="18"/>
                <w:szCs w:val="18"/>
                <w:color w:val="auto"/>
              </w:rPr>
            </w:pPr>
          </w:p>
        </w:tc>
        <w:tc>
          <w:tcPr>
            <w:tcW w:w="80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(5,513)</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(53,475)</w:t>
            </w:r>
          </w:p>
        </w:tc>
        <w:tc>
          <w:tcPr>
            <w:tcW w:w="140" w:type="dxa"/>
            <w:vAlign w:val="bottom"/>
            <w:shd w:val="clear" w:color="auto" w:fill="CCEEFF"/>
          </w:tcPr>
          <w:p>
            <w:pPr>
              <w:spacing w:after="0"/>
              <w:rPr>
                <w:sz w:val="18"/>
                <w:szCs w:val="18"/>
                <w:color w:val="auto"/>
              </w:rPr>
            </w:pPr>
          </w:p>
        </w:tc>
        <w:tc>
          <w:tcPr>
            <w:tcW w:w="960" w:type="dxa"/>
            <w:vAlign w:val="bottom"/>
            <w:tcBorders>
              <w:right w:val="single" w:sz="8" w:color="auto"/>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(53,475)</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Net losses on sales</w:t>
            </w:r>
          </w:p>
        </w:tc>
        <w:tc>
          <w:tcPr>
            <w:tcW w:w="16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(174)</w:t>
            </w:r>
          </w:p>
        </w:tc>
        <w:tc>
          <w:tcPr>
            <w:tcW w:w="200" w:type="dxa"/>
            <w:vAlign w:val="bottom"/>
          </w:tcPr>
          <w:p>
            <w:pPr>
              <w:spacing w:after="0"/>
              <w:rPr>
                <w:sz w:val="18"/>
                <w:szCs w:val="18"/>
                <w:color w:val="auto"/>
              </w:rPr>
            </w:pPr>
          </w:p>
        </w:tc>
        <w:tc>
          <w:tcPr>
            <w:tcW w:w="80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(174)</w:t>
            </w:r>
          </w:p>
        </w:tc>
        <w:tc>
          <w:tcPr>
            <w:tcW w:w="1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(7,998)</w:t>
            </w:r>
          </w:p>
        </w:tc>
        <w:tc>
          <w:tcPr>
            <w:tcW w:w="140" w:type="dxa"/>
            <w:vAlign w:val="bottom"/>
          </w:tcPr>
          <w:p>
            <w:pPr>
              <w:spacing w:after="0"/>
              <w:rPr>
                <w:sz w:val="18"/>
                <w:szCs w:val="18"/>
                <w:color w:val="auto"/>
              </w:rPr>
            </w:pPr>
          </w:p>
        </w:tc>
        <w:tc>
          <w:tcPr>
            <w:tcW w:w="960" w:type="dxa"/>
            <w:vAlign w:val="bottom"/>
            <w:tcBorders>
              <w:right w:val="single" w:sz="8" w:color="auto"/>
            </w:tcBorders>
            <w:gridSpan w:val="3"/>
          </w:tcPr>
          <w:p>
            <w:pPr>
              <w:jc w:val="right"/>
              <w:ind w:right="180"/>
              <w:spacing w:after="0"/>
              <w:rPr>
                <w:sz w:val="20"/>
                <w:szCs w:val="20"/>
                <w:color w:val="auto"/>
              </w:rPr>
            </w:pPr>
            <w:r>
              <w:rPr>
                <w:rFonts w:ascii="Arial" w:cs="Arial" w:eastAsia="Arial" w:hAnsi="Arial"/>
                <w:sz w:val="18"/>
                <w:szCs w:val="18"/>
                <w:color w:val="auto"/>
              </w:rPr>
              <w:t>(7,998)</w:t>
            </w: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8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Ending Balance</w:t>
            </w:r>
          </w:p>
        </w:tc>
        <w:tc>
          <w:tcPr>
            <w:tcW w:w="16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$ 115,001</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$ 26,958</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141,959</w:t>
            </w:r>
          </w:p>
        </w:tc>
        <w:tc>
          <w:tcPr>
            <w:tcW w:w="140" w:type="dxa"/>
            <w:vAlign w:val="bottom"/>
            <w:tcBorders>
              <w:right w:val="single" w:sz="8" w:color="auto"/>
            </w:tcBorders>
            <w:shd w:val="clear" w:color="auto" w:fill="CCEEFF"/>
          </w:tcPr>
          <w:p>
            <w:pPr>
              <w:spacing w:after="0"/>
              <w:rPr>
                <w:sz w:val="18"/>
                <w:szCs w:val="18"/>
                <w:color w:val="auto"/>
              </w:rPr>
            </w:pP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144,484</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44,263</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188,747</w:t>
            </w:r>
          </w:p>
        </w:tc>
        <w:tc>
          <w:tcPr>
            <w:tcW w:w="24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22"/>
          <w:szCs w:val="22"/>
          <w:color w:val="auto"/>
          <w:vertAlign w:val="superscript"/>
        </w:rPr>
      </w:pPr>
      <w:r>
        <w:rPr>
          <w:rFonts w:ascii="Arial" w:cs="Arial" w:eastAsia="Arial" w:hAnsi="Arial"/>
          <w:sz w:val="18"/>
          <w:szCs w:val="18"/>
          <w:color w:val="auto"/>
        </w:rPr>
        <w:t>Includes $76.6 million from United’s largest loan relationship that was placed on nonaccrual in the third quarter of 2011.</w:t>
      </w:r>
    </w:p>
    <w:p>
      <w:pPr>
        <w:spacing w:after="0" w:line="7" w:lineRule="exact"/>
        <w:rPr>
          <w:rFonts w:ascii="Arial" w:cs="Arial" w:eastAsia="Arial" w:hAnsi="Arial"/>
          <w:sz w:val="22"/>
          <w:szCs w:val="22"/>
          <w:color w:val="auto"/>
          <w:vertAlign w:val="superscript"/>
        </w:rPr>
      </w:pPr>
    </w:p>
    <w:p>
      <w:pPr>
        <w:ind w:left="460" w:right="160" w:hanging="452"/>
        <w:spacing w:after="0" w:line="270" w:lineRule="auto"/>
        <w:tabs>
          <w:tab w:leader="none" w:pos="460" w:val="left"/>
        </w:tabs>
        <w:numPr>
          <w:ilvl w:val="0"/>
          <w:numId w:val="13"/>
        </w:numPr>
        <w:rPr>
          <w:rFonts w:ascii="Arial" w:cs="Arial" w:eastAsia="Arial" w:hAnsi="Arial"/>
          <w:sz w:val="20"/>
          <w:szCs w:val="20"/>
          <w:color w:val="auto"/>
          <w:vertAlign w:val="superscript"/>
        </w:rPr>
      </w:pPr>
      <w:r>
        <w:rPr>
          <w:rFonts w:ascii="Arial" w:cs="Arial" w:eastAsia="Arial" w:hAnsi="Arial"/>
          <w:sz w:val="16"/>
          <w:szCs w:val="16"/>
          <w:color w:val="auto"/>
        </w:rPr>
        <w:t>The NPA activity shown for the first nine months of 2011 is presented with all activity related to loans transferred to the held for sale classification on one line as if those loans were transferred to held for sale at the beginning of the period. During the first quarter of 2011, $27.1 million in loans transferred to held for sale were placed on nonaccrual, $1.1 million in payments were received on nonaccrual loans transferred to held for sale and $66.6 million in charge-offs were recorded on nonaccrual loans transferred to held for sale to mark them down to the expected proceeds from the sale.</w:t>
      </w:r>
    </w:p>
    <w:p>
      <w:pPr>
        <w:spacing w:after="0" w:line="133"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 xml:space="preserve">Foreclosed property is initially recorded at fair value, less estimated costs to sell. If the fair value, less estimated costs to sell at the time of foreclosure, is less than the loan balance, the deficiency is charged against the allowance for loan losses. If the lesser of fair value, less estimated costs to sell or the listed selling price, less the costs to sell, of the foreclosed property decreases during the holding period, a valuation allowance is established with a charge to foreclosed property expense. When the foreclosed property is sold, a gain or loss is recognized on the sale for the difference between the sales proceeds and the carrying amount of the property. Financed sales of foreclosed property are accounted for in accordance with ASC 360-20, </w:t>
      </w:r>
      <w:r>
        <w:rPr>
          <w:rFonts w:ascii="Arial" w:cs="Arial" w:eastAsia="Arial" w:hAnsi="Arial"/>
          <w:sz w:val="16"/>
          <w:szCs w:val="16"/>
          <w:i w:val="1"/>
          <w:iCs w:val="1"/>
          <w:color w:val="auto"/>
        </w:rPr>
        <w:t>Real Estate Sales</w:t>
      </w:r>
      <w:r>
        <w:rPr>
          <w:rFonts w:ascii="Arial" w:cs="Arial" w:eastAsia="Arial" w:hAnsi="Arial"/>
          <w:sz w:val="16"/>
          <w:szCs w:val="16"/>
          <w:color w:val="auto"/>
        </w:rPr>
        <w:t>.</w:t>
      </w:r>
    </w:p>
    <w:p>
      <w:pPr>
        <w:spacing w:after="0" w:line="116"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For the third quarter and first nine months of 2012, United transferred $8.00 million and $26.9 million, respectively, of loans into foreclosed property. During the same periods, proceeds from sales of foreclosed property were $8.82 million and $27.9 million, respectively, which includes $1.13 million and $5.61 million of sales that were financed by United, respectively. During the third quarter and first nine months of 2011, United transferred $10.6 million and $49.7 million, respectively, of loans into foreclosed property. During the same periods, proceeds from sales of foreclosed properties were $13.8 million and $87.3 million, respectively, which includes $3.1 million and $16.3 million, respectively, of sales that were financed by United. During the first quarter of 2011, United recorded $48.6 million in write-downs on foreclosed property in order to expedite sales in the following quarters as part of its Problem Asset Disposition Plan.</w:t>
      </w:r>
    </w:p>
    <w:p>
      <w:pPr>
        <w:spacing w:after="0" w:line="10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40"/>
          </w:cols>
          <w:pgMar w:left="240" w:top="459" w:right="21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Securities</w:t>
      </w:r>
    </w:p>
    <w:p>
      <w:pPr>
        <w:spacing w:after="0" w:line="90"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The composition of the investment securities portfolio reflects United’s investment strategy of maintaining an appropriate level of liquidity while providing a relatively stable source of revenue. The investment securities portfolio also provides a balance to interest rate risk and credit risk in other categories of the balance sheet while providing a vehicle for the investment of available funds, furnishing liquidity, and supplying securities to pledge as required collateral for certain deposits. Total investment securities at September 30, 2012 decreased $98.2 million from a year ago.</w:t>
      </w:r>
    </w:p>
    <w:p>
      <w:pPr>
        <w:spacing w:after="0" w:line="113"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At September 30, 2012, United had securities held to maturity with a carrying amount of $263 million and securities available for sale totaling $1.76 billion. At September 30, 2012, December 31, 2011, and September 30, 2011, the securities portfolio represented approximately 30%, 30% and 31% of total assets, respectively.</w:t>
      </w:r>
    </w:p>
    <w:p>
      <w:pPr>
        <w:spacing w:after="0" w:line="14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investment securities portfolio primarily consists of U.S. government sponsored agency mortgage-backed securities, non-agency mortgage-backed securities, U.S. government agency securities, corporate securities, municipal securities and asset-backed securities. Mortgage-backed securities rely on the underlying pools of mortgage loans to provide a cash flow of principal and interest. The actual maturities of these securities will differ from contractual maturities because loans underlying the securities can prepay. Decreases in interest rates will generally cause an acceleration of prepayment levels. In a declining or prolonged low interest rate environment, United may not be able to reinvest the proceeds from these prepayments in assets that have comparable yields. In a rising rate environment, the opposite occurs. Prepayments tend to slow and the weighted average life extends. This is referred to as extension risk which can lead to lower levels of liquidity due to the delay of cash receipts and can result in the holding of a below market yielding asset for a longer period of time. United’s asset-backed securities include securities that are backed by student loans and collateralized loan obligations.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Intangible Assets</w:t>
      </w:r>
    </w:p>
    <w:p>
      <w:pPr>
        <w:spacing w:after="0" w:line="90" w:lineRule="exact"/>
        <w:rPr>
          <w:sz w:val="20"/>
          <w:szCs w:val="20"/>
          <w:color w:val="auto"/>
        </w:rPr>
      </w:pPr>
    </w:p>
    <w:p>
      <w:pPr>
        <w:jc w:val="both"/>
        <w:ind w:right="500"/>
        <w:spacing w:after="0" w:line="259" w:lineRule="auto"/>
        <w:rPr>
          <w:sz w:val="20"/>
          <w:szCs w:val="20"/>
          <w:color w:val="auto"/>
        </w:rPr>
      </w:pPr>
      <w:r>
        <w:rPr>
          <w:rFonts w:ascii="Arial" w:cs="Arial" w:eastAsia="Arial" w:hAnsi="Arial"/>
          <w:sz w:val="18"/>
          <w:szCs w:val="18"/>
          <w:color w:val="auto"/>
        </w:rPr>
        <w:t>Other intangible assets, primarily core deposit intangibles representing the value of United’s acquired deposit base, are amortizing intangible assets that are required to be tested for impairment only when events or circumstances indicate that impairment may exist. There were no events or circumstances that led management to believe that any impairment exists in United’s other intangible assets.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Deposits</w:t>
      </w:r>
    </w:p>
    <w:p>
      <w:pPr>
        <w:spacing w:after="0" w:line="9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United initiated several programs in early 2009 to improve core earnings by growing customer transaction deposit accounts and lowering overall pricing on deposit accounts to improve its net interest margin and increase net interest revenue. The programs were successful in increasing core transaction deposit accounts and allowing for the reduction of more costly time deposit balances as United’s funding needs decreased due to lower loan demand. United has continued to pursue customer transaction deposits by stressing its high customer satisfaction scores.</w:t>
      </w:r>
    </w:p>
    <w:p>
      <w:pPr>
        <w:spacing w:after="0" w:line="113"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Total deposits as of September 30, 2012 were $5.82 billion, a decrease of $183 million from September 30, 2011. Total non-interest-bearing demand deposit accounts of $1.21 billion increased $244 million, or 25%, due to the success of core deposit programs. Also impacted by the programs were NOW, money market and savings accounts of $2.53 billion which decreased $2.97 million, or less than 1%, from September 30, 2011.</w:t>
      </w:r>
    </w:p>
    <w:p>
      <w:pPr>
        <w:spacing w:after="0" w:line="107"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Total time deposits, excluding brokered deposits, as of September 30, 2012 were $1.86 billion, down $443 million from September 30, 2011. Time deposits less than $100,000 totaled $1.12 billion, a decrease of $270 million, or 19%, from a year ago. Time deposits of $100,000 and greater totaled $732 million as of September 30, 2012, a decrease of $173 million, or 19%, from September 30, 2011. United continued to offer low rates on certificates of deposit, allowing balances to decline as United’s funding needs declined due to weak loan demand and a shift to lower cost transaction account deposits.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Wholesale Funding</w:t>
      </w:r>
    </w:p>
    <w:p>
      <w:pPr>
        <w:spacing w:after="0" w:line="9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Bank is a shareholder in the Federal Home Loan Bank (“FHLB”) of Atlanta. Through this affiliation, FHLB secured advances totaled $50.1 million and $40.6 million, respectively, as of September 30, 2012 and 2011. United anticipates continued use of this short and long-term source of funds. FHLB advances outstanding at September 30, 2012 had fixed interest rates of .22% or less. During the nine months ended September 30, 2012 and 2011, United prepaid approximately $25.0 million and $14.5 million, respectively, of fixed-rate advances and incurred prepayment charges of $1.72 million and $791,000, respectively. Additional information regarding FHLB advances is provided in Note 11 to the consolidated financial statements included in United’s Annual Report on Form 10-K for the year ended December 31, 2011.</w:t>
      </w:r>
    </w:p>
    <w:p>
      <w:pPr>
        <w:spacing w:after="0" w:line="144" w:lineRule="exact"/>
        <w:rPr>
          <w:sz w:val="20"/>
          <w:szCs w:val="20"/>
          <w:color w:val="auto"/>
        </w:rPr>
      </w:pPr>
    </w:p>
    <w:p>
      <w:pPr>
        <w:ind w:right="480"/>
        <w:spacing w:after="0" w:line="256" w:lineRule="auto"/>
        <w:rPr>
          <w:sz w:val="20"/>
          <w:szCs w:val="20"/>
          <w:color w:val="auto"/>
        </w:rPr>
      </w:pPr>
      <w:r>
        <w:rPr>
          <w:rFonts w:ascii="Arial" w:cs="Arial" w:eastAsia="Arial" w:hAnsi="Arial"/>
          <w:sz w:val="18"/>
          <w:szCs w:val="18"/>
          <w:color w:val="auto"/>
        </w:rPr>
        <w:t>At September 30, 2012 and 2011, United had $53.2 million and $103 million, respectively, in repurchase agreements and other short-term borrowings outstanding. During the second quarter of 2012, United prepaid $50 million in structured repurchase agreements and incurred prepayment charges of $4.48 million. United takes advantage of these additional sources of liquidity when rates are favorable compared to other forms of short-term borrowings, such as FHLB advances and brokered deposits.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Sensitivity Management</w:t>
      </w:r>
    </w:p>
    <w:p>
      <w:pPr>
        <w:spacing w:after="0" w:line="96" w:lineRule="exact"/>
        <w:rPr>
          <w:sz w:val="20"/>
          <w:szCs w:val="20"/>
          <w:color w:val="auto"/>
        </w:rPr>
      </w:pPr>
    </w:p>
    <w:p>
      <w:pPr>
        <w:ind w:right="120"/>
        <w:spacing w:after="0" w:line="335" w:lineRule="auto"/>
        <w:rPr>
          <w:sz w:val="20"/>
          <w:szCs w:val="20"/>
          <w:color w:val="auto"/>
        </w:rPr>
      </w:pPr>
      <w:r>
        <w:rPr>
          <w:rFonts w:ascii="Arial" w:cs="Arial" w:eastAsia="Arial" w:hAnsi="Arial"/>
          <w:sz w:val="15"/>
          <w:szCs w:val="15"/>
          <w:color w:val="auto"/>
        </w:rPr>
        <w:t>The absolute level and volatility of interest rates can have a significant effect on United’s profitability. The objective of interest rate risk management is to identify and manage the sensitivity of net interest revenue to changing interest rates, in order to achieve United’s overall financial goals. Based on economic conditions, asset quality and various other considerations, management establishes tolerance ranges for interest rate sensitivity and manages within these ranges.</w:t>
      </w:r>
    </w:p>
    <w:p>
      <w:pPr>
        <w:spacing w:after="0" w:line="88"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United’s net interest revenue, and the fair value of its financial instruments, are influenced by changes in the level of interest rates. United limits its exposure to fluctuations in interest rates through policies developed by the Asset/Liability Management Committee (“ALCO”) and approved by the Board of Directors. ALCO meets periodically and has responsibility for formulating and recommending asset/liability management policies to the Board of Directors, formulating and implementing strategies to improve balance sheet positioning and/or earnings, and reviewing United’s interest rate sensitivity.</w:t>
      </w:r>
    </w:p>
    <w:p>
      <w:pPr>
        <w:spacing w:after="0" w:line="113"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One of the tools management uses to estimate and manage the sensitivity of net interest revenue to changes in interest rates is an asset/liability simulation model. Resulting estimates are based upon a number of assumptions for each scenario, including the level of balance sheet growth, loan and deposit re-pricing characteristics and the rate of prepayments. ALCO periodically reviews the assumptions for accuracy based on historical data and future expectations, however, actual net interest revenue may differ from model results. The primary objective of the simulation model is to measure the potential change in net interest revenue over time using multiple interest rate scenarios. The base scenario assumes rates remain flat and is the scenario to which all others are compared in order to measure the change in net interest revenue. Policy limits are based on immediate rate shock scenarios, as well as gradually rising and falling rate scenarios, which are all compared to the base scenario. Another commonly analyzed scenario is a most-likely scenario that projects the expected change in rates based on the slope of the forward yield curve. Other scenarios analyzed may include delayed rate shocks, yield curve steepening or flattening, or other variations in rate movements. While the primary policy scenarios focus on a twelve month time frame, longer time horizons are also modeled. All policy scenarios assume a static balance sheet.</w:t>
      </w:r>
    </w:p>
    <w:p>
      <w:pPr>
        <w:spacing w:after="0" w:line="123"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United’s policy is based on the 12-month impact on net interest revenue of interest rate shocks and ramps that increase or decrease from 100 to 300 basis points from the base scenario. In the shock scenarios, rates immediately change the full amount at the scenario onset. In the ramp scenarios, rates change by 25 basis points per month. United’s policy limits the change in net interest revenue over the first 12 months to a 5% decrease for each 100 basis point change in the increasing and decreasing rate ramp and shock scenarios. Historically low rates on September 30, 2012 and 2011 made use of the down scenarios problematic. The following table presents United’s interest sensitivity position at September 30, 2012 and 2011.</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13 - Interest Sensitivity</w:t>
      </w:r>
    </w:p>
    <w:p>
      <w:pPr>
        <w:spacing w:after="0" w:line="7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04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300" w:type="dxa"/>
            <w:vAlign w:val="bottom"/>
            <w:gridSpan w:val="8"/>
          </w:tcPr>
          <w:p>
            <w:pPr>
              <w:jc w:val="center"/>
              <w:ind w:right="760"/>
              <w:spacing w:after="0"/>
              <w:rPr>
                <w:sz w:val="20"/>
                <w:szCs w:val="20"/>
                <w:color w:val="auto"/>
              </w:rPr>
            </w:pPr>
            <w:r>
              <w:rPr>
                <w:rFonts w:ascii="Arial" w:cs="Arial" w:eastAsia="Arial" w:hAnsi="Arial"/>
                <w:sz w:val="14"/>
                <w:szCs w:val="14"/>
                <w:b w:val="1"/>
                <w:bCs w:val="1"/>
                <w:color w:val="auto"/>
                <w:w w:val="85"/>
              </w:rPr>
              <w:t>Increase (Decrease) in Net Interest Revenue</w:t>
            </w:r>
          </w:p>
        </w:tc>
        <w:tc>
          <w:tcPr>
            <w:tcW w:w="0" w:type="dxa"/>
            <w:vAlign w:val="bottom"/>
          </w:tcPr>
          <w:p>
            <w:pPr>
              <w:spacing w:after="0"/>
              <w:rPr>
                <w:sz w:val="1"/>
                <w:szCs w:val="1"/>
                <w:color w:val="auto"/>
              </w:rPr>
            </w:pPr>
          </w:p>
        </w:tc>
      </w:tr>
      <w:tr>
        <w:trPr>
          <w:trHeight w:val="161"/>
        </w:trPr>
        <w:tc>
          <w:tcPr>
            <w:tcW w:w="104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300" w:type="dxa"/>
            <w:vAlign w:val="bottom"/>
            <w:gridSpan w:val="8"/>
          </w:tcPr>
          <w:p>
            <w:pPr>
              <w:jc w:val="center"/>
              <w:ind w:right="780"/>
              <w:spacing w:after="0"/>
              <w:rPr>
                <w:sz w:val="20"/>
                <w:szCs w:val="20"/>
                <w:color w:val="auto"/>
              </w:rPr>
            </w:pPr>
            <w:r>
              <w:rPr>
                <w:rFonts w:ascii="Arial" w:cs="Arial" w:eastAsia="Arial" w:hAnsi="Arial"/>
                <w:sz w:val="14"/>
                <w:szCs w:val="14"/>
                <w:b w:val="1"/>
                <w:bCs w:val="1"/>
                <w:color w:val="auto"/>
                <w:w w:val="85"/>
              </w:rPr>
              <w:t>from Base Scenario at September 30,</w:t>
            </w:r>
          </w:p>
        </w:tc>
        <w:tc>
          <w:tcPr>
            <w:tcW w:w="0" w:type="dxa"/>
            <w:vAlign w:val="bottom"/>
          </w:tcPr>
          <w:p>
            <w:pPr>
              <w:spacing w:after="0"/>
              <w:rPr>
                <w:sz w:val="1"/>
                <w:szCs w:val="1"/>
                <w:color w:val="auto"/>
              </w:rPr>
            </w:pPr>
          </w:p>
        </w:tc>
      </w:tr>
      <w:tr>
        <w:trPr>
          <w:trHeight w:val="142"/>
        </w:trPr>
        <w:tc>
          <w:tcPr>
            <w:tcW w:w="1040" w:type="dxa"/>
            <w:vAlign w:val="bottom"/>
            <w:vMerge w:val="restart"/>
          </w:tcPr>
          <w:p>
            <w:pPr>
              <w:spacing w:after="0"/>
              <w:rPr>
                <w:sz w:val="20"/>
                <w:szCs w:val="20"/>
                <w:color w:val="auto"/>
              </w:rPr>
            </w:pPr>
            <w:r>
              <w:rPr>
                <w:rFonts w:ascii="Arial" w:cs="Arial" w:eastAsia="Arial" w:hAnsi="Arial"/>
                <w:sz w:val="14"/>
                <w:szCs w:val="14"/>
                <w:b w:val="1"/>
                <w:bCs w:val="1"/>
                <w:color w:val="auto"/>
                <w:w w:val="92"/>
              </w:rPr>
              <w:t>Change in Rates</w:t>
            </w:r>
          </w:p>
        </w:tc>
        <w:tc>
          <w:tcPr>
            <w:tcW w:w="5600" w:type="dxa"/>
            <w:vAlign w:val="bottom"/>
            <w:vMerge w:val="restart"/>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27"/>
              <w:spacing w:after="0" w:line="142" w:lineRule="exact"/>
              <w:rPr>
                <w:sz w:val="20"/>
                <w:szCs w:val="20"/>
                <w:color w:val="auto"/>
              </w:rPr>
            </w:pPr>
            <w:r>
              <w:rPr>
                <w:rFonts w:ascii="Arial" w:cs="Arial" w:eastAsia="Arial" w:hAnsi="Arial"/>
                <w:sz w:val="14"/>
                <w:szCs w:val="14"/>
                <w:b w:val="1"/>
                <w:bCs w:val="1"/>
                <w:color w:val="auto"/>
                <w:w w:val="89"/>
              </w:rPr>
              <w:t>2012</w:t>
            </w:r>
          </w:p>
        </w:tc>
        <w:tc>
          <w:tcPr>
            <w:tcW w:w="4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w w:val="89"/>
              </w:rPr>
              <w:t>2011</w:t>
            </w:r>
          </w:p>
        </w:tc>
        <w:tc>
          <w:tcPr>
            <w:tcW w:w="460" w:type="dxa"/>
            <w:vAlign w:val="bottom"/>
            <w:tcBorders>
              <w:top w:val="single" w:sz="8" w:color="auto"/>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040" w:type="dxa"/>
            <w:vAlign w:val="bottom"/>
            <w:tcBorders>
              <w:bottom w:val="single" w:sz="8" w:color="auto"/>
            </w:tcBorders>
            <w:vMerge w:val="continue"/>
          </w:tcPr>
          <w:p>
            <w:pPr>
              <w:spacing w:after="0"/>
              <w:rPr>
                <w:sz w:val="11"/>
                <w:szCs w:val="11"/>
                <w:color w:val="auto"/>
              </w:rPr>
            </w:pPr>
          </w:p>
        </w:tc>
        <w:tc>
          <w:tcPr>
            <w:tcW w:w="5600" w:type="dxa"/>
            <w:vAlign w:val="bottom"/>
            <w:vMerge w:val="continue"/>
          </w:tcPr>
          <w:p>
            <w:pPr>
              <w:spacing w:after="0"/>
              <w:rPr>
                <w:sz w:val="11"/>
                <w:szCs w:val="11"/>
                <w:color w:val="auto"/>
              </w:rPr>
            </w:pPr>
          </w:p>
        </w:tc>
        <w:tc>
          <w:tcPr>
            <w:tcW w:w="560" w:type="dxa"/>
            <w:vAlign w:val="bottom"/>
            <w:gridSpan w:val="2"/>
          </w:tcPr>
          <w:p>
            <w:pPr>
              <w:jc w:val="right"/>
              <w:ind w:right="180"/>
              <w:spacing w:after="0" w:line="129" w:lineRule="exact"/>
              <w:rPr>
                <w:sz w:val="20"/>
                <w:szCs w:val="20"/>
                <w:color w:val="auto"/>
              </w:rPr>
            </w:pPr>
            <w:r>
              <w:rPr>
                <w:rFonts w:ascii="Arial" w:cs="Arial" w:eastAsia="Arial" w:hAnsi="Arial"/>
                <w:sz w:val="14"/>
                <w:szCs w:val="14"/>
                <w:b w:val="1"/>
                <w:bCs w:val="1"/>
                <w:color w:val="auto"/>
                <w:w w:val="85"/>
              </w:rPr>
              <w:t>Shock</w:t>
            </w:r>
          </w:p>
        </w:tc>
        <w:tc>
          <w:tcPr>
            <w:tcW w:w="500" w:type="dxa"/>
            <w:vAlign w:val="bottom"/>
          </w:tcPr>
          <w:p>
            <w:pPr>
              <w:spacing w:after="0"/>
              <w:rPr>
                <w:sz w:val="11"/>
                <w:szCs w:val="11"/>
                <w:color w:val="auto"/>
              </w:rPr>
            </w:pPr>
          </w:p>
        </w:tc>
        <w:tc>
          <w:tcPr>
            <w:tcW w:w="420" w:type="dxa"/>
            <w:vAlign w:val="bottom"/>
          </w:tcPr>
          <w:p>
            <w:pPr>
              <w:ind w:left="20"/>
              <w:spacing w:after="0" w:line="129" w:lineRule="exact"/>
              <w:rPr>
                <w:sz w:val="20"/>
                <w:szCs w:val="20"/>
                <w:color w:val="auto"/>
              </w:rPr>
            </w:pPr>
            <w:r>
              <w:rPr>
                <w:rFonts w:ascii="Arial" w:cs="Arial" w:eastAsia="Arial" w:hAnsi="Arial"/>
                <w:sz w:val="14"/>
                <w:szCs w:val="14"/>
                <w:b w:val="1"/>
                <w:bCs w:val="1"/>
                <w:color w:val="auto"/>
                <w:w w:val="97"/>
              </w:rPr>
              <w:t>Ramp</w:t>
            </w:r>
          </w:p>
        </w:tc>
        <w:tc>
          <w:tcPr>
            <w:tcW w:w="640" w:type="dxa"/>
            <w:vAlign w:val="bottom"/>
          </w:tcPr>
          <w:p>
            <w:pPr>
              <w:spacing w:after="0"/>
              <w:rPr>
                <w:sz w:val="11"/>
                <w:szCs w:val="11"/>
                <w:color w:val="auto"/>
              </w:rPr>
            </w:pPr>
          </w:p>
        </w:tc>
        <w:tc>
          <w:tcPr>
            <w:tcW w:w="600" w:type="dxa"/>
            <w:vAlign w:val="bottom"/>
            <w:gridSpan w:val="2"/>
          </w:tcPr>
          <w:p>
            <w:pPr>
              <w:ind w:left="40"/>
              <w:spacing w:after="0" w:line="129" w:lineRule="exact"/>
              <w:rPr>
                <w:sz w:val="20"/>
                <w:szCs w:val="20"/>
                <w:color w:val="auto"/>
              </w:rPr>
            </w:pPr>
            <w:r>
              <w:rPr>
                <w:rFonts w:ascii="Arial" w:cs="Arial" w:eastAsia="Arial" w:hAnsi="Arial"/>
                <w:sz w:val="14"/>
                <w:szCs w:val="14"/>
                <w:b w:val="1"/>
                <w:bCs w:val="1"/>
                <w:color w:val="auto"/>
              </w:rPr>
              <w:t>Shock</w:t>
            </w:r>
          </w:p>
        </w:tc>
        <w:tc>
          <w:tcPr>
            <w:tcW w:w="480" w:type="dxa"/>
            <w:vAlign w:val="bottom"/>
          </w:tcPr>
          <w:p>
            <w:pPr>
              <w:spacing w:after="0"/>
              <w:rPr>
                <w:sz w:val="11"/>
                <w:szCs w:val="11"/>
                <w:color w:val="auto"/>
              </w:rPr>
            </w:pPr>
          </w:p>
        </w:tc>
        <w:tc>
          <w:tcPr>
            <w:tcW w:w="460" w:type="dxa"/>
            <w:vAlign w:val="bottom"/>
          </w:tcPr>
          <w:p>
            <w:pPr>
              <w:ind w:left="60"/>
              <w:spacing w:after="0" w:line="129" w:lineRule="exact"/>
              <w:rPr>
                <w:sz w:val="20"/>
                <w:szCs w:val="20"/>
                <w:color w:val="auto"/>
              </w:rPr>
            </w:pPr>
            <w:r>
              <w:rPr>
                <w:rFonts w:ascii="Arial" w:cs="Arial" w:eastAsia="Arial" w:hAnsi="Arial"/>
                <w:sz w:val="14"/>
                <w:szCs w:val="14"/>
                <w:b w:val="1"/>
                <w:bCs w:val="1"/>
                <w:color w:val="auto"/>
                <w:w w:val="97"/>
              </w:rPr>
              <w:t>Ramp</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6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200 basis point increase</w:t>
            </w:r>
          </w:p>
        </w:tc>
        <w:tc>
          <w:tcPr>
            <w:tcW w:w="4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640" w:type="dxa"/>
            <w:vAlign w:val="bottom"/>
            <w:gridSpan w:val="2"/>
            <w:vMerge w:val="continue"/>
            <w:shd w:val="clear" w:color="auto" w:fill="CCEEFF"/>
          </w:tcPr>
          <w:p>
            <w:pPr>
              <w:spacing w:after="0"/>
              <w:rPr>
                <w:sz w:val="17"/>
                <w:szCs w:val="17"/>
                <w:color w:val="auto"/>
              </w:rPr>
            </w:pPr>
          </w:p>
        </w:tc>
        <w:tc>
          <w:tcPr>
            <w:tcW w:w="560" w:type="dxa"/>
            <w:vAlign w:val="bottom"/>
            <w:gridSpan w:val="2"/>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rPr>
              <w:t>5.3%</w:t>
            </w:r>
          </w:p>
        </w:tc>
        <w:tc>
          <w:tcPr>
            <w:tcW w:w="500" w:type="dxa"/>
            <w:vAlign w:val="bottom"/>
            <w:vMerge w:val="continue"/>
            <w:shd w:val="clear" w:color="auto" w:fill="CCEEFF"/>
          </w:tcPr>
          <w:p>
            <w:pPr>
              <w:spacing w:after="0"/>
              <w:rPr>
                <w:sz w:val="17"/>
                <w:szCs w:val="17"/>
                <w:color w:val="auto"/>
              </w:rPr>
            </w:pPr>
          </w:p>
        </w:tc>
        <w:tc>
          <w:tcPr>
            <w:tcW w:w="1060" w:type="dxa"/>
            <w:vAlign w:val="bottom"/>
            <w:gridSpan w:val="2"/>
            <w:shd w:val="clear" w:color="auto" w:fill="CCEEFF"/>
          </w:tcPr>
          <w:p>
            <w:pPr>
              <w:jc w:val="right"/>
              <w:ind w:right="500"/>
              <w:spacing w:after="0" w:line="203" w:lineRule="exact"/>
              <w:rPr>
                <w:sz w:val="20"/>
                <w:szCs w:val="20"/>
                <w:color w:val="auto"/>
              </w:rPr>
            </w:pPr>
            <w:r>
              <w:rPr>
                <w:rFonts w:ascii="Arial" w:cs="Arial" w:eastAsia="Arial" w:hAnsi="Arial"/>
                <w:sz w:val="18"/>
                <w:szCs w:val="18"/>
                <w:color w:val="auto"/>
              </w:rPr>
              <w:t>2.3%</w:t>
            </w:r>
          </w:p>
        </w:tc>
        <w:tc>
          <w:tcPr>
            <w:tcW w:w="600" w:type="dxa"/>
            <w:vAlign w:val="bottom"/>
            <w:gridSpan w:val="2"/>
            <w:shd w:val="clear" w:color="auto" w:fill="CCEEFF"/>
          </w:tcPr>
          <w:p>
            <w:pPr>
              <w:ind w:left="200"/>
              <w:spacing w:after="0" w:line="203" w:lineRule="exact"/>
              <w:rPr>
                <w:sz w:val="20"/>
                <w:szCs w:val="20"/>
                <w:color w:val="auto"/>
              </w:rPr>
            </w:pPr>
            <w:r>
              <w:rPr>
                <w:rFonts w:ascii="Arial" w:cs="Arial" w:eastAsia="Arial" w:hAnsi="Arial"/>
                <w:sz w:val="18"/>
                <w:szCs w:val="18"/>
                <w:color w:val="auto"/>
                <w:w w:val="92"/>
              </w:rPr>
              <w:t>3.6%</w:t>
            </w:r>
          </w:p>
        </w:tc>
        <w:tc>
          <w:tcPr>
            <w:tcW w:w="480" w:type="dxa"/>
            <w:vAlign w:val="bottom"/>
            <w:vMerge w:val="continue"/>
            <w:shd w:val="clear" w:color="auto" w:fill="CCEEFF"/>
          </w:tcPr>
          <w:p>
            <w:pPr>
              <w:spacing w:after="0"/>
              <w:rPr>
                <w:sz w:val="17"/>
                <w:szCs w:val="17"/>
                <w:color w:val="auto"/>
              </w:rPr>
            </w:pPr>
          </w:p>
        </w:tc>
        <w:tc>
          <w:tcPr>
            <w:tcW w:w="660" w:type="dxa"/>
            <w:vAlign w:val="bottom"/>
            <w:gridSpan w:val="2"/>
            <w:shd w:val="clear" w:color="auto" w:fill="CCEEFF"/>
          </w:tcPr>
          <w:p>
            <w:pPr>
              <w:ind w:left="240"/>
              <w:spacing w:after="0" w:line="203" w:lineRule="exact"/>
              <w:rPr>
                <w:sz w:val="20"/>
                <w:szCs w:val="20"/>
                <w:color w:val="auto"/>
              </w:rPr>
            </w:pPr>
            <w:r>
              <w:rPr>
                <w:rFonts w:ascii="Arial" w:cs="Arial" w:eastAsia="Arial" w:hAnsi="Arial"/>
                <w:sz w:val="18"/>
                <w:szCs w:val="18"/>
                <w:color w:val="auto"/>
                <w:w w:val="97"/>
              </w:rPr>
              <w:t>1.8%</w:t>
            </w:r>
          </w:p>
        </w:tc>
        <w:tc>
          <w:tcPr>
            <w:tcW w:w="0" w:type="dxa"/>
            <w:vAlign w:val="bottom"/>
          </w:tcPr>
          <w:p>
            <w:pPr>
              <w:spacing w:after="0"/>
              <w:rPr>
                <w:sz w:val="1"/>
                <w:szCs w:val="1"/>
                <w:color w:val="auto"/>
              </w:rPr>
            </w:pPr>
          </w:p>
        </w:tc>
      </w:tr>
      <w:tr>
        <w:trPr>
          <w:trHeight w:val="222"/>
        </w:trPr>
        <w:tc>
          <w:tcPr>
            <w:tcW w:w="6640" w:type="dxa"/>
            <w:vAlign w:val="bottom"/>
            <w:gridSpan w:val="2"/>
          </w:tcPr>
          <w:p>
            <w:pPr>
              <w:spacing w:after="0"/>
              <w:rPr>
                <w:sz w:val="20"/>
                <w:szCs w:val="20"/>
                <w:color w:val="auto"/>
              </w:rPr>
            </w:pPr>
            <w:r>
              <w:rPr>
                <w:rFonts w:ascii="Arial" w:cs="Arial" w:eastAsia="Arial" w:hAnsi="Arial"/>
                <w:sz w:val="18"/>
                <w:szCs w:val="18"/>
                <w:color w:val="auto"/>
              </w:rPr>
              <w:t>25 basis point decrease</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1560" w:type="dxa"/>
            <w:vAlign w:val="bottom"/>
            <w:gridSpan w:val="3"/>
          </w:tcPr>
          <w:p>
            <w:pPr>
              <w:jc w:val="right"/>
              <w:ind w:right="600"/>
              <w:spacing w:after="0"/>
              <w:rPr>
                <w:sz w:val="20"/>
                <w:szCs w:val="20"/>
                <w:color w:val="auto"/>
              </w:rPr>
            </w:pPr>
            <w:r>
              <w:rPr>
                <w:rFonts w:ascii="Arial" w:cs="Arial" w:eastAsia="Arial" w:hAnsi="Arial"/>
                <w:sz w:val="18"/>
                <w:szCs w:val="18"/>
                <w:color w:val="auto"/>
              </w:rPr>
              <w:t>(1.1)</w:t>
            </w:r>
          </w:p>
        </w:tc>
        <w:tc>
          <w:tcPr>
            <w:tcW w:w="420" w:type="dxa"/>
            <w:vAlign w:val="bottom"/>
          </w:tcPr>
          <w:p>
            <w:pPr>
              <w:ind w:left="200"/>
              <w:spacing w:after="0"/>
              <w:rPr>
                <w:sz w:val="20"/>
                <w:szCs w:val="20"/>
                <w:color w:val="auto"/>
              </w:rPr>
            </w:pPr>
            <w:r>
              <w:rPr>
                <w:rFonts w:ascii="Arial" w:cs="Arial" w:eastAsia="Arial" w:hAnsi="Arial"/>
                <w:sz w:val="18"/>
                <w:szCs w:val="18"/>
                <w:color w:val="auto"/>
                <w:w w:val="79"/>
              </w:rPr>
              <w:t>0.5</w:t>
            </w:r>
          </w:p>
        </w:tc>
        <w:tc>
          <w:tcPr>
            <w:tcW w:w="180" w:type="dxa"/>
            <w:vAlign w:val="bottom"/>
          </w:tcPr>
          <w:p>
            <w:pPr>
              <w:spacing w:after="0"/>
              <w:rPr>
                <w:sz w:val="19"/>
                <w:szCs w:val="19"/>
                <w:color w:val="auto"/>
              </w:rPr>
            </w:pPr>
          </w:p>
        </w:tc>
        <w:tc>
          <w:tcPr>
            <w:tcW w:w="940" w:type="dxa"/>
            <w:vAlign w:val="bottom"/>
            <w:gridSpan w:val="2"/>
          </w:tcPr>
          <w:p>
            <w:pPr>
              <w:ind w:left="720"/>
              <w:spacing w:after="0"/>
              <w:rPr>
                <w:sz w:val="20"/>
                <w:szCs w:val="20"/>
                <w:color w:val="auto"/>
              </w:rPr>
            </w:pPr>
            <w:r>
              <w:rPr>
                <w:rFonts w:ascii="Arial" w:cs="Arial" w:eastAsia="Arial" w:hAnsi="Arial"/>
                <w:sz w:val="18"/>
                <w:szCs w:val="18"/>
                <w:color w:val="auto"/>
                <w:w w:val="79"/>
              </w:rPr>
              <w:t>0.5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Interest rate sensitivity is a function of the repricing characteristics of the portfolio of assets and liabilities. These repricing characteristics are the time frames within which the interest-earning assets and interest-bearing liabilities are subject to change in interest rates either at replacement, repricing or maturity during the life of the instruments. Interest rate sensitivity management focuses on the maturity structure of assets and liabilities and their repricing characteristics during periods of changes in market interest rates. Effective interest rate sensitivity management seeks to ensure that both assets and liabilities respond to changes in interest rates on a net basis within an acceptable timeframe, thereby minimizing the effect of interest rate changes on net interest revenue.</w:t>
      </w:r>
    </w:p>
    <w:p>
      <w:pPr>
        <w:spacing w:after="0" w:line="116"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United may have some discretion in the extent and timing of deposit repricing depending upon the competitive pressures in the markets in which it operates. Changes in the mix of earning assets or supporting liabilities can either increase or decrease the net interest margin without affecting interest rate sensitivity. The interest rate spread between an asset and its supporting liability can vary significantly even when the timing of repricing for both the asset and the liability remains the same, due to the two instruments repricing according to different indices. This is commonly referred to as Basis risk.</w:t>
      </w:r>
    </w:p>
    <w:p>
      <w:pPr>
        <w:spacing w:after="0" w:line="113"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In addition to net interest revenue simulation modeling, another tool that management uses to monitor interest rate sensitivity is economic value of equity (EVE) modeling, which measures the degree to which the estimated net market value of United’s assets, liabilities and off-balance sheet instruments would change given an immediate change in interest rates. United’s policy limits the change in EVE to a decrease of 5% for each incremental 100 basis point increase or decrease in interest rates. At September 30, 2012 the model results for a 300 basis point immediate increase in rates indicated an approximate 4.7% decrease in EVE, compared to September 30, 2011 when the model results indicated an approximate 5.3% decrease in EVE.</w:t>
      </w:r>
    </w:p>
    <w:p>
      <w:pPr>
        <w:spacing w:after="0" w:line="11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In order to manage interest rate sensitivity, United periodically enters into off-balance sheet contracts that are considered derivative financial instruments. Derivative financial instruments can be a cost-effective and capital-effective means of modifying the repricing characteristics of on-balance sheet assets and liabilities. These contracts generally consist of interest rate swaps under which United pays a variable rate (or fixed rate, as may be the case) and receives a fixed rate (or variable rate, as may be the case).</w:t>
      </w:r>
    </w:p>
    <w:p>
      <w:pPr>
        <w:spacing w:after="0" w:line="143"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United’s derivative financial instruments are classified as either cash flow or fair value hedges. The change in fair value of cash flow hedges is recognized in other comprehensive income. Fair value hedges recognize currently in earnings both the effect of the change in the fair value of the derivative financial instrument and the offsetting effect of the change in fair value of the hedged asset or liability associated with the particular risk of that asset or liability being hedged.</w:t>
      </w:r>
    </w:p>
    <w:p>
      <w:pPr>
        <w:spacing w:after="0" w:line="143"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In addition to derivative instruments, United uses a variety of balance sheet instruments to manage interest rate risk such as Investment Portfolio holdings, wholesale funding, and bank-issued deposits.</w:t>
      </w:r>
    </w:p>
    <w:p>
      <w:pPr>
        <w:sectPr>
          <w:pgSz w:w="11900" w:h="16838" w:orient="portrait"/>
          <w:cols w:equalWidth="0" w:num="1">
            <w:col w:w="11400"/>
          </w:cols>
          <w:pgMar w:left="240" w:top="459" w:right="259" w:bottom="1440" w:gutter="0" w:footer="0" w:header="0"/>
        </w:sectPr>
      </w:pP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400"/>
          </w:cols>
          <w:pgMar w:left="240" w:top="459" w:right="259" w:bottom="1440" w:gutter="0" w:footer="0" w:header="0"/>
          <w:type w:val="continuous"/>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presents United’s active derivative contracts used for hedging purposes.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14 - Derivative Financial Instruments</w:t>
      </w:r>
    </w:p>
    <w:p>
      <w:pPr>
        <w:spacing w:after="0" w:line="96"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(in thousands)</w:t>
      </w:r>
    </w:p>
    <w:p>
      <w:pPr>
        <w:sectPr>
          <w:pgSz w:w="11900" w:h="16838" w:orient="portrait"/>
          <w:cols w:equalWidth="0" w:num="1">
            <w:col w:w="11420"/>
          </w:cols>
          <w:pgMar w:left="240" w:top="459" w:right="239" w:bottom="24" w:gutter="0" w:footer="0" w:header="0"/>
        </w:sect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ind w:left="200"/>
              <w:spacing w:after="0"/>
              <w:rPr>
                <w:sz w:val="20"/>
                <w:szCs w:val="20"/>
                <w:color w:val="auto"/>
              </w:rPr>
            </w:pPr>
            <w:r>
              <w:rPr>
                <w:rFonts w:ascii="Arial" w:cs="Arial" w:eastAsia="Arial" w:hAnsi="Arial"/>
                <w:sz w:val="14"/>
                <w:szCs w:val="14"/>
                <w:b w:val="1"/>
                <w:bCs w:val="1"/>
                <w:color w:val="auto"/>
              </w:rPr>
              <w:t>Hedge</w:t>
            </w:r>
          </w:p>
        </w:tc>
        <w:tc>
          <w:tcPr>
            <w:tcW w:w="2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ind w:right="35"/>
              <w:spacing w:after="0"/>
              <w:rPr>
                <w:sz w:val="20"/>
                <w:szCs w:val="20"/>
                <w:color w:val="auto"/>
              </w:rPr>
            </w:pPr>
            <w:r>
              <w:rPr>
                <w:rFonts w:ascii="Arial" w:cs="Arial" w:eastAsia="Arial" w:hAnsi="Arial"/>
                <w:sz w:val="14"/>
                <w:szCs w:val="14"/>
                <w:b w:val="1"/>
                <w:bCs w:val="1"/>
                <w:color w:val="auto"/>
                <w:w w:val="90"/>
              </w:rPr>
              <w:t>Current</w:t>
            </w:r>
          </w:p>
        </w:tc>
        <w:tc>
          <w:tcPr>
            <w:tcW w:w="120" w:type="dxa"/>
            <w:vAlign w:val="bottom"/>
          </w:tcPr>
          <w:p>
            <w:pPr>
              <w:spacing w:after="0"/>
              <w:rPr>
                <w:sz w:val="14"/>
                <w:szCs w:val="14"/>
                <w:color w:val="auto"/>
              </w:rPr>
            </w:pPr>
          </w:p>
        </w:tc>
        <w:tc>
          <w:tcPr>
            <w:tcW w:w="6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9"/>
              </w:rPr>
              <w:t>Trade</w:t>
            </w:r>
          </w:p>
        </w:tc>
        <w:tc>
          <w:tcPr>
            <w:tcW w:w="6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9"/>
              </w:rPr>
              <w:t>Effective</w:t>
            </w:r>
          </w:p>
        </w:tc>
        <w:tc>
          <w:tcPr>
            <w:tcW w:w="6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5"/>
              </w:rPr>
              <w:t>Maturity</w:t>
            </w:r>
          </w:p>
        </w:tc>
        <w:tc>
          <w:tcPr>
            <w:tcW w:w="2160" w:type="dxa"/>
            <w:vAlign w:val="bottom"/>
          </w:tcPr>
          <w:p>
            <w:pPr>
              <w:spacing w:after="0"/>
              <w:rPr>
                <w:sz w:val="14"/>
                <w:szCs w:val="14"/>
                <w:color w:val="auto"/>
              </w:rPr>
            </w:pPr>
          </w:p>
        </w:tc>
      </w:tr>
      <w:tr>
        <w:trPr>
          <w:trHeight w:val="181"/>
        </w:trPr>
        <w:tc>
          <w:tcPr>
            <w:tcW w:w="1340" w:type="dxa"/>
            <w:vAlign w:val="bottom"/>
            <w:gridSpan w:val="2"/>
          </w:tcPr>
          <w:p>
            <w:pPr>
              <w:spacing w:after="0"/>
              <w:rPr>
                <w:sz w:val="20"/>
                <w:szCs w:val="20"/>
                <w:color w:val="auto"/>
              </w:rPr>
            </w:pPr>
            <w:r>
              <w:rPr>
                <w:rFonts w:ascii="Arial" w:cs="Arial" w:eastAsia="Arial" w:hAnsi="Arial"/>
                <w:sz w:val="14"/>
                <w:szCs w:val="14"/>
                <w:b w:val="1"/>
                <w:bCs w:val="1"/>
                <w:color w:val="auto"/>
              </w:rPr>
              <w:t>Type of Instrument</w:t>
            </w:r>
          </w:p>
        </w:tc>
        <w:tc>
          <w:tcPr>
            <w:tcW w:w="800" w:type="dxa"/>
            <w:vAlign w:val="bottom"/>
            <w:gridSpan w:val="2"/>
          </w:tcPr>
          <w:p>
            <w:pPr>
              <w:ind w:left="40"/>
              <w:spacing w:after="0"/>
              <w:rPr>
                <w:sz w:val="20"/>
                <w:szCs w:val="20"/>
                <w:color w:val="auto"/>
              </w:rPr>
            </w:pPr>
            <w:r>
              <w:rPr>
                <w:rFonts w:ascii="Arial" w:cs="Arial" w:eastAsia="Arial" w:hAnsi="Arial"/>
                <w:sz w:val="14"/>
                <w:szCs w:val="14"/>
                <w:b w:val="1"/>
                <w:bCs w:val="1"/>
                <w:color w:val="auto"/>
                <w:w w:val="92"/>
              </w:rPr>
              <w:t>Designation</w:t>
            </w:r>
          </w:p>
        </w:tc>
        <w:tc>
          <w:tcPr>
            <w:tcW w:w="21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8"/>
              </w:rPr>
              <w:t>Hedged Item</w:t>
            </w:r>
          </w:p>
        </w:tc>
        <w:tc>
          <w:tcPr>
            <w:tcW w:w="80" w:type="dxa"/>
            <w:vAlign w:val="bottom"/>
          </w:tcPr>
          <w:p>
            <w:pPr>
              <w:spacing w:after="0"/>
              <w:rPr>
                <w:sz w:val="15"/>
                <w:szCs w:val="15"/>
                <w:color w:val="auto"/>
              </w:rPr>
            </w:pPr>
          </w:p>
        </w:tc>
        <w:tc>
          <w:tcPr>
            <w:tcW w:w="600" w:type="dxa"/>
            <w:vAlign w:val="bottom"/>
          </w:tcPr>
          <w:p>
            <w:pPr>
              <w:jc w:val="right"/>
              <w:ind w:right="15"/>
              <w:spacing w:after="0"/>
              <w:rPr>
                <w:sz w:val="20"/>
                <w:szCs w:val="20"/>
                <w:color w:val="auto"/>
              </w:rPr>
            </w:pPr>
            <w:r>
              <w:rPr>
                <w:rFonts w:ascii="Arial" w:cs="Arial" w:eastAsia="Arial" w:hAnsi="Arial"/>
                <w:sz w:val="14"/>
                <w:szCs w:val="14"/>
                <w:b w:val="1"/>
                <w:bCs w:val="1"/>
                <w:color w:val="auto"/>
                <w:w w:val="85"/>
              </w:rPr>
              <w:t>Notional</w:t>
            </w:r>
          </w:p>
        </w:tc>
        <w:tc>
          <w:tcPr>
            <w:tcW w:w="120" w:type="dxa"/>
            <w:vAlign w:val="bottom"/>
          </w:tcPr>
          <w:p>
            <w:pPr>
              <w:spacing w:after="0"/>
              <w:rPr>
                <w:sz w:val="15"/>
                <w:szCs w:val="15"/>
                <w:color w:val="auto"/>
              </w:rPr>
            </w:pPr>
          </w:p>
        </w:tc>
        <w:tc>
          <w:tcPr>
            <w:tcW w:w="6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2"/>
              </w:rPr>
              <w:t>Date</w:t>
            </w:r>
          </w:p>
        </w:tc>
        <w:tc>
          <w:tcPr>
            <w:tcW w:w="6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2"/>
              </w:rPr>
              <w:t>Date</w:t>
            </w:r>
          </w:p>
        </w:tc>
        <w:tc>
          <w:tcPr>
            <w:tcW w:w="6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5"/>
              </w:rPr>
              <w:t>Date</w:t>
            </w: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87"/>
              </w:rPr>
              <w:t>Pay Rate</w:t>
            </w:r>
          </w:p>
        </w:tc>
      </w:tr>
      <w:tr>
        <w:trPr>
          <w:trHeight w:val="181"/>
        </w:trPr>
        <w:tc>
          <w:tcPr>
            <w:tcW w:w="120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color w:val="auto"/>
              </w:rPr>
              <w:t>Receive Fixed</w:t>
            </w:r>
          </w:p>
        </w:tc>
        <w:tc>
          <w:tcPr>
            <w:tcW w:w="140" w:type="dxa"/>
            <w:vAlign w:val="bottom"/>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06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160" w:type="dxa"/>
            <w:vAlign w:val="bottom"/>
            <w:tcBorders>
              <w:top w:val="single" w:sz="8" w:color="auto"/>
            </w:tcBorders>
          </w:tcPr>
          <w:p>
            <w:pPr>
              <w:spacing w:after="0"/>
              <w:rPr>
                <w:sz w:val="15"/>
                <w:szCs w:val="15"/>
                <w:color w:val="auto"/>
              </w:rPr>
            </w:pPr>
          </w:p>
        </w:tc>
      </w:tr>
      <w:tr>
        <w:trPr>
          <w:trHeight w:val="216"/>
        </w:trPr>
        <w:tc>
          <w:tcPr>
            <w:tcW w:w="1340" w:type="dxa"/>
            <w:vAlign w:val="bottom"/>
            <w:gridSpan w:val="2"/>
          </w:tcPr>
          <w:p>
            <w:pPr>
              <w:ind w:left="220"/>
              <w:spacing w:after="0"/>
              <w:rPr>
                <w:sz w:val="20"/>
                <w:szCs w:val="20"/>
                <w:color w:val="auto"/>
              </w:rPr>
            </w:pPr>
            <w:r>
              <w:rPr>
                <w:rFonts w:ascii="Arial" w:cs="Arial" w:eastAsia="Arial" w:hAnsi="Arial"/>
                <w:sz w:val="18"/>
                <w:szCs w:val="18"/>
                <w:color w:val="auto"/>
              </w:rPr>
              <w:t>Cancellable</w:t>
            </w: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216"/>
        </w:trPr>
        <w:tc>
          <w:tcPr>
            <w:tcW w:w="1340" w:type="dxa"/>
            <w:vAlign w:val="bottom"/>
            <w:gridSpan w:val="2"/>
          </w:tcPr>
          <w:p>
            <w:pPr>
              <w:ind w:left="220"/>
              <w:spacing w:after="0"/>
              <w:rPr>
                <w:sz w:val="20"/>
                <w:szCs w:val="20"/>
                <w:color w:val="auto"/>
              </w:rPr>
            </w:pPr>
            <w:r>
              <w:rPr>
                <w:rFonts w:ascii="Arial" w:cs="Arial" w:eastAsia="Arial" w:hAnsi="Arial"/>
                <w:sz w:val="18"/>
                <w:szCs w:val="18"/>
                <w:color w:val="auto"/>
              </w:rPr>
              <w:t>Swap</w:t>
            </w:r>
          </w:p>
        </w:tc>
        <w:tc>
          <w:tcPr>
            <w:tcW w:w="800" w:type="dxa"/>
            <w:vAlign w:val="bottom"/>
            <w:gridSpan w:val="2"/>
          </w:tcPr>
          <w:p>
            <w:pPr>
              <w:ind w:left="20"/>
              <w:spacing w:after="0"/>
              <w:rPr>
                <w:sz w:val="20"/>
                <w:szCs w:val="20"/>
                <w:color w:val="auto"/>
              </w:rPr>
            </w:pPr>
            <w:r>
              <w:rPr>
                <w:rFonts w:ascii="Arial" w:cs="Arial" w:eastAsia="Arial" w:hAnsi="Arial"/>
                <w:sz w:val="18"/>
                <w:szCs w:val="18"/>
                <w:color w:val="auto"/>
                <w:w w:val="92"/>
              </w:rPr>
              <w:t>Fair Value</w:t>
            </w:r>
          </w:p>
        </w:tc>
        <w:tc>
          <w:tcPr>
            <w:tcW w:w="2100" w:type="dxa"/>
            <w:vAlign w:val="bottom"/>
            <w:gridSpan w:val="2"/>
          </w:tcPr>
          <w:p>
            <w:pPr>
              <w:jc w:val="center"/>
              <w:ind w:right="40"/>
              <w:spacing w:after="0"/>
              <w:rPr>
                <w:sz w:val="20"/>
                <w:szCs w:val="20"/>
                <w:color w:val="auto"/>
              </w:rPr>
            </w:pPr>
            <w:r>
              <w:rPr>
                <w:rFonts w:ascii="Arial" w:cs="Arial" w:eastAsia="Arial" w:hAnsi="Arial"/>
                <w:sz w:val="18"/>
                <w:szCs w:val="18"/>
                <w:color w:val="auto"/>
                <w:w w:val="90"/>
              </w:rPr>
              <w:t>Brokered CD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15,000</w:t>
            </w:r>
          </w:p>
        </w:tc>
        <w:tc>
          <w:tcPr>
            <w:tcW w:w="2120" w:type="dxa"/>
            <w:vAlign w:val="bottom"/>
            <w:gridSpan w:val="6"/>
          </w:tcPr>
          <w:p>
            <w:pPr>
              <w:ind w:left="140"/>
              <w:spacing w:after="0"/>
              <w:rPr>
                <w:sz w:val="20"/>
                <w:szCs w:val="20"/>
                <w:color w:val="auto"/>
              </w:rPr>
            </w:pPr>
            <w:r>
              <w:rPr>
                <w:rFonts w:ascii="Arial" w:cs="Arial" w:eastAsia="Arial" w:hAnsi="Arial"/>
                <w:sz w:val="18"/>
                <w:szCs w:val="18"/>
                <w:color w:val="auto"/>
                <w:w w:val="88"/>
              </w:rPr>
              <w:t>10/12/11 11/10/11 11/10/31</w:t>
            </w:r>
          </w:p>
        </w:tc>
        <w:tc>
          <w:tcPr>
            <w:tcW w:w="4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0"/>
              </w:rPr>
              <w:t>3 mo. LIBOR minus 60 bps</w:t>
            </w:r>
          </w:p>
        </w:tc>
      </w:tr>
      <w:tr>
        <w:trPr>
          <w:trHeight w:val="216"/>
        </w:trPr>
        <w:tc>
          <w:tcPr>
            <w:tcW w:w="1340" w:type="dxa"/>
            <w:vAlign w:val="bottom"/>
            <w:gridSpan w:val="2"/>
          </w:tcPr>
          <w:p>
            <w:pPr>
              <w:spacing w:after="0"/>
              <w:rPr>
                <w:sz w:val="20"/>
                <w:szCs w:val="20"/>
                <w:color w:val="auto"/>
              </w:rPr>
            </w:pPr>
            <w:r>
              <w:rPr>
                <w:rFonts w:ascii="Arial" w:cs="Arial" w:eastAsia="Arial" w:hAnsi="Arial"/>
                <w:sz w:val="18"/>
                <w:szCs w:val="18"/>
                <w:color w:val="auto"/>
              </w:rPr>
              <w:t>Receive Fixed</w:t>
            </w: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216"/>
        </w:trPr>
        <w:tc>
          <w:tcPr>
            <w:tcW w:w="1340" w:type="dxa"/>
            <w:vAlign w:val="bottom"/>
            <w:gridSpan w:val="2"/>
          </w:tcPr>
          <w:p>
            <w:pPr>
              <w:ind w:left="220"/>
              <w:spacing w:after="0"/>
              <w:rPr>
                <w:sz w:val="20"/>
                <w:szCs w:val="20"/>
                <w:color w:val="auto"/>
              </w:rPr>
            </w:pPr>
            <w:r>
              <w:rPr>
                <w:rFonts w:ascii="Arial" w:cs="Arial" w:eastAsia="Arial" w:hAnsi="Arial"/>
                <w:sz w:val="18"/>
                <w:szCs w:val="18"/>
                <w:color w:val="auto"/>
              </w:rPr>
              <w:t>Cancellable</w:t>
            </w: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216"/>
        </w:trPr>
        <w:tc>
          <w:tcPr>
            <w:tcW w:w="1340" w:type="dxa"/>
            <w:vAlign w:val="bottom"/>
            <w:gridSpan w:val="2"/>
          </w:tcPr>
          <w:p>
            <w:pPr>
              <w:ind w:left="220"/>
              <w:spacing w:after="0"/>
              <w:rPr>
                <w:sz w:val="20"/>
                <w:szCs w:val="20"/>
                <w:color w:val="auto"/>
              </w:rPr>
            </w:pPr>
            <w:r>
              <w:rPr>
                <w:rFonts w:ascii="Arial" w:cs="Arial" w:eastAsia="Arial" w:hAnsi="Arial"/>
                <w:sz w:val="18"/>
                <w:szCs w:val="18"/>
                <w:color w:val="auto"/>
              </w:rPr>
              <w:t>Swap</w:t>
            </w:r>
          </w:p>
        </w:tc>
        <w:tc>
          <w:tcPr>
            <w:tcW w:w="800" w:type="dxa"/>
            <w:vAlign w:val="bottom"/>
            <w:gridSpan w:val="2"/>
          </w:tcPr>
          <w:p>
            <w:pPr>
              <w:ind w:left="20"/>
              <w:spacing w:after="0"/>
              <w:rPr>
                <w:sz w:val="20"/>
                <w:szCs w:val="20"/>
                <w:color w:val="auto"/>
              </w:rPr>
            </w:pPr>
            <w:r>
              <w:rPr>
                <w:rFonts w:ascii="Arial" w:cs="Arial" w:eastAsia="Arial" w:hAnsi="Arial"/>
                <w:sz w:val="18"/>
                <w:szCs w:val="18"/>
                <w:color w:val="auto"/>
                <w:w w:val="92"/>
              </w:rPr>
              <w:t>Fair Value</w:t>
            </w:r>
          </w:p>
        </w:tc>
        <w:tc>
          <w:tcPr>
            <w:tcW w:w="2100" w:type="dxa"/>
            <w:vAlign w:val="bottom"/>
            <w:gridSpan w:val="2"/>
          </w:tcPr>
          <w:p>
            <w:pPr>
              <w:jc w:val="center"/>
              <w:ind w:right="40"/>
              <w:spacing w:after="0"/>
              <w:rPr>
                <w:sz w:val="20"/>
                <w:szCs w:val="20"/>
                <w:color w:val="auto"/>
              </w:rPr>
            </w:pPr>
            <w:r>
              <w:rPr>
                <w:rFonts w:ascii="Arial" w:cs="Arial" w:eastAsia="Arial" w:hAnsi="Arial"/>
                <w:sz w:val="18"/>
                <w:szCs w:val="18"/>
                <w:color w:val="auto"/>
                <w:w w:val="90"/>
              </w:rPr>
              <w:t>Brokered CD</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17,000</w:t>
            </w:r>
          </w:p>
        </w:tc>
        <w:tc>
          <w:tcPr>
            <w:tcW w:w="2120" w:type="dxa"/>
            <w:vAlign w:val="bottom"/>
            <w:gridSpan w:val="6"/>
          </w:tcPr>
          <w:p>
            <w:pPr>
              <w:ind w:left="140"/>
              <w:spacing w:after="0"/>
              <w:rPr>
                <w:sz w:val="20"/>
                <w:szCs w:val="20"/>
                <w:color w:val="auto"/>
              </w:rPr>
            </w:pPr>
            <w:r>
              <w:rPr>
                <w:rFonts w:ascii="Arial" w:cs="Arial" w:eastAsia="Arial" w:hAnsi="Arial"/>
                <w:sz w:val="18"/>
                <w:szCs w:val="18"/>
                <w:color w:val="auto"/>
                <w:w w:val="88"/>
              </w:rPr>
              <w:t>02/14/12 02/27/12 08/27/27</w:t>
            </w:r>
          </w:p>
        </w:tc>
        <w:tc>
          <w:tcPr>
            <w:tcW w:w="4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0"/>
              </w:rPr>
              <w:t>3 mo. LIBOR minus 45 bps</w:t>
            </w:r>
          </w:p>
        </w:tc>
      </w:tr>
      <w:tr>
        <w:trPr>
          <w:trHeight w:val="216"/>
        </w:trPr>
        <w:tc>
          <w:tcPr>
            <w:tcW w:w="1340" w:type="dxa"/>
            <w:vAlign w:val="bottom"/>
            <w:gridSpan w:val="2"/>
          </w:tcPr>
          <w:p>
            <w:pPr>
              <w:spacing w:after="0"/>
              <w:rPr>
                <w:sz w:val="20"/>
                <w:szCs w:val="20"/>
                <w:color w:val="auto"/>
              </w:rPr>
            </w:pPr>
            <w:r>
              <w:rPr>
                <w:rFonts w:ascii="Arial" w:cs="Arial" w:eastAsia="Arial" w:hAnsi="Arial"/>
                <w:sz w:val="18"/>
                <w:szCs w:val="18"/>
                <w:color w:val="auto"/>
              </w:rPr>
              <w:t>Receive Fixed</w:t>
            </w: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216"/>
        </w:trPr>
        <w:tc>
          <w:tcPr>
            <w:tcW w:w="1340" w:type="dxa"/>
            <w:vAlign w:val="bottom"/>
            <w:gridSpan w:val="2"/>
          </w:tcPr>
          <w:p>
            <w:pPr>
              <w:ind w:left="220"/>
              <w:spacing w:after="0"/>
              <w:rPr>
                <w:sz w:val="20"/>
                <w:szCs w:val="20"/>
                <w:color w:val="auto"/>
              </w:rPr>
            </w:pPr>
            <w:r>
              <w:rPr>
                <w:rFonts w:ascii="Arial" w:cs="Arial" w:eastAsia="Arial" w:hAnsi="Arial"/>
                <w:sz w:val="18"/>
                <w:szCs w:val="18"/>
                <w:color w:val="auto"/>
              </w:rPr>
              <w:t>Cancellable</w:t>
            </w: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216"/>
        </w:trPr>
        <w:tc>
          <w:tcPr>
            <w:tcW w:w="1340" w:type="dxa"/>
            <w:vAlign w:val="bottom"/>
            <w:gridSpan w:val="2"/>
          </w:tcPr>
          <w:p>
            <w:pPr>
              <w:ind w:left="220"/>
              <w:spacing w:after="0"/>
              <w:rPr>
                <w:sz w:val="20"/>
                <w:szCs w:val="20"/>
                <w:color w:val="auto"/>
              </w:rPr>
            </w:pPr>
            <w:r>
              <w:rPr>
                <w:rFonts w:ascii="Arial" w:cs="Arial" w:eastAsia="Arial" w:hAnsi="Arial"/>
                <w:sz w:val="18"/>
                <w:szCs w:val="18"/>
                <w:color w:val="auto"/>
              </w:rPr>
              <w:t>Swap</w:t>
            </w:r>
          </w:p>
        </w:tc>
        <w:tc>
          <w:tcPr>
            <w:tcW w:w="800" w:type="dxa"/>
            <w:vAlign w:val="bottom"/>
            <w:gridSpan w:val="2"/>
          </w:tcPr>
          <w:p>
            <w:pPr>
              <w:ind w:left="20"/>
              <w:spacing w:after="0"/>
              <w:rPr>
                <w:sz w:val="20"/>
                <w:szCs w:val="20"/>
                <w:color w:val="auto"/>
              </w:rPr>
            </w:pPr>
            <w:r>
              <w:rPr>
                <w:rFonts w:ascii="Arial" w:cs="Arial" w:eastAsia="Arial" w:hAnsi="Arial"/>
                <w:sz w:val="18"/>
                <w:szCs w:val="18"/>
                <w:color w:val="auto"/>
                <w:w w:val="92"/>
              </w:rPr>
              <w:t>Fair Value</w:t>
            </w:r>
          </w:p>
        </w:tc>
        <w:tc>
          <w:tcPr>
            <w:tcW w:w="2100" w:type="dxa"/>
            <w:vAlign w:val="bottom"/>
            <w:gridSpan w:val="2"/>
          </w:tcPr>
          <w:p>
            <w:pPr>
              <w:jc w:val="center"/>
              <w:ind w:right="40"/>
              <w:spacing w:after="0"/>
              <w:rPr>
                <w:sz w:val="20"/>
                <w:szCs w:val="20"/>
                <w:color w:val="auto"/>
              </w:rPr>
            </w:pPr>
            <w:r>
              <w:rPr>
                <w:rFonts w:ascii="Arial" w:cs="Arial" w:eastAsia="Arial" w:hAnsi="Arial"/>
                <w:sz w:val="18"/>
                <w:szCs w:val="18"/>
                <w:color w:val="auto"/>
                <w:w w:val="90"/>
              </w:rPr>
              <w:t>Brokered CD</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15,500</w:t>
            </w:r>
          </w:p>
        </w:tc>
        <w:tc>
          <w:tcPr>
            <w:tcW w:w="2120" w:type="dxa"/>
            <w:vAlign w:val="bottom"/>
            <w:gridSpan w:val="6"/>
          </w:tcPr>
          <w:p>
            <w:pPr>
              <w:ind w:left="140"/>
              <w:spacing w:after="0"/>
              <w:rPr>
                <w:sz w:val="20"/>
                <w:szCs w:val="20"/>
                <w:color w:val="auto"/>
              </w:rPr>
            </w:pPr>
            <w:r>
              <w:rPr>
                <w:rFonts w:ascii="Arial" w:cs="Arial" w:eastAsia="Arial" w:hAnsi="Arial"/>
                <w:sz w:val="18"/>
                <w:szCs w:val="18"/>
                <w:color w:val="auto"/>
                <w:w w:val="88"/>
              </w:rPr>
              <w:t>03/05/12 03/23/12 09/23/27</w:t>
            </w:r>
          </w:p>
        </w:tc>
        <w:tc>
          <w:tcPr>
            <w:tcW w:w="4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0"/>
              </w:rPr>
              <w:t>3 mo. LIBOR minus 45 bps</w:t>
            </w:r>
          </w:p>
        </w:tc>
      </w:tr>
      <w:tr>
        <w:trPr>
          <w:trHeight w:val="216"/>
        </w:trPr>
        <w:tc>
          <w:tcPr>
            <w:tcW w:w="1340" w:type="dxa"/>
            <w:vAlign w:val="bottom"/>
            <w:gridSpan w:val="2"/>
          </w:tcPr>
          <w:p>
            <w:pPr>
              <w:spacing w:after="0"/>
              <w:rPr>
                <w:sz w:val="20"/>
                <w:szCs w:val="20"/>
                <w:color w:val="auto"/>
              </w:rPr>
            </w:pPr>
            <w:r>
              <w:rPr>
                <w:rFonts w:ascii="Arial" w:cs="Arial" w:eastAsia="Arial" w:hAnsi="Arial"/>
                <w:sz w:val="18"/>
                <w:szCs w:val="18"/>
                <w:color w:val="auto"/>
              </w:rPr>
              <w:t>Receive Fixed</w:t>
            </w: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216"/>
        </w:trPr>
        <w:tc>
          <w:tcPr>
            <w:tcW w:w="1340" w:type="dxa"/>
            <w:vAlign w:val="bottom"/>
            <w:gridSpan w:val="2"/>
          </w:tcPr>
          <w:p>
            <w:pPr>
              <w:ind w:left="220"/>
              <w:spacing w:after="0"/>
              <w:rPr>
                <w:sz w:val="20"/>
                <w:szCs w:val="20"/>
                <w:color w:val="auto"/>
              </w:rPr>
            </w:pPr>
            <w:r>
              <w:rPr>
                <w:rFonts w:ascii="Arial" w:cs="Arial" w:eastAsia="Arial" w:hAnsi="Arial"/>
                <w:sz w:val="18"/>
                <w:szCs w:val="18"/>
                <w:color w:val="auto"/>
              </w:rPr>
              <w:t>Cancellable</w:t>
            </w: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216"/>
        </w:trPr>
        <w:tc>
          <w:tcPr>
            <w:tcW w:w="1340" w:type="dxa"/>
            <w:vAlign w:val="bottom"/>
            <w:gridSpan w:val="2"/>
          </w:tcPr>
          <w:p>
            <w:pPr>
              <w:ind w:left="220"/>
              <w:spacing w:after="0"/>
              <w:rPr>
                <w:sz w:val="20"/>
                <w:szCs w:val="20"/>
                <w:color w:val="auto"/>
              </w:rPr>
            </w:pPr>
            <w:r>
              <w:rPr>
                <w:rFonts w:ascii="Arial" w:cs="Arial" w:eastAsia="Arial" w:hAnsi="Arial"/>
                <w:sz w:val="18"/>
                <w:szCs w:val="18"/>
                <w:color w:val="auto"/>
              </w:rPr>
              <w:t>Swap</w:t>
            </w:r>
          </w:p>
        </w:tc>
        <w:tc>
          <w:tcPr>
            <w:tcW w:w="800" w:type="dxa"/>
            <w:vAlign w:val="bottom"/>
            <w:gridSpan w:val="2"/>
          </w:tcPr>
          <w:p>
            <w:pPr>
              <w:ind w:left="20"/>
              <w:spacing w:after="0"/>
              <w:rPr>
                <w:sz w:val="20"/>
                <w:szCs w:val="20"/>
                <w:color w:val="auto"/>
              </w:rPr>
            </w:pPr>
            <w:r>
              <w:rPr>
                <w:rFonts w:ascii="Arial" w:cs="Arial" w:eastAsia="Arial" w:hAnsi="Arial"/>
                <w:sz w:val="18"/>
                <w:szCs w:val="18"/>
                <w:color w:val="auto"/>
                <w:w w:val="92"/>
              </w:rPr>
              <w:t>Fair Value</w:t>
            </w:r>
          </w:p>
        </w:tc>
        <w:tc>
          <w:tcPr>
            <w:tcW w:w="2100" w:type="dxa"/>
            <w:vAlign w:val="bottom"/>
            <w:gridSpan w:val="2"/>
          </w:tcPr>
          <w:p>
            <w:pPr>
              <w:jc w:val="center"/>
              <w:ind w:right="40"/>
              <w:spacing w:after="0"/>
              <w:rPr>
                <w:sz w:val="20"/>
                <w:szCs w:val="20"/>
                <w:color w:val="auto"/>
              </w:rPr>
            </w:pPr>
            <w:r>
              <w:rPr>
                <w:rFonts w:ascii="Arial" w:cs="Arial" w:eastAsia="Arial" w:hAnsi="Arial"/>
                <w:sz w:val="18"/>
                <w:szCs w:val="18"/>
                <w:color w:val="auto"/>
                <w:w w:val="90"/>
              </w:rPr>
              <w:t>Brokered CD</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14,000</w:t>
            </w:r>
          </w:p>
        </w:tc>
        <w:tc>
          <w:tcPr>
            <w:tcW w:w="2120" w:type="dxa"/>
            <w:vAlign w:val="bottom"/>
            <w:gridSpan w:val="6"/>
          </w:tcPr>
          <w:p>
            <w:pPr>
              <w:ind w:left="140"/>
              <w:spacing w:after="0"/>
              <w:rPr>
                <w:sz w:val="20"/>
                <w:szCs w:val="20"/>
                <w:color w:val="auto"/>
              </w:rPr>
            </w:pPr>
            <w:r>
              <w:rPr>
                <w:rFonts w:ascii="Arial" w:cs="Arial" w:eastAsia="Arial" w:hAnsi="Arial"/>
                <w:sz w:val="18"/>
                <w:szCs w:val="18"/>
                <w:color w:val="auto"/>
                <w:w w:val="88"/>
              </w:rPr>
              <w:t>04/04/12 04/25/12 10/25/27</w:t>
            </w:r>
          </w:p>
        </w:tc>
        <w:tc>
          <w:tcPr>
            <w:tcW w:w="4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0"/>
              </w:rPr>
              <w:t>3 mo. LIBOR minus 40 bps</w:t>
            </w:r>
          </w:p>
        </w:tc>
      </w:tr>
      <w:tr>
        <w:trPr>
          <w:trHeight w:val="216"/>
        </w:trPr>
        <w:tc>
          <w:tcPr>
            <w:tcW w:w="1340" w:type="dxa"/>
            <w:vAlign w:val="bottom"/>
            <w:gridSpan w:val="2"/>
          </w:tcPr>
          <w:p>
            <w:pPr>
              <w:spacing w:after="0"/>
              <w:rPr>
                <w:sz w:val="20"/>
                <w:szCs w:val="20"/>
                <w:color w:val="auto"/>
              </w:rPr>
            </w:pPr>
            <w:r>
              <w:rPr>
                <w:rFonts w:ascii="Arial" w:cs="Arial" w:eastAsia="Arial" w:hAnsi="Arial"/>
                <w:sz w:val="18"/>
                <w:szCs w:val="18"/>
                <w:color w:val="auto"/>
              </w:rPr>
              <w:t>Receive Fixed</w:t>
            </w: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216"/>
        </w:trPr>
        <w:tc>
          <w:tcPr>
            <w:tcW w:w="1340" w:type="dxa"/>
            <w:vAlign w:val="bottom"/>
            <w:gridSpan w:val="2"/>
          </w:tcPr>
          <w:p>
            <w:pPr>
              <w:ind w:left="220"/>
              <w:spacing w:after="0"/>
              <w:rPr>
                <w:sz w:val="20"/>
                <w:szCs w:val="20"/>
                <w:color w:val="auto"/>
              </w:rPr>
            </w:pPr>
            <w:r>
              <w:rPr>
                <w:rFonts w:ascii="Arial" w:cs="Arial" w:eastAsia="Arial" w:hAnsi="Arial"/>
                <w:sz w:val="18"/>
                <w:szCs w:val="18"/>
                <w:color w:val="auto"/>
              </w:rPr>
              <w:t>Cancellable</w:t>
            </w: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216"/>
        </w:trPr>
        <w:tc>
          <w:tcPr>
            <w:tcW w:w="1340" w:type="dxa"/>
            <w:vAlign w:val="bottom"/>
            <w:gridSpan w:val="2"/>
          </w:tcPr>
          <w:p>
            <w:pPr>
              <w:ind w:left="220"/>
              <w:spacing w:after="0"/>
              <w:rPr>
                <w:sz w:val="20"/>
                <w:szCs w:val="20"/>
                <w:color w:val="auto"/>
              </w:rPr>
            </w:pPr>
            <w:r>
              <w:rPr>
                <w:rFonts w:ascii="Arial" w:cs="Arial" w:eastAsia="Arial" w:hAnsi="Arial"/>
                <w:sz w:val="18"/>
                <w:szCs w:val="18"/>
                <w:color w:val="auto"/>
              </w:rPr>
              <w:t>Swap</w:t>
            </w:r>
          </w:p>
        </w:tc>
        <w:tc>
          <w:tcPr>
            <w:tcW w:w="800" w:type="dxa"/>
            <w:vAlign w:val="bottom"/>
            <w:gridSpan w:val="2"/>
          </w:tcPr>
          <w:p>
            <w:pPr>
              <w:ind w:left="20"/>
              <w:spacing w:after="0"/>
              <w:rPr>
                <w:sz w:val="20"/>
                <w:szCs w:val="20"/>
                <w:color w:val="auto"/>
              </w:rPr>
            </w:pPr>
            <w:r>
              <w:rPr>
                <w:rFonts w:ascii="Arial" w:cs="Arial" w:eastAsia="Arial" w:hAnsi="Arial"/>
                <w:sz w:val="18"/>
                <w:szCs w:val="18"/>
                <w:color w:val="auto"/>
                <w:w w:val="92"/>
              </w:rPr>
              <w:t>Fair Value</w:t>
            </w:r>
          </w:p>
        </w:tc>
        <w:tc>
          <w:tcPr>
            <w:tcW w:w="2100" w:type="dxa"/>
            <w:vAlign w:val="bottom"/>
            <w:gridSpan w:val="2"/>
          </w:tcPr>
          <w:p>
            <w:pPr>
              <w:jc w:val="center"/>
              <w:ind w:right="40"/>
              <w:spacing w:after="0"/>
              <w:rPr>
                <w:sz w:val="20"/>
                <w:szCs w:val="20"/>
                <w:color w:val="auto"/>
              </w:rPr>
            </w:pPr>
            <w:r>
              <w:rPr>
                <w:rFonts w:ascii="Arial" w:cs="Arial" w:eastAsia="Arial" w:hAnsi="Arial"/>
                <w:sz w:val="18"/>
                <w:szCs w:val="18"/>
                <w:color w:val="auto"/>
                <w:w w:val="90"/>
              </w:rPr>
              <w:t>Brokered CD</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12,500</w:t>
            </w:r>
          </w:p>
        </w:tc>
        <w:tc>
          <w:tcPr>
            <w:tcW w:w="2120" w:type="dxa"/>
            <w:vAlign w:val="bottom"/>
            <w:gridSpan w:val="6"/>
          </w:tcPr>
          <w:p>
            <w:pPr>
              <w:ind w:left="140"/>
              <w:spacing w:after="0"/>
              <w:rPr>
                <w:sz w:val="20"/>
                <w:szCs w:val="20"/>
                <w:color w:val="auto"/>
              </w:rPr>
            </w:pPr>
            <w:r>
              <w:rPr>
                <w:rFonts w:ascii="Arial" w:cs="Arial" w:eastAsia="Arial" w:hAnsi="Arial"/>
                <w:sz w:val="18"/>
                <w:szCs w:val="18"/>
                <w:color w:val="auto"/>
                <w:w w:val="88"/>
              </w:rPr>
              <w:t>05/16/12 06/08/12 06/08/32</w:t>
            </w:r>
          </w:p>
        </w:tc>
        <w:tc>
          <w:tcPr>
            <w:tcW w:w="4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0"/>
              </w:rPr>
              <w:t>3 mo. LIBOR minus 43 bps</w:t>
            </w:r>
          </w:p>
        </w:tc>
      </w:tr>
      <w:tr>
        <w:trPr>
          <w:trHeight w:val="216"/>
        </w:trPr>
        <w:tc>
          <w:tcPr>
            <w:tcW w:w="1340" w:type="dxa"/>
            <w:vAlign w:val="bottom"/>
            <w:gridSpan w:val="2"/>
          </w:tcPr>
          <w:p>
            <w:pPr>
              <w:spacing w:after="0"/>
              <w:rPr>
                <w:sz w:val="20"/>
                <w:szCs w:val="20"/>
                <w:color w:val="auto"/>
              </w:rPr>
            </w:pPr>
            <w:r>
              <w:rPr>
                <w:rFonts w:ascii="Arial" w:cs="Arial" w:eastAsia="Arial" w:hAnsi="Arial"/>
                <w:sz w:val="18"/>
                <w:szCs w:val="18"/>
                <w:color w:val="auto"/>
              </w:rPr>
              <w:t>Receive Fixed</w:t>
            </w: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216"/>
        </w:trPr>
        <w:tc>
          <w:tcPr>
            <w:tcW w:w="1340" w:type="dxa"/>
            <w:vAlign w:val="bottom"/>
            <w:gridSpan w:val="2"/>
          </w:tcPr>
          <w:p>
            <w:pPr>
              <w:ind w:left="220"/>
              <w:spacing w:after="0"/>
              <w:rPr>
                <w:sz w:val="20"/>
                <w:szCs w:val="20"/>
                <w:color w:val="auto"/>
              </w:rPr>
            </w:pPr>
            <w:r>
              <w:rPr>
                <w:rFonts w:ascii="Arial" w:cs="Arial" w:eastAsia="Arial" w:hAnsi="Arial"/>
                <w:sz w:val="18"/>
                <w:szCs w:val="18"/>
                <w:color w:val="auto"/>
              </w:rPr>
              <w:t>Cancellable</w:t>
            </w: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216"/>
        </w:trPr>
        <w:tc>
          <w:tcPr>
            <w:tcW w:w="1340" w:type="dxa"/>
            <w:vAlign w:val="bottom"/>
            <w:gridSpan w:val="2"/>
          </w:tcPr>
          <w:p>
            <w:pPr>
              <w:ind w:left="220"/>
              <w:spacing w:after="0"/>
              <w:rPr>
                <w:sz w:val="20"/>
                <w:szCs w:val="20"/>
                <w:color w:val="auto"/>
              </w:rPr>
            </w:pPr>
            <w:r>
              <w:rPr>
                <w:rFonts w:ascii="Arial" w:cs="Arial" w:eastAsia="Arial" w:hAnsi="Arial"/>
                <w:sz w:val="18"/>
                <w:szCs w:val="18"/>
                <w:color w:val="auto"/>
              </w:rPr>
              <w:t>Swap</w:t>
            </w:r>
          </w:p>
        </w:tc>
        <w:tc>
          <w:tcPr>
            <w:tcW w:w="800" w:type="dxa"/>
            <w:vAlign w:val="bottom"/>
            <w:gridSpan w:val="2"/>
          </w:tcPr>
          <w:p>
            <w:pPr>
              <w:ind w:left="20"/>
              <w:spacing w:after="0"/>
              <w:rPr>
                <w:sz w:val="20"/>
                <w:szCs w:val="20"/>
                <w:color w:val="auto"/>
              </w:rPr>
            </w:pPr>
            <w:r>
              <w:rPr>
                <w:rFonts w:ascii="Arial" w:cs="Arial" w:eastAsia="Arial" w:hAnsi="Arial"/>
                <w:sz w:val="18"/>
                <w:szCs w:val="18"/>
                <w:color w:val="auto"/>
                <w:w w:val="92"/>
              </w:rPr>
              <w:t>Fair Value</w:t>
            </w:r>
          </w:p>
        </w:tc>
        <w:tc>
          <w:tcPr>
            <w:tcW w:w="2100" w:type="dxa"/>
            <w:vAlign w:val="bottom"/>
            <w:gridSpan w:val="2"/>
          </w:tcPr>
          <w:p>
            <w:pPr>
              <w:jc w:val="center"/>
              <w:ind w:right="40"/>
              <w:spacing w:after="0"/>
              <w:rPr>
                <w:sz w:val="20"/>
                <w:szCs w:val="20"/>
                <w:color w:val="auto"/>
              </w:rPr>
            </w:pPr>
            <w:r>
              <w:rPr>
                <w:rFonts w:ascii="Arial" w:cs="Arial" w:eastAsia="Arial" w:hAnsi="Arial"/>
                <w:sz w:val="18"/>
                <w:szCs w:val="18"/>
                <w:color w:val="auto"/>
                <w:w w:val="90"/>
              </w:rPr>
              <w:t>Brokered CD</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13,000</w:t>
            </w:r>
          </w:p>
        </w:tc>
        <w:tc>
          <w:tcPr>
            <w:tcW w:w="120" w:type="dxa"/>
            <w:vAlign w:val="bottom"/>
          </w:tcPr>
          <w:p>
            <w:pPr>
              <w:spacing w:after="0"/>
              <w:rPr>
                <w:sz w:val="18"/>
                <w:szCs w:val="18"/>
                <w:color w:val="auto"/>
              </w:rPr>
            </w:pPr>
          </w:p>
        </w:tc>
        <w:tc>
          <w:tcPr>
            <w:tcW w:w="4200" w:type="dxa"/>
            <w:vAlign w:val="bottom"/>
            <w:gridSpan w:val="7"/>
          </w:tcPr>
          <w:p>
            <w:pPr>
              <w:ind w:left="20"/>
              <w:spacing w:after="0"/>
              <w:rPr>
                <w:sz w:val="20"/>
                <w:szCs w:val="20"/>
                <w:color w:val="auto"/>
              </w:rPr>
            </w:pPr>
            <w:r>
              <w:rPr>
                <w:rFonts w:ascii="Arial" w:cs="Arial" w:eastAsia="Arial" w:hAnsi="Arial"/>
                <w:sz w:val="18"/>
                <w:szCs w:val="18"/>
                <w:color w:val="auto"/>
                <w:w w:val="91"/>
              </w:rPr>
              <w:t>06/12/12 06/28/12 06/28/32 3 mo. LIBOR minus 38.5 bps</w:t>
            </w:r>
          </w:p>
        </w:tc>
      </w:tr>
      <w:tr>
        <w:trPr>
          <w:trHeight w:val="216"/>
        </w:trPr>
        <w:tc>
          <w:tcPr>
            <w:tcW w:w="1340" w:type="dxa"/>
            <w:vAlign w:val="bottom"/>
            <w:gridSpan w:val="2"/>
          </w:tcPr>
          <w:p>
            <w:pPr>
              <w:spacing w:after="0"/>
              <w:rPr>
                <w:sz w:val="20"/>
                <w:szCs w:val="20"/>
                <w:color w:val="auto"/>
              </w:rPr>
            </w:pPr>
            <w:r>
              <w:rPr>
                <w:rFonts w:ascii="Arial" w:cs="Arial" w:eastAsia="Arial" w:hAnsi="Arial"/>
                <w:sz w:val="18"/>
                <w:szCs w:val="18"/>
                <w:color w:val="auto"/>
              </w:rPr>
              <w:t>Receive Fixed</w:t>
            </w: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216"/>
        </w:trPr>
        <w:tc>
          <w:tcPr>
            <w:tcW w:w="1340" w:type="dxa"/>
            <w:vAlign w:val="bottom"/>
            <w:gridSpan w:val="2"/>
          </w:tcPr>
          <w:p>
            <w:pPr>
              <w:ind w:left="220"/>
              <w:spacing w:after="0"/>
              <w:rPr>
                <w:sz w:val="20"/>
                <w:szCs w:val="20"/>
                <w:color w:val="auto"/>
              </w:rPr>
            </w:pPr>
            <w:r>
              <w:rPr>
                <w:rFonts w:ascii="Arial" w:cs="Arial" w:eastAsia="Arial" w:hAnsi="Arial"/>
                <w:sz w:val="18"/>
                <w:szCs w:val="18"/>
                <w:color w:val="auto"/>
              </w:rPr>
              <w:t>Cancellable</w:t>
            </w: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216"/>
        </w:trPr>
        <w:tc>
          <w:tcPr>
            <w:tcW w:w="1340" w:type="dxa"/>
            <w:vAlign w:val="bottom"/>
            <w:gridSpan w:val="2"/>
          </w:tcPr>
          <w:p>
            <w:pPr>
              <w:ind w:left="220"/>
              <w:spacing w:after="0"/>
              <w:rPr>
                <w:sz w:val="20"/>
                <w:szCs w:val="20"/>
                <w:color w:val="auto"/>
              </w:rPr>
            </w:pPr>
            <w:r>
              <w:rPr>
                <w:rFonts w:ascii="Arial" w:cs="Arial" w:eastAsia="Arial" w:hAnsi="Arial"/>
                <w:sz w:val="18"/>
                <w:szCs w:val="18"/>
                <w:color w:val="auto"/>
              </w:rPr>
              <w:t>Swap</w:t>
            </w:r>
          </w:p>
        </w:tc>
        <w:tc>
          <w:tcPr>
            <w:tcW w:w="800" w:type="dxa"/>
            <w:vAlign w:val="bottom"/>
            <w:gridSpan w:val="2"/>
          </w:tcPr>
          <w:p>
            <w:pPr>
              <w:ind w:left="20"/>
              <w:spacing w:after="0"/>
              <w:rPr>
                <w:sz w:val="20"/>
                <w:szCs w:val="20"/>
                <w:color w:val="auto"/>
              </w:rPr>
            </w:pPr>
            <w:r>
              <w:rPr>
                <w:rFonts w:ascii="Arial" w:cs="Arial" w:eastAsia="Arial" w:hAnsi="Arial"/>
                <w:sz w:val="18"/>
                <w:szCs w:val="18"/>
                <w:color w:val="auto"/>
                <w:w w:val="92"/>
              </w:rPr>
              <w:t>Fair Value</w:t>
            </w:r>
          </w:p>
        </w:tc>
        <w:tc>
          <w:tcPr>
            <w:tcW w:w="2100" w:type="dxa"/>
            <w:vAlign w:val="bottom"/>
            <w:gridSpan w:val="2"/>
          </w:tcPr>
          <w:p>
            <w:pPr>
              <w:jc w:val="center"/>
              <w:ind w:right="40"/>
              <w:spacing w:after="0"/>
              <w:rPr>
                <w:sz w:val="20"/>
                <w:szCs w:val="20"/>
                <w:color w:val="auto"/>
              </w:rPr>
            </w:pPr>
            <w:r>
              <w:rPr>
                <w:rFonts w:ascii="Arial" w:cs="Arial" w:eastAsia="Arial" w:hAnsi="Arial"/>
                <w:sz w:val="18"/>
                <w:szCs w:val="18"/>
                <w:color w:val="auto"/>
                <w:w w:val="90"/>
              </w:rPr>
              <w:t>Brokered CD</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12,500</w:t>
            </w:r>
          </w:p>
        </w:tc>
        <w:tc>
          <w:tcPr>
            <w:tcW w:w="120" w:type="dxa"/>
            <w:vAlign w:val="bottom"/>
          </w:tcPr>
          <w:p>
            <w:pPr>
              <w:spacing w:after="0"/>
              <w:rPr>
                <w:sz w:val="18"/>
                <w:szCs w:val="18"/>
                <w:color w:val="auto"/>
              </w:rPr>
            </w:pPr>
          </w:p>
        </w:tc>
        <w:tc>
          <w:tcPr>
            <w:tcW w:w="4200" w:type="dxa"/>
            <w:vAlign w:val="bottom"/>
            <w:gridSpan w:val="7"/>
          </w:tcPr>
          <w:p>
            <w:pPr>
              <w:ind w:left="20"/>
              <w:spacing w:after="0"/>
              <w:rPr>
                <w:sz w:val="20"/>
                <w:szCs w:val="20"/>
                <w:color w:val="auto"/>
              </w:rPr>
            </w:pPr>
            <w:r>
              <w:rPr>
                <w:rFonts w:ascii="Arial" w:cs="Arial" w:eastAsia="Arial" w:hAnsi="Arial"/>
                <w:sz w:val="18"/>
                <w:szCs w:val="18"/>
                <w:color w:val="auto"/>
                <w:w w:val="91"/>
              </w:rPr>
              <w:t>07/03/12 07/27/12 07/27/32 3 mo. LIBOR minus 38.5 bps</w:t>
            </w:r>
          </w:p>
        </w:tc>
      </w:tr>
      <w:tr>
        <w:trPr>
          <w:trHeight w:val="216"/>
        </w:trPr>
        <w:tc>
          <w:tcPr>
            <w:tcW w:w="1340" w:type="dxa"/>
            <w:vAlign w:val="bottom"/>
            <w:gridSpan w:val="2"/>
          </w:tcPr>
          <w:p>
            <w:pPr>
              <w:spacing w:after="0"/>
              <w:rPr>
                <w:sz w:val="20"/>
                <w:szCs w:val="20"/>
                <w:color w:val="auto"/>
              </w:rPr>
            </w:pPr>
            <w:r>
              <w:rPr>
                <w:rFonts w:ascii="Arial" w:cs="Arial" w:eastAsia="Arial" w:hAnsi="Arial"/>
                <w:sz w:val="18"/>
                <w:szCs w:val="18"/>
                <w:color w:val="auto"/>
              </w:rPr>
              <w:t>Receive Fixed</w:t>
            </w: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216"/>
        </w:trPr>
        <w:tc>
          <w:tcPr>
            <w:tcW w:w="1340" w:type="dxa"/>
            <w:vAlign w:val="bottom"/>
            <w:gridSpan w:val="2"/>
          </w:tcPr>
          <w:p>
            <w:pPr>
              <w:ind w:left="220"/>
              <w:spacing w:after="0"/>
              <w:rPr>
                <w:sz w:val="20"/>
                <w:szCs w:val="20"/>
                <w:color w:val="auto"/>
              </w:rPr>
            </w:pPr>
            <w:r>
              <w:rPr>
                <w:rFonts w:ascii="Arial" w:cs="Arial" w:eastAsia="Arial" w:hAnsi="Arial"/>
                <w:sz w:val="18"/>
                <w:szCs w:val="18"/>
                <w:color w:val="auto"/>
              </w:rPr>
              <w:t>Cancellable</w:t>
            </w: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216"/>
        </w:trPr>
        <w:tc>
          <w:tcPr>
            <w:tcW w:w="1340" w:type="dxa"/>
            <w:vAlign w:val="bottom"/>
            <w:gridSpan w:val="2"/>
          </w:tcPr>
          <w:p>
            <w:pPr>
              <w:ind w:left="220"/>
              <w:spacing w:after="0"/>
              <w:rPr>
                <w:sz w:val="20"/>
                <w:szCs w:val="20"/>
                <w:color w:val="auto"/>
              </w:rPr>
            </w:pPr>
            <w:r>
              <w:rPr>
                <w:rFonts w:ascii="Arial" w:cs="Arial" w:eastAsia="Arial" w:hAnsi="Arial"/>
                <w:sz w:val="18"/>
                <w:szCs w:val="18"/>
                <w:color w:val="auto"/>
              </w:rPr>
              <w:t>Swap</w:t>
            </w:r>
          </w:p>
        </w:tc>
        <w:tc>
          <w:tcPr>
            <w:tcW w:w="800" w:type="dxa"/>
            <w:vAlign w:val="bottom"/>
            <w:gridSpan w:val="2"/>
          </w:tcPr>
          <w:p>
            <w:pPr>
              <w:ind w:left="20"/>
              <w:spacing w:after="0"/>
              <w:rPr>
                <w:sz w:val="20"/>
                <w:szCs w:val="20"/>
                <w:color w:val="auto"/>
              </w:rPr>
            </w:pPr>
            <w:r>
              <w:rPr>
                <w:rFonts w:ascii="Arial" w:cs="Arial" w:eastAsia="Arial" w:hAnsi="Arial"/>
                <w:sz w:val="18"/>
                <w:szCs w:val="18"/>
                <w:color w:val="auto"/>
                <w:w w:val="92"/>
              </w:rPr>
              <w:t>Fair Value</w:t>
            </w:r>
          </w:p>
        </w:tc>
        <w:tc>
          <w:tcPr>
            <w:tcW w:w="2100" w:type="dxa"/>
            <w:vAlign w:val="bottom"/>
            <w:gridSpan w:val="2"/>
          </w:tcPr>
          <w:p>
            <w:pPr>
              <w:jc w:val="center"/>
              <w:ind w:right="40"/>
              <w:spacing w:after="0"/>
              <w:rPr>
                <w:sz w:val="20"/>
                <w:szCs w:val="20"/>
                <w:color w:val="auto"/>
              </w:rPr>
            </w:pPr>
            <w:r>
              <w:rPr>
                <w:rFonts w:ascii="Arial" w:cs="Arial" w:eastAsia="Arial" w:hAnsi="Arial"/>
                <w:sz w:val="18"/>
                <w:szCs w:val="18"/>
                <w:color w:val="auto"/>
                <w:w w:val="90"/>
              </w:rPr>
              <w:t>Brokered CD</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12,000</w:t>
            </w:r>
          </w:p>
        </w:tc>
        <w:tc>
          <w:tcPr>
            <w:tcW w:w="120" w:type="dxa"/>
            <w:vAlign w:val="bottom"/>
          </w:tcPr>
          <w:p>
            <w:pPr>
              <w:spacing w:after="0"/>
              <w:rPr>
                <w:sz w:val="18"/>
                <w:szCs w:val="18"/>
                <w:color w:val="auto"/>
              </w:rPr>
            </w:pPr>
          </w:p>
        </w:tc>
        <w:tc>
          <w:tcPr>
            <w:tcW w:w="4200" w:type="dxa"/>
            <w:vAlign w:val="bottom"/>
            <w:gridSpan w:val="7"/>
          </w:tcPr>
          <w:p>
            <w:pPr>
              <w:ind w:left="20"/>
              <w:spacing w:after="0"/>
              <w:rPr>
                <w:sz w:val="20"/>
                <w:szCs w:val="20"/>
                <w:color w:val="auto"/>
              </w:rPr>
            </w:pPr>
            <w:r>
              <w:rPr>
                <w:rFonts w:ascii="Arial" w:cs="Arial" w:eastAsia="Arial" w:hAnsi="Arial"/>
                <w:sz w:val="18"/>
                <w:szCs w:val="18"/>
                <w:color w:val="auto"/>
                <w:w w:val="89"/>
              </w:rPr>
              <w:t>08/01/12 08/23/12 08/23/32 3 mo. LIBOR minus 38.25 bps</w:t>
            </w:r>
          </w:p>
        </w:tc>
      </w:tr>
      <w:tr>
        <w:trPr>
          <w:trHeight w:val="216"/>
        </w:trPr>
        <w:tc>
          <w:tcPr>
            <w:tcW w:w="1340" w:type="dxa"/>
            <w:vAlign w:val="bottom"/>
            <w:gridSpan w:val="2"/>
          </w:tcPr>
          <w:p>
            <w:pPr>
              <w:spacing w:after="0"/>
              <w:rPr>
                <w:sz w:val="20"/>
                <w:szCs w:val="20"/>
                <w:color w:val="auto"/>
              </w:rPr>
            </w:pPr>
            <w:r>
              <w:rPr>
                <w:rFonts w:ascii="Arial" w:cs="Arial" w:eastAsia="Arial" w:hAnsi="Arial"/>
                <w:sz w:val="18"/>
                <w:szCs w:val="18"/>
                <w:color w:val="auto"/>
              </w:rPr>
              <w:t>Receive Fixed</w:t>
            </w: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216"/>
        </w:trPr>
        <w:tc>
          <w:tcPr>
            <w:tcW w:w="1340" w:type="dxa"/>
            <w:vAlign w:val="bottom"/>
            <w:gridSpan w:val="2"/>
          </w:tcPr>
          <w:p>
            <w:pPr>
              <w:ind w:left="220"/>
              <w:spacing w:after="0"/>
              <w:rPr>
                <w:sz w:val="20"/>
                <w:szCs w:val="20"/>
                <w:color w:val="auto"/>
              </w:rPr>
            </w:pPr>
            <w:r>
              <w:rPr>
                <w:rFonts w:ascii="Arial" w:cs="Arial" w:eastAsia="Arial" w:hAnsi="Arial"/>
                <w:sz w:val="18"/>
                <w:szCs w:val="18"/>
                <w:color w:val="auto"/>
              </w:rPr>
              <w:t>Cancellable</w:t>
            </w: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216"/>
        </w:trPr>
        <w:tc>
          <w:tcPr>
            <w:tcW w:w="1340" w:type="dxa"/>
            <w:vAlign w:val="bottom"/>
            <w:gridSpan w:val="2"/>
          </w:tcPr>
          <w:p>
            <w:pPr>
              <w:ind w:left="220"/>
              <w:spacing w:after="0"/>
              <w:rPr>
                <w:sz w:val="20"/>
                <w:szCs w:val="20"/>
                <w:color w:val="auto"/>
              </w:rPr>
            </w:pPr>
            <w:r>
              <w:rPr>
                <w:rFonts w:ascii="Arial" w:cs="Arial" w:eastAsia="Arial" w:hAnsi="Arial"/>
                <w:sz w:val="18"/>
                <w:szCs w:val="18"/>
                <w:color w:val="auto"/>
              </w:rPr>
              <w:t>Swap</w:t>
            </w:r>
          </w:p>
        </w:tc>
        <w:tc>
          <w:tcPr>
            <w:tcW w:w="800" w:type="dxa"/>
            <w:vAlign w:val="bottom"/>
            <w:gridSpan w:val="2"/>
          </w:tcPr>
          <w:p>
            <w:pPr>
              <w:ind w:left="20"/>
              <w:spacing w:after="0"/>
              <w:rPr>
                <w:sz w:val="20"/>
                <w:szCs w:val="20"/>
                <w:color w:val="auto"/>
              </w:rPr>
            </w:pPr>
            <w:r>
              <w:rPr>
                <w:rFonts w:ascii="Arial" w:cs="Arial" w:eastAsia="Arial" w:hAnsi="Arial"/>
                <w:sz w:val="18"/>
                <w:szCs w:val="18"/>
                <w:color w:val="auto"/>
                <w:w w:val="92"/>
              </w:rPr>
              <w:t>Fair Value</w:t>
            </w:r>
          </w:p>
        </w:tc>
        <w:tc>
          <w:tcPr>
            <w:tcW w:w="2100" w:type="dxa"/>
            <w:vAlign w:val="bottom"/>
            <w:gridSpan w:val="2"/>
          </w:tcPr>
          <w:p>
            <w:pPr>
              <w:jc w:val="center"/>
              <w:ind w:right="40"/>
              <w:spacing w:after="0"/>
              <w:rPr>
                <w:sz w:val="20"/>
                <w:szCs w:val="20"/>
                <w:color w:val="auto"/>
              </w:rPr>
            </w:pPr>
            <w:r>
              <w:rPr>
                <w:rFonts w:ascii="Arial" w:cs="Arial" w:eastAsia="Arial" w:hAnsi="Arial"/>
                <w:sz w:val="18"/>
                <w:szCs w:val="18"/>
                <w:color w:val="auto"/>
                <w:w w:val="90"/>
              </w:rPr>
              <w:t>Brokered CD</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10,000</w:t>
            </w:r>
          </w:p>
        </w:tc>
        <w:tc>
          <w:tcPr>
            <w:tcW w:w="2120" w:type="dxa"/>
            <w:vAlign w:val="bottom"/>
            <w:gridSpan w:val="6"/>
          </w:tcPr>
          <w:p>
            <w:pPr>
              <w:ind w:left="140"/>
              <w:spacing w:after="0"/>
              <w:rPr>
                <w:sz w:val="20"/>
                <w:szCs w:val="20"/>
                <w:color w:val="auto"/>
              </w:rPr>
            </w:pPr>
            <w:r>
              <w:rPr>
                <w:rFonts w:ascii="Arial" w:cs="Arial" w:eastAsia="Arial" w:hAnsi="Arial"/>
                <w:sz w:val="18"/>
                <w:szCs w:val="18"/>
                <w:color w:val="auto"/>
                <w:w w:val="88"/>
              </w:rPr>
              <w:t>08/29/12 09/24/12 09/24/12</w:t>
            </w:r>
          </w:p>
        </w:tc>
        <w:tc>
          <w:tcPr>
            <w:tcW w:w="4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0"/>
              </w:rPr>
              <w:t>3 mo. LIBOR minus 38 bps</w:t>
            </w:r>
          </w:p>
        </w:tc>
      </w:tr>
      <w:tr>
        <w:trPr>
          <w:trHeight w:val="216"/>
        </w:trPr>
        <w:tc>
          <w:tcPr>
            <w:tcW w:w="1340" w:type="dxa"/>
            <w:vAlign w:val="bottom"/>
            <w:gridSpan w:val="2"/>
          </w:tcPr>
          <w:p>
            <w:pPr>
              <w:spacing w:after="0"/>
              <w:rPr>
                <w:sz w:val="20"/>
                <w:szCs w:val="20"/>
                <w:color w:val="auto"/>
              </w:rPr>
            </w:pPr>
            <w:r>
              <w:rPr>
                <w:rFonts w:ascii="Arial" w:cs="Arial" w:eastAsia="Arial" w:hAnsi="Arial"/>
                <w:sz w:val="18"/>
                <w:szCs w:val="18"/>
                <w:color w:val="auto"/>
              </w:rPr>
              <w:t>Pay Fixed Swap</w:t>
            </w:r>
          </w:p>
        </w:tc>
        <w:tc>
          <w:tcPr>
            <w:tcW w:w="2900" w:type="dxa"/>
            <w:vAlign w:val="bottom"/>
            <w:gridSpan w:val="4"/>
          </w:tcPr>
          <w:p>
            <w:pPr>
              <w:spacing w:after="0"/>
              <w:rPr>
                <w:sz w:val="20"/>
                <w:szCs w:val="20"/>
                <w:color w:val="auto"/>
              </w:rPr>
            </w:pPr>
            <w:r>
              <w:rPr>
                <w:rFonts w:ascii="Arial" w:cs="Arial" w:eastAsia="Arial" w:hAnsi="Arial"/>
                <w:sz w:val="18"/>
                <w:szCs w:val="18"/>
                <w:color w:val="auto"/>
                <w:w w:val="89"/>
              </w:rPr>
              <w:t>Cash Flow Short-Term, Fixed Rate Debt</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50,000</w:t>
            </w:r>
          </w:p>
        </w:tc>
        <w:tc>
          <w:tcPr>
            <w:tcW w:w="2120" w:type="dxa"/>
            <w:vAlign w:val="bottom"/>
            <w:gridSpan w:val="6"/>
          </w:tcPr>
          <w:p>
            <w:pPr>
              <w:ind w:left="140"/>
              <w:spacing w:after="0"/>
              <w:rPr>
                <w:sz w:val="20"/>
                <w:szCs w:val="20"/>
                <w:color w:val="auto"/>
              </w:rPr>
            </w:pPr>
            <w:r>
              <w:rPr>
                <w:rFonts w:ascii="Arial" w:cs="Arial" w:eastAsia="Arial" w:hAnsi="Arial"/>
                <w:sz w:val="18"/>
                <w:szCs w:val="18"/>
                <w:color w:val="auto"/>
                <w:w w:val="88"/>
              </w:rPr>
              <w:t>04/02/12 04/07/14 04/07/17</w:t>
            </w:r>
          </w:p>
        </w:tc>
        <w:tc>
          <w:tcPr>
            <w:tcW w:w="4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88"/>
              </w:rPr>
              <w:t>1.69500%</w:t>
            </w:r>
          </w:p>
        </w:tc>
      </w:tr>
      <w:tr>
        <w:trPr>
          <w:trHeight w:val="216"/>
        </w:trPr>
        <w:tc>
          <w:tcPr>
            <w:tcW w:w="1340" w:type="dxa"/>
            <w:vAlign w:val="bottom"/>
            <w:gridSpan w:val="2"/>
          </w:tcPr>
          <w:p>
            <w:pPr>
              <w:spacing w:after="0"/>
              <w:rPr>
                <w:sz w:val="20"/>
                <w:szCs w:val="20"/>
                <w:color w:val="auto"/>
              </w:rPr>
            </w:pPr>
            <w:r>
              <w:rPr>
                <w:rFonts w:ascii="Arial" w:cs="Arial" w:eastAsia="Arial" w:hAnsi="Arial"/>
                <w:sz w:val="18"/>
                <w:szCs w:val="18"/>
                <w:color w:val="auto"/>
              </w:rPr>
              <w:t>Pay Fixed Swap</w:t>
            </w:r>
          </w:p>
        </w:tc>
        <w:tc>
          <w:tcPr>
            <w:tcW w:w="2900" w:type="dxa"/>
            <w:vAlign w:val="bottom"/>
            <w:gridSpan w:val="4"/>
          </w:tcPr>
          <w:p>
            <w:pPr>
              <w:spacing w:after="0"/>
              <w:rPr>
                <w:sz w:val="20"/>
                <w:szCs w:val="20"/>
                <w:color w:val="auto"/>
              </w:rPr>
            </w:pPr>
            <w:r>
              <w:rPr>
                <w:rFonts w:ascii="Arial" w:cs="Arial" w:eastAsia="Arial" w:hAnsi="Arial"/>
                <w:sz w:val="18"/>
                <w:szCs w:val="18"/>
                <w:color w:val="auto"/>
                <w:w w:val="89"/>
              </w:rPr>
              <w:t>Cash Flow Short-Term, Fixed Rate Debt</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50,000</w:t>
            </w:r>
          </w:p>
        </w:tc>
        <w:tc>
          <w:tcPr>
            <w:tcW w:w="2120" w:type="dxa"/>
            <w:vAlign w:val="bottom"/>
            <w:gridSpan w:val="6"/>
          </w:tcPr>
          <w:p>
            <w:pPr>
              <w:ind w:left="140"/>
              <w:spacing w:after="0"/>
              <w:rPr>
                <w:sz w:val="20"/>
                <w:szCs w:val="20"/>
                <w:color w:val="auto"/>
              </w:rPr>
            </w:pPr>
            <w:r>
              <w:rPr>
                <w:rFonts w:ascii="Arial" w:cs="Arial" w:eastAsia="Arial" w:hAnsi="Arial"/>
                <w:sz w:val="18"/>
                <w:szCs w:val="18"/>
                <w:color w:val="auto"/>
                <w:w w:val="88"/>
              </w:rPr>
              <w:t>04/02/12 04/21/14 04/21/17</w:t>
            </w:r>
          </w:p>
        </w:tc>
        <w:tc>
          <w:tcPr>
            <w:tcW w:w="4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88"/>
              </w:rPr>
              <w:t>1.72125%</w:t>
            </w:r>
          </w:p>
        </w:tc>
      </w:tr>
      <w:tr>
        <w:trPr>
          <w:trHeight w:val="216"/>
        </w:trPr>
        <w:tc>
          <w:tcPr>
            <w:tcW w:w="1340" w:type="dxa"/>
            <w:vAlign w:val="bottom"/>
            <w:gridSpan w:val="2"/>
          </w:tcPr>
          <w:p>
            <w:pPr>
              <w:spacing w:after="0"/>
              <w:rPr>
                <w:sz w:val="20"/>
                <w:szCs w:val="20"/>
                <w:color w:val="auto"/>
              </w:rPr>
            </w:pPr>
            <w:r>
              <w:rPr>
                <w:rFonts w:ascii="Arial" w:cs="Arial" w:eastAsia="Arial" w:hAnsi="Arial"/>
                <w:sz w:val="18"/>
                <w:szCs w:val="18"/>
                <w:color w:val="auto"/>
              </w:rPr>
              <w:t>Pay Fixed Swap</w:t>
            </w:r>
          </w:p>
        </w:tc>
        <w:tc>
          <w:tcPr>
            <w:tcW w:w="2900" w:type="dxa"/>
            <w:vAlign w:val="bottom"/>
            <w:gridSpan w:val="4"/>
          </w:tcPr>
          <w:p>
            <w:pPr>
              <w:spacing w:after="0"/>
              <w:rPr>
                <w:sz w:val="20"/>
                <w:szCs w:val="20"/>
                <w:color w:val="auto"/>
              </w:rPr>
            </w:pPr>
            <w:r>
              <w:rPr>
                <w:rFonts w:ascii="Arial" w:cs="Arial" w:eastAsia="Arial" w:hAnsi="Arial"/>
                <w:sz w:val="18"/>
                <w:szCs w:val="18"/>
                <w:color w:val="auto"/>
                <w:w w:val="89"/>
              </w:rPr>
              <w:t>Cash Flow Short-Term, Fixed Rate Debt</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100,000</w:t>
            </w:r>
          </w:p>
        </w:tc>
        <w:tc>
          <w:tcPr>
            <w:tcW w:w="2120" w:type="dxa"/>
            <w:vAlign w:val="bottom"/>
            <w:gridSpan w:val="6"/>
          </w:tcPr>
          <w:p>
            <w:pPr>
              <w:ind w:left="140"/>
              <w:spacing w:after="0"/>
              <w:rPr>
                <w:sz w:val="20"/>
                <w:szCs w:val="20"/>
                <w:color w:val="auto"/>
              </w:rPr>
            </w:pPr>
            <w:r>
              <w:rPr>
                <w:rFonts w:ascii="Arial" w:cs="Arial" w:eastAsia="Arial" w:hAnsi="Arial"/>
                <w:sz w:val="18"/>
                <w:szCs w:val="18"/>
                <w:color w:val="auto"/>
                <w:w w:val="88"/>
              </w:rPr>
              <w:t>04/10/12 03/03/14 03/01/17</w:t>
            </w:r>
          </w:p>
        </w:tc>
        <w:tc>
          <w:tcPr>
            <w:tcW w:w="4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88"/>
              </w:rPr>
              <w:t>1.43750%</w:t>
            </w:r>
          </w:p>
        </w:tc>
      </w:tr>
      <w:tr>
        <w:trPr>
          <w:trHeight w:val="216"/>
        </w:trPr>
        <w:tc>
          <w:tcPr>
            <w:tcW w:w="1340" w:type="dxa"/>
            <w:vAlign w:val="bottom"/>
            <w:gridSpan w:val="2"/>
          </w:tcPr>
          <w:p>
            <w:pPr>
              <w:spacing w:after="0"/>
              <w:rPr>
                <w:sz w:val="20"/>
                <w:szCs w:val="20"/>
                <w:color w:val="auto"/>
              </w:rPr>
            </w:pPr>
            <w:r>
              <w:rPr>
                <w:rFonts w:ascii="Arial" w:cs="Arial" w:eastAsia="Arial" w:hAnsi="Arial"/>
                <w:sz w:val="18"/>
                <w:szCs w:val="18"/>
                <w:color w:val="auto"/>
              </w:rPr>
              <w:t>Pay Fixed Swap</w:t>
            </w:r>
          </w:p>
        </w:tc>
        <w:tc>
          <w:tcPr>
            <w:tcW w:w="800" w:type="dxa"/>
            <w:vAlign w:val="bottom"/>
            <w:gridSpan w:val="2"/>
          </w:tcPr>
          <w:p>
            <w:pPr>
              <w:spacing w:after="0"/>
              <w:rPr>
                <w:sz w:val="20"/>
                <w:szCs w:val="20"/>
                <w:color w:val="auto"/>
              </w:rPr>
            </w:pPr>
            <w:r>
              <w:rPr>
                <w:rFonts w:ascii="Arial" w:cs="Arial" w:eastAsia="Arial" w:hAnsi="Arial"/>
                <w:sz w:val="18"/>
                <w:szCs w:val="18"/>
                <w:color w:val="auto"/>
                <w:w w:val="91"/>
              </w:rPr>
              <w:t>Cash Flow</w:t>
            </w:r>
          </w:p>
        </w:tc>
        <w:tc>
          <w:tcPr>
            <w:tcW w:w="2100" w:type="dxa"/>
            <w:vAlign w:val="bottom"/>
            <w:gridSpan w:val="2"/>
          </w:tcPr>
          <w:p>
            <w:pPr>
              <w:jc w:val="center"/>
              <w:ind w:right="40"/>
              <w:spacing w:after="0"/>
              <w:rPr>
                <w:sz w:val="20"/>
                <w:szCs w:val="20"/>
                <w:color w:val="auto"/>
              </w:rPr>
            </w:pPr>
            <w:r>
              <w:rPr>
                <w:rFonts w:ascii="Arial" w:cs="Arial" w:eastAsia="Arial" w:hAnsi="Arial"/>
                <w:sz w:val="18"/>
                <w:szCs w:val="18"/>
                <w:color w:val="auto"/>
                <w:w w:val="89"/>
              </w:rPr>
              <w:t>Money Market Deposts</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100,000</w:t>
            </w:r>
          </w:p>
        </w:tc>
        <w:tc>
          <w:tcPr>
            <w:tcW w:w="2120" w:type="dxa"/>
            <w:vAlign w:val="bottom"/>
            <w:gridSpan w:val="6"/>
          </w:tcPr>
          <w:p>
            <w:pPr>
              <w:ind w:left="140"/>
              <w:spacing w:after="0"/>
              <w:rPr>
                <w:sz w:val="20"/>
                <w:szCs w:val="20"/>
                <w:color w:val="auto"/>
              </w:rPr>
            </w:pPr>
            <w:r>
              <w:rPr>
                <w:rFonts w:ascii="Arial" w:cs="Arial" w:eastAsia="Arial" w:hAnsi="Arial"/>
                <w:sz w:val="18"/>
                <w:szCs w:val="18"/>
                <w:color w:val="auto"/>
                <w:w w:val="88"/>
              </w:rPr>
              <w:t>05/02/12 05/01/14 05/01/19</w:t>
            </w:r>
          </w:p>
        </w:tc>
        <w:tc>
          <w:tcPr>
            <w:tcW w:w="4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88"/>
              </w:rPr>
              <w:t>1.88750%</w:t>
            </w:r>
          </w:p>
        </w:tc>
      </w:tr>
      <w:tr>
        <w:trPr>
          <w:trHeight w:val="222"/>
        </w:trPr>
        <w:tc>
          <w:tcPr>
            <w:tcW w:w="1340" w:type="dxa"/>
            <w:vAlign w:val="bottom"/>
            <w:gridSpan w:val="2"/>
          </w:tcPr>
          <w:p>
            <w:pPr>
              <w:spacing w:after="0"/>
              <w:rPr>
                <w:sz w:val="20"/>
                <w:szCs w:val="20"/>
                <w:color w:val="auto"/>
              </w:rPr>
            </w:pPr>
            <w:r>
              <w:rPr>
                <w:rFonts w:ascii="Arial" w:cs="Arial" w:eastAsia="Arial" w:hAnsi="Arial"/>
                <w:sz w:val="18"/>
                <w:szCs w:val="18"/>
                <w:color w:val="auto"/>
              </w:rPr>
              <w:t>Pay Fixed Swap</w:t>
            </w:r>
          </w:p>
        </w:tc>
        <w:tc>
          <w:tcPr>
            <w:tcW w:w="800" w:type="dxa"/>
            <w:vAlign w:val="bottom"/>
            <w:gridSpan w:val="2"/>
          </w:tcPr>
          <w:p>
            <w:pPr>
              <w:spacing w:after="0"/>
              <w:rPr>
                <w:sz w:val="20"/>
                <w:szCs w:val="20"/>
                <w:color w:val="auto"/>
              </w:rPr>
            </w:pPr>
            <w:r>
              <w:rPr>
                <w:rFonts w:ascii="Arial" w:cs="Arial" w:eastAsia="Arial" w:hAnsi="Arial"/>
                <w:sz w:val="18"/>
                <w:szCs w:val="18"/>
                <w:color w:val="auto"/>
                <w:w w:val="91"/>
              </w:rPr>
              <w:t>Cash Flow</w:t>
            </w:r>
          </w:p>
        </w:tc>
        <w:tc>
          <w:tcPr>
            <w:tcW w:w="2100" w:type="dxa"/>
            <w:vAlign w:val="bottom"/>
            <w:gridSpan w:val="2"/>
          </w:tcPr>
          <w:p>
            <w:pPr>
              <w:jc w:val="center"/>
              <w:ind w:right="40"/>
              <w:spacing w:after="0"/>
              <w:rPr>
                <w:sz w:val="20"/>
                <w:szCs w:val="20"/>
                <w:color w:val="auto"/>
              </w:rPr>
            </w:pPr>
            <w:r>
              <w:rPr>
                <w:rFonts w:ascii="Arial" w:cs="Arial" w:eastAsia="Arial" w:hAnsi="Arial"/>
                <w:sz w:val="18"/>
                <w:szCs w:val="18"/>
                <w:color w:val="auto"/>
                <w:w w:val="89"/>
              </w:rPr>
              <w:t>Money Market Deposts</w:t>
            </w: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100,000</w:t>
            </w:r>
          </w:p>
        </w:tc>
        <w:tc>
          <w:tcPr>
            <w:tcW w:w="2120" w:type="dxa"/>
            <w:vAlign w:val="bottom"/>
            <w:gridSpan w:val="6"/>
          </w:tcPr>
          <w:p>
            <w:pPr>
              <w:ind w:left="140"/>
              <w:spacing w:after="0"/>
              <w:rPr>
                <w:sz w:val="20"/>
                <w:szCs w:val="20"/>
                <w:color w:val="auto"/>
              </w:rPr>
            </w:pPr>
            <w:r>
              <w:rPr>
                <w:rFonts w:ascii="Arial" w:cs="Arial" w:eastAsia="Arial" w:hAnsi="Arial"/>
                <w:sz w:val="18"/>
                <w:szCs w:val="18"/>
                <w:color w:val="auto"/>
                <w:w w:val="88"/>
              </w:rPr>
              <w:t>05/31/12 07/01/14 07/01/18</w:t>
            </w:r>
          </w:p>
        </w:tc>
        <w:tc>
          <w:tcPr>
            <w:tcW w:w="40" w:type="dxa"/>
            <w:vAlign w:val="bottom"/>
          </w:tcPr>
          <w:p>
            <w:pPr>
              <w:spacing w:after="0"/>
              <w:rPr>
                <w:sz w:val="19"/>
                <w:szCs w:val="19"/>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88"/>
              </w:rPr>
              <w:t>1.39250%</w:t>
            </w:r>
          </w:p>
        </w:tc>
      </w:tr>
      <w:tr>
        <w:trPr>
          <w:trHeight w:val="217"/>
        </w:trPr>
        <w:tc>
          <w:tcPr>
            <w:tcW w:w="1340" w:type="dxa"/>
            <w:vAlign w:val="bottom"/>
            <w:gridSpan w:val="2"/>
          </w:tcPr>
          <w:p>
            <w:pPr>
              <w:ind w:left="440"/>
              <w:spacing w:after="0"/>
              <w:rPr>
                <w:sz w:val="20"/>
                <w:szCs w:val="20"/>
                <w:color w:val="auto"/>
              </w:rPr>
            </w:pPr>
            <w:r>
              <w:rPr>
                <w:rFonts w:ascii="Arial" w:cs="Arial" w:eastAsia="Arial" w:hAnsi="Arial"/>
                <w:sz w:val="18"/>
                <w:szCs w:val="18"/>
                <w:color w:val="auto"/>
              </w:rPr>
              <w:t>Total</w:t>
            </w: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216"/>
        </w:trPr>
        <w:tc>
          <w:tcPr>
            <w:tcW w:w="1340" w:type="dxa"/>
            <w:vAlign w:val="bottom"/>
            <w:gridSpan w:val="2"/>
          </w:tcPr>
          <w:p>
            <w:pPr>
              <w:ind w:left="660"/>
              <w:spacing w:after="0"/>
              <w:rPr>
                <w:sz w:val="20"/>
                <w:szCs w:val="20"/>
                <w:color w:val="auto"/>
              </w:rPr>
            </w:pPr>
            <w:r>
              <w:rPr>
                <w:rFonts w:ascii="Arial" w:cs="Arial" w:eastAsia="Arial" w:hAnsi="Arial"/>
                <w:sz w:val="18"/>
                <w:szCs w:val="18"/>
                <w:color w:val="auto"/>
                <w:w w:val="98"/>
              </w:rPr>
              <w:t>Hedging</w:t>
            </w: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223"/>
        </w:trPr>
        <w:tc>
          <w:tcPr>
            <w:tcW w:w="1340" w:type="dxa"/>
            <w:vAlign w:val="bottom"/>
            <w:gridSpan w:val="2"/>
          </w:tcPr>
          <w:p>
            <w:pPr>
              <w:ind w:left="660"/>
              <w:spacing w:after="0"/>
              <w:rPr>
                <w:sz w:val="20"/>
                <w:szCs w:val="20"/>
                <w:color w:val="auto"/>
              </w:rPr>
            </w:pPr>
            <w:r>
              <w:rPr>
                <w:rFonts w:ascii="Arial" w:cs="Arial" w:eastAsia="Arial" w:hAnsi="Arial"/>
                <w:sz w:val="18"/>
                <w:szCs w:val="18"/>
                <w:color w:val="auto"/>
                <w:w w:val="90"/>
              </w:rPr>
              <w:t>Positions</w:t>
            </w: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521,500</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20"/>
        </w:trPr>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-4021455</wp:posOffset>
            </wp:positionV>
            <wp:extent cx="7246620" cy="4114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-3197860</wp:posOffset>
            </wp:positionV>
            <wp:extent cx="7246620" cy="4114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-2374900</wp:posOffset>
            </wp:positionV>
            <wp:extent cx="7246620" cy="4114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-1551305</wp:posOffset>
            </wp:positionV>
            <wp:extent cx="7246620" cy="4114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-1002665</wp:posOffset>
            </wp:positionV>
            <wp:extent cx="7246620" cy="1371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-728345</wp:posOffset>
            </wp:positionV>
            <wp:extent cx="7246620" cy="1371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-436880</wp:posOffset>
            </wp:positionV>
            <wp:extent cx="7246620" cy="4114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-4844415</wp:posOffset>
            </wp:positionV>
            <wp:extent cx="7246620" cy="4114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4114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Receive Rate</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(A)</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(B)</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(C)</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3.00000%</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(D)</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(E)</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(F)</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(G)</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(H)</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3 mo. LIBOR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3 mo. LIBOR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 mo. LIBOR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 mo. LIBOR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 mo. LIBOR</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22"/>
          <w:szCs w:val="22"/>
          <w:b w:val="1"/>
          <w:bCs w:val="1"/>
          <w:color w:val="auto"/>
          <w:vertAlign w:val="superscript"/>
        </w:rPr>
        <w:t>(I)</w:t>
      </w:r>
    </w:p>
    <w:p>
      <w:pPr>
        <w:ind w:left="20"/>
        <w:spacing w:after="0"/>
        <w:tabs>
          <w:tab w:leader="none" w:pos="480" w:val="left"/>
        </w:tabs>
        <w:rPr>
          <w:sz w:val="20"/>
          <w:szCs w:val="20"/>
          <w:color w:val="auto"/>
        </w:rPr>
      </w:pPr>
      <w:r>
        <w:rPr>
          <w:rFonts w:ascii="Arial" w:cs="Arial" w:eastAsia="Arial" w:hAnsi="Arial"/>
          <w:sz w:val="12"/>
          <w:szCs w:val="12"/>
          <w:b w:val="1"/>
          <w:bCs w:val="1"/>
          <w:u w:val="single" w:color="auto"/>
          <w:color w:val="auto"/>
        </w:rPr>
        <w:t>Asset</w:t>
        <w:tab/>
        <w:t>Liability</w:t>
      </w:r>
    </w:p>
    <w:p>
      <w:pPr>
        <w:spacing w:after="0" w:line="200" w:lineRule="exact"/>
        <w:rPr>
          <w:sz w:val="20"/>
          <w:szCs w:val="20"/>
          <w:color w:val="auto"/>
        </w:rPr>
      </w:pPr>
    </w:p>
    <w:p>
      <w:pPr>
        <w:spacing w:after="0" w:line="233" w:lineRule="exact"/>
        <w:rPr>
          <w:sz w:val="20"/>
          <w:szCs w:val="20"/>
          <w:color w:val="auto"/>
        </w:rPr>
      </w:pPr>
    </w:p>
    <w:p>
      <w:pPr>
        <w:spacing w:after="0"/>
        <w:tabs>
          <w:tab w:leader="none" w:pos="480" w:val="left"/>
          <w:tab w:leader="none" w:pos="720" w:val="left"/>
        </w:tabs>
        <w:rPr>
          <w:sz w:val="20"/>
          <w:szCs w:val="20"/>
          <w:color w:val="auto"/>
        </w:rPr>
      </w:pPr>
      <w:r>
        <w:rPr>
          <w:rFonts w:ascii="Arial" w:cs="Arial" w:eastAsia="Arial" w:hAnsi="Arial"/>
          <w:sz w:val="18"/>
          <w:szCs w:val="18"/>
          <w:color w:val="auto"/>
        </w:rPr>
        <w:t>$—</w:t>
        <w:tab/>
        <w:t>$</w:t>
      </w:r>
      <w:r>
        <w:rPr>
          <w:sz w:val="20"/>
          <w:szCs w:val="20"/>
          <w:color w:val="auto"/>
        </w:rPr>
        <w:tab/>
      </w:r>
      <w:r>
        <w:rPr>
          <w:rFonts w:ascii="Arial" w:cs="Arial" w:eastAsia="Arial" w:hAnsi="Arial"/>
          <w:sz w:val="15"/>
          <w:szCs w:val="15"/>
          <w:color w:val="auto"/>
        </w:rPr>
        <w:t>150</w:t>
      </w:r>
    </w:p>
    <w:p>
      <w:pPr>
        <w:spacing w:after="0" w:line="200" w:lineRule="exact"/>
        <w:rPr>
          <w:sz w:val="20"/>
          <w:szCs w:val="20"/>
          <w:color w:val="auto"/>
        </w:rPr>
      </w:pPr>
    </w:p>
    <w:p>
      <w:pPr>
        <w:spacing w:after="0" w:line="241" w:lineRule="exact"/>
        <w:rPr>
          <w:sz w:val="20"/>
          <w:szCs w:val="20"/>
          <w:color w:val="auto"/>
        </w:rPr>
      </w:pPr>
    </w:p>
    <w:p>
      <w:pPr>
        <w:ind w:left="740" w:hanging="558"/>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740" w:hanging="558"/>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ind w:left="740" w:hanging="646"/>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97</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5"/>
          <w:szCs w:val="15"/>
          <w:color w:val="auto"/>
        </w:rPr>
        <w:t>152</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5"/>
          <w:szCs w:val="15"/>
          <w:color w:val="auto"/>
        </w:rPr>
        <w:t>160</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5"/>
          <w:szCs w:val="15"/>
          <w:color w:val="auto"/>
        </w:rPr>
        <w:t>268</w:t>
      </w:r>
    </w:p>
    <w:p>
      <w:pPr>
        <w:spacing w:after="0" w:line="200" w:lineRule="exact"/>
        <w:rPr>
          <w:sz w:val="20"/>
          <w:szCs w:val="20"/>
          <w:color w:val="auto"/>
        </w:rPr>
      </w:pPr>
    </w:p>
    <w:p>
      <w:pPr>
        <w:spacing w:after="0" w:line="241" w:lineRule="exact"/>
        <w:rPr>
          <w:sz w:val="20"/>
          <w:szCs w:val="20"/>
          <w:color w:val="auto"/>
        </w:rPr>
      </w:pPr>
    </w:p>
    <w:p>
      <w:pPr>
        <w:jc w:val="right"/>
        <w:ind w:left="620" w:right="100" w:hanging="517"/>
        <w:spacing w:after="0" w:line="314" w:lineRule="auto"/>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132 1,313 1,330 1,967 3,040 1,149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-30480</wp:posOffset>
            </wp:positionV>
            <wp:extent cx="64325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382"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u w:val="single" w:color="auto"/>
          <w:color w:val="auto"/>
        </w:rPr>
        <w:t>$182</w:t>
      </w:r>
      <w:r>
        <w:rPr>
          <w:sz w:val="20"/>
          <w:szCs w:val="20"/>
          <w:color w:val="auto"/>
        </w:rPr>
        <w:tab/>
      </w:r>
      <w:r>
        <w:rPr>
          <w:rFonts w:ascii="Arial" w:cs="Arial" w:eastAsia="Arial" w:hAnsi="Arial"/>
          <w:sz w:val="16"/>
          <w:szCs w:val="16"/>
          <w:u w:val="single" w:color="auto"/>
          <w:color w:val="auto"/>
        </w:rPr>
        <w:t>$9,758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27940</wp:posOffset>
            </wp:positionV>
            <wp:extent cx="64325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257" w:lineRule="exact"/>
        <w:rPr>
          <w:sz w:val="20"/>
          <w:szCs w:val="20"/>
          <w:color w:val="auto"/>
        </w:rPr>
      </w:pPr>
    </w:p>
    <w:p>
      <w:pPr>
        <w:sectPr>
          <w:pgSz w:w="11900" w:h="16838" w:orient="portrait"/>
          <w:cols w:equalWidth="0" w:num="3">
            <w:col w:w="9240" w:space="40"/>
            <w:col w:w="980" w:space="60"/>
            <w:col w:w="1100"/>
          </w:cols>
          <w:pgMar w:left="240" w:top="459" w:right="239" w:bottom="24" w:gutter="0" w:footer="0" w:header="0"/>
          <w:type w:val="continuous"/>
        </w:sectPr>
      </w:pPr>
    </w:p>
    <w:p>
      <w:pPr>
        <w:spacing w:after="0" w:line="8" w:lineRule="exact"/>
        <w:rPr>
          <w:sz w:val="20"/>
          <w:szCs w:val="20"/>
          <w:color w:val="auto"/>
        </w:rPr>
      </w:pPr>
    </w:p>
    <w:p>
      <w:pPr>
        <w:ind w:left="460" w:right="380" w:hanging="452"/>
        <w:spacing w:after="0" w:line="235" w:lineRule="auto"/>
        <w:tabs>
          <w:tab w:leader="none" w:pos="460" w:val="left"/>
        </w:tabs>
        <w:numPr>
          <w:ilvl w:val="0"/>
          <w:numId w:val="18"/>
        </w:numPr>
        <w:rPr>
          <w:rFonts w:ascii="Arial" w:cs="Arial" w:eastAsia="Arial" w:hAnsi="Arial"/>
          <w:sz w:val="22"/>
          <w:szCs w:val="22"/>
          <w:color w:val="auto"/>
          <w:vertAlign w:val="superscript"/>
        </w:rPr>
      </w:pPr>
      <w:r>
        <w:rPr>
          <w:rFonts w:ascii="Arial" w:cs="Arial" w:eastAsia="Arial" w:hAnsi="Arial"/>
          <w:sz w:val="18"/>
          <w:szCs w:val="18"/>
          <w:color w:val="auto"/>
        </w:rPr>
        <w:t>Receive rate is fixed at 5.00% to November 10, 2012, then 4 * ((10-year Constant Maturity Swap rate - 2-year Constant Maturity Swap rate) - 50 basis points), capped at 5.00% and floored at 0.00%. Swap is callable by counterparty on November 10, 2012 and quarterly thereafter on the 10th with 15 calendar days notice.</w:t>
      </w:r>
    </w:p>
    <w:p>
      <w:pPr>
        <w:spacing w:after="0" w:line="1" w:lineRule="exact"/>
        <w:rPr>
          <w:rFonts w:ascii="Arial" w:cs="Arial" w:eastAsia="Arial" w:hAnsi="Arial"/>
          <w:sz w:val="22"/>
          <w:szCs w:val="22"/>
          <w:color w:val="auto"/>
          <w:vertAlign w:val="superscript"/>
        </w:rPr>
      </w:pPr>
    </w:p>
    <w:p>
      <w:pPr>
        <w:ind w:left="460" w:hanging="452"/>
        <w:spacing w:after="0" w:line="225" w:lineRule="auto"/>
        <w:tabs>
          <w:tab w:leader="none" w:pos="460" w:val="left"/>
        </w:tabs>
        <w:numPr>
          <w:ilvl w:val="0"/>
          <w:numId w:val="18"/>
        </w:numPr>
        <w:rPr>
          <w:rFonts w:ascii="Arial" w:cs="Arial" w:eastAsia="Arial" w:hAnsi="Arial"/>
          <w:sz w:val="20"/>
          <w:szCs w:val="20"/>
          <w:color w:val="auto"/>
          <w:vertAlign w:val="superscript"/>
        </w:rPr>
      </w:pPr>
      <w:r>
        <w:rPr>
          <w:rFonts w:ascii="Arial" w:cs="Arial" w:eastAsia="Arial" w:hAnsi="Arial"/>
          <w:sz w:val="16"/>
          <w:szCs w:val="16"/>
          <w:color w:val="auto"/>
        </w:rPr>
        <w:t>Receive rate is fixed according to the following schedule: From 2/27/12 to 2/27/18: 2.00%; From 2/27/18 to 2/27/22: 2.50%; From 2/27/22 to 2/27/23:</w:t>
      </w:r>
    </w:p>
    <w:p>
      <w:pPr>
        <w:spacing w:after="0" w:line="8" w:lineRule="exact"/>
        <w:rPr>
          <w:rFonts w:ascii="Arial" w:cs="Arial" w:eastAsia="Arial" w:hAnsi="Arial"/>
          <w:sz w:val="20"/>
          <w:szCs w:val="20"/>
          <w:color w:val="auto"/>
          <w:vertAlign w:val="superscript"/>
        </w:rPr>
      </w:pPr>
    </w:p>
    <w:p>
      <w:pPr>
        <w:ind w:left="460" w:right="520"/>
        <w:spacing w:after="0" w:line="246" w:lineRule="auto"/>
        <w:rPr>
          <w:rFonts w:ascii="Arial" w:cs="Arial" w:eastAsia="Arial" w:hAnsi="Arial"/>
          <w:sz w:val="20"/>
          <w:szCs w:val="20"/>
          <w:color w:val="auto"/>
          <w:vertAlign w:val="superscript"/>
        </w:rPr>
      </w:pPr>
      <w:r>
        <w:rPr>
          <w:rFonts w:ascii="Arial" w:cs="Arial" w:eastAsia="Arial" w:hAnsi="Arial"/>
          <w:sz w:val="18"/>
          <w:szCs w:val="18"/>
          <w:color w:val="auto"/>
        </w:rPr>
        <w:t>3.00%; From 2/27/23 to 2/27/24: 4.00%; From 2/27/24 to 2/27/25: 7.00%; From 2/27/25 to 8/27/27: 10.00%. Swap is callable by counterparty semi-annually commencing on August 27, 2012 with 25 business days notice prior to the redemption date.</w:t>
      </w:r>
    </w:p>
    <w:p>
      <w:pPr>
        <w:ind w:left="460" w:hanging="452"/>
        <w:spacing w:after="0" w:line="225" w:lineRule="auto"/>
        <w:tabs>
          <w:tab w:leader="none" w:pos="460" w:val="left"/>
        </w:tabs>
        <w:numPr>
          <w:ilvl w:val="0"/>
          <w:numId w:val="18"/>
        </w:numPr>
        <w:rPr>
          <w:rFonts w:ascii="Arial" w:cs="Arial" w:eastAsia="Arial" w:hAnsi="Arial"/>
          <w:sz w:val="20"/>
          <w:szCs w:val="20"/>
          <w:color w:val="auto"/>
          <w:vertAlign w:val="superscript"/>
        </w:rPr>
      </w:pPr>
      <w:r>
        <w:rPr>
          <w:rFonts w:ascii="Arial" w:cs="Arial" w:eastAsia="Arial" w:hAnsi="Arial"/>
          <w:sz w:val="16"/>
          <w:szCs w:val="16"/>
          <w:color w:val="auto"/>
        </w:rPr>
        <w:t>Receive rate is fixed according to the following schedule: From 3/23/12 to 3/23/17: 2.25%; From 3/23/17 to 3/23/20: 2.38%; From 3/23/20 to 3/23/23:</w:t>
      </w:r>
    </w:p>
    <w:p>
      <w:pPr>
        <w:spacing w:after="0" w:line="8" w:lineRule="exact"/>
        <w:rPr>
          <w:rFonts w:ascii="Arial" w:cs="Arial" w:eastAsia="Arial" w:hAnsi="Arial"/>
          <w:sz w:val="20"/>
          <w:szCs w:val="20"/>
          <w:color w:val="auto"/>
          <w:vertAlign w:val="superscript"/>
        </w:rPr>
      </w:pPr>
    </w:p>
    <w:p>
      <w:pPr>
        <w:ind w:left="460" w:right="340"/>
        <w:spacing w:after="0" w:line="276" w:lineRule="auto"/>
        <w:rPr>
          <w:rFonts w:ascii="Arial" w:cs="Arial" w:eastAsia="Arial" w:hAnsi="Arial"/>
          <w:sz w:val="20"/>
          <w:szCs w:val="20"/>
          <w:color w:val="auto"/>
          <w:vertAlign w:val="superscript"/>
        </w:rPr>
      </w:pPr>
      <w:r>
        <w:rPr>
          <w:rFonts w:ascii="Arial" w:cs="Arial" w:eastAsia="Arial" w:hAnsi="Arial"/>
          <w:sz w:val="16"/>
          <w:szCs w:val="16"/>
          <w:color w:val="auto"/>
        </w:rPr>
        <w:t>2.50%; From 3/23/23 to 3/23/24: 3.00%; From 3/23/24 to 3/23/25: 4.00%; From 3/23/25 to 3/23/26: 6.00%; From 3/23/26 to 9/23/27: 10.00%. Swap is callable by counterparty at any time commencing on September 24, 2012 with 15 calendar days notice prior to the redemption date.</w:t>
      </w:r>
    </w:p>
    <w:p>
      <w:pPr>
        <w:spacing w:after="0" w:line="1" w:lineRule="exact"/>
        <w:rPr>
          <w:rFonts w:ascii="Arial" w:cs="Arial" w:eastAsia="Arial" w:hAnsi="Arial"/>
          <w:sz w:val="20"/>
          <w:szCs w:val="20"/>
          <w:color w:val="auto"/>
          <w:vertAlign w:val="superscript"/>
        </w:rPr>
      </w:pPr>
    </w:p>
    <w:p>
      <w:pPr>
        <w:ind w:left="460" w:hanging="452"/>
        <w:spacing w:after="0" w:line="225" w:lineRule="auto"/>
        <w:tabs>
          <w:tab w:leader="none" w:pos="460" w:val="left"/>
        </w:tabs>
        <w:numPr>
          <w:ilvl w:val="0"/>
          <w:numId w:val="18"/>
        </w:numPr>
        <w:rPr>
          <w:rFonts w:ascii="Arial" w:cs="Arial" w:eastAsia="Arial" w:hAnsi="Arial"/>
          <w:sz w:val="20"/>
          <w:szCs w:val="20"/>
          <w:color w:val="auto"/>
          <w:vertAlign w:val="superscript"/>
        </w:rPr>
      </w:pPr>
      <w:r>
        <w:rPr>
          <w:rFonts w:ascii="Arial" w:cs="Arial" w:eastAsia="Arial" w:hAnsi="Arial"/>
          <w:sz w:val="16"/>
          <w:szCs w:val="16"/>
          <w:color w:val="auto"/>
        </w:rPr>
        <w:t>Receive rate is fixed according to the following schedule: From 6/8/12 to 6/8/17: 2.25%; From 6/8/17 to 6/8/22: 2.70%; From 6/8/22 to 6/8/27: 3.20%;</w:t>
      </w:r>
    </w:p>
    <w:p>
      <w:pPr>
        <w:spacing w:after="0" w:line="8" w:lineRule="exact"/>
        <w:rPr>
          <w:rFonts w:ascii="Arial" w:cs="Arial" w:eastAsia="Arial" w:hAnsi="Arial"/>
          <w:sz w:val="20"/>
          <w:szCs w:val="20"/>
          <w:color w:val="auto"/>
          <w:vertAlign w:val="superscript"/>
        </w:rPr>
      </w:pPr>
    </w:p>
    <w:p>
      <w:pPr>
        <w:ind w:left="460"/>
        <w:spacing w:after="0" w:line="276" w:lineRule="auto"/>
        <w:rPr>
          <w:rFonts w:ascii="Arial" w:cs="Arial" w:eastAsia="Arial" w:hAnsi="Arial"/>
          <w:sz w:val="20"/>
          <w:szCs w:val="20"/>
          <w:color w:val="auto"/>
          <w:vertAlign w:val="superscript"/>
        </w:rPr>
      </w:pPr>
      <w:r>
        <w:rPr>
          <w:rFonts w:ascii="Arial" w:cs="Arial" w:eastAsia="Arial" w:hAnsi="Arial"/>
          <w:sz w:val="16"/>
          <w:szCs w:val="16"/>
          <w:color w:val="auto"/>
        </w:rPr>
        <w:t>From 6/8/27 to 6/8/28: 4.00%; From 6/8/28 to 6/8/29: 5.00%; From 6/8/29 to 6/8/30: 6.00%; From 6/8/30 to 6/8/31: 8.00%; From 6/8/31 to 6/8/32: 10.00%. Swap is callable by counterparty at any time commencing on December 8, 2012 with 15 calendar days notice prior to the redemption date.</w:t>
      </w:r>
    </w:p>
    <w:p>
      <w:pPr>
        <w:spacing w:after="0" w:line="1" w:lineRule="exact"/>
        <w:rPr>
          <w:rFonts w:ascii="Arial" w:cs="Arial" w:eastAsia="Arial" w:hAnsi="Arial"/>
          <w:sz w:val="20"/>
          <w:szCs w:val="20"/>
          <w:color w:val="auto"/>
          <w:vertAlign w:val="superscript"/>
        </w:rPr>
      </w:pPr>
    </w:p>
    <w:p>
      <w:pPr>
        <w:ind w:left="460" w:hanging="452"/>
        <w:spacing w:after="0" w:line="225" w:lineRule="auto"/>
        <w:tabs>
          <w:tab w:leader="none" w:pos="460" w:val="left"/>
        </w:tabs>
        <w:numPr>
          <w:ilvl w:val="0"/>
          <w:numId w:val="18"/>
        </w:numPr>
        <w:rPr>
          <w:rFonts w:ascii="Arial" w:cs="Arial" w:eastAsia="Arial" w:hAnsi="Arial"/>
          <w:sz w:val="20"/>
          <w:szCs w:val="20"/>
          <w:color w:val="auto"/>
          <w:vertAlign w:val="superscript"/>
        </w:rPr>
      </w:pPr>
      <w:r>
        <w:rPr>
          <w:rFonts w:ascii="Arial" w:cs="Arial" w:eastAsia="Arial" w:hAnsi="Arial"/>
          <w:sz w:val="16"/>
          <w:szCs w:val="16"/>
          <w:color w:val="auto"/>
        </w:rPr>
        <w:t>Receive rate is fixed according to the following schedule: From 6/28/12 to 6/28/17: 2.30%; From 6/28/17 to 6/28/22: 2.50%; From 6/28/22 to 6/28/27:</w:t>
      </w:r>
    </w:p>
    <w:p>
      <w:pPr>
        <w:spacing w:after="0" w:line="8" w:lineRule="exact"/>
        <w:rPr>
          <w:rFonts w:ascii="Arial" w:cs="Arial" w:eastAsia="Arial" w:hAnsi="Arial"/>
          <w:sz w:val="20"/>
          <w:szCs w:val="20"/>
          <w:color w:val="auto"/>
          <w:vertAlign w:val="superscript"/>
        </w:rPr>
      </w:pPr>
    </w:p>
    <w:p>
      <w:pPr>
        <w:ind w:left="460"/>
        <w:spacing w:after="0"/>
        <w:rPr>
          <w:rFonts w:ascii="Arial" w:cs="Arial" w:eastAsia="Arial" w:hAnsi="Arial"/>
          <w:sz w:val="20"/>
          <w:szCs w:val="20"/>
          <w:color w:val="auto"/>
          <w:vertAlign w:val="superscript"/>
        </w:rPr>
      </w:pPr>
      <w:r>
        <w:rPr>
          <w:rFonts w:ascii="Arial" w:cs="Arial" w:eastAsia="Arial" w:hAnsi="Arial"/>
          <w:sz w:val="16"/>
          <w:szCs w:val="16"/>
          <w:color w:val="auto"/>
        </w:rPr>
        <w:t>3.00%; From 6/28/27 to 6/28/28: 4.00%; From 6/28/28 to 6/28/29: 5.00%; From 6/28/29 to 6/28/30: 6.00%; From 6/28/30 to 6/28/31: 8.00%; From 6/28/31</w:t>
      </w:r>
    </w:p>
    <w:p>
      <w:pPr>
        <w:spacing w:after="0" w:line="24" w:lineRule="exact"/>
        <w:rPr>
          <w:rFonts w:ascii="Arial" w:cs="Arial" w:eastAsia="Arial" w:hAnsi="Arial"/>
          <w:sz w:val="20"/>
          <w:szCs w:val="20"/>
          <w:color w:val="auto"/>
          <w:vertAlign w:val="superscript"/>
        </w:rPr>
      </w:pPr>
    </w:p>
    <w:p>
      <w:pPr>
        <w:ind w:left="460" w:right="100"/>
        <w:spacing w:after="0" w:line="250" w:lineRule="auto"/>
        <w:rPr>
          <w:rFonts w:ascii="Arial" w:cs="Arial" w:eastAsia="Arial" w:hAnsi="Arial"/>
          <w:sz w:val="20"/>
          <w:szCs w:val="20"/>
          <w:color w:val="auto"/>
          <w:vertAlign w:val="superscript"/>
        </w:rPr>
      </w:pPr>
      <w:r>
        <w:rPr>
          <w:rFonts w:ascii="Arial" w:cs="Arial" w:eastAsia="Arial" w:hAnsi="Arial"/>
          <w:sz w:val="18"/>
          <w:szCs w:val="18"/>
          <w:color w:val="auto"/>
        </w:rPr>
        <w:t>to 6/28/32: 10.00%. Swap is callable by counterparty at any time commencing on December 28, 2012 with 15 calendar days notice prior to the redemption date.</w:t>
      </w:r>
    </w:p>
    <w:p>
      <w:pPr>
        <w:ind w:left="460" w:hanging="452"/>
        <w:spacing w:after="0" w:line="225" w:lineRule="auto"/>
        <w:tabs>
          <w:tab w:leader="none" w:pos="460" w:val="left"/>
        </w:tabs>
        <w:numPr>
          <w:ilvl w:val="0"/>
          <w:numId w:val="18"/>
        </w:numPr>
        <w:rPr>
          <w:rFonts w:ascii="Arial" w:cs="Arial" w:eastAsia="Arial" w:hAnsi="Arial"/>
          <w:sz w:val="20"/>
          <w:szCs w:val="20"/>
          <w:color w:val="auto"/>
          <w:vertAlign w:val="superscript"/>
        </w:rPr>
      </w:pPr>
      <w:r>
        <w:rPr>
          <w:rFonts w:ascii="Arial" w:cs="Arial" w:eastAsia="Arial" w:hAnsi="Arial"/>
          <w:sz w:val="16"/>
          <w:szCs w:val="16"/>
          <w:color w:val="auto"/>
        </w:rPr>
        <w:t>Receive rate is fixed according to the following schedule: From 7/27/12 to 7/27/17: 2.25%; From 7/27/17 to 7/27/22: 2.50%; From 7/27/22 to 7/27/27:</w:t>
      </w:r>
    </w:p>
    <w:p>
      <w:pPr>
        <w:spacing w:after="0" w:line="8" w:lineRule="exact"/>
        <w:rPr>
          <w:rFonts w:ascii="Arial" w:cs="Arial" w:eastAsia="Arial" w:hAnsi="Arial"/>
          <w:sz w:val="20"/>
          <w:szCs w:val="20"/>
          <w:color w:val="auto"/>
          <w:vertAlign w:val="superscript"/>
        </w:rPr>
      </w:pPr>
    </w:p>
    <w:p>
      <w:pPr>
        <w:ind w:left="460"/>
        <w:spacing w:after="0"/>
        <w:rPr>
          <w:rFonts w:ascii="Arial" w:cs="Arial" w:eastAsia="Arial" w:hAnsi="Arial"/>
          <w:sz w:val="20"/>
          <w:szCs w:val="20"/>
          <w:color w:val="auto"/>
          <w:vertAlign w:val="superscript"/>
        </w:rPr>
      </w:pPr>
      <w:r>
        <w:rPr>
          <w:rFonts w:ascii="Arial" w:cs="Arial" w:eastAsia="Arial" w:hAnsi="Arial"/>
          <w:sz w:val="16"/>
          <w:szCs w:val="16"/>
          <w:color w:val="auto"/>
        </w:rPr>
        <w:t>3.00%; From 7/27/27 to 7/27/28: 4.00%; From 7/27/28 to 7/27/29: 5.00%; From 7/27/29 to 7/27/30: 6.00%; From 7/27/30 to 7/27/31: 8.00%; From 7/27/31</w:t>
      </w:r>
    </w:p>
    <w:p>
      <w:pPr>
        <w:spacing w:after="0" w:line="24" w:lineRule="exact"/>
        <w:rPr>
          <w:rFonts w:ascii="Arial" w:cs="Arial" w:eastAsia="Arial" w:hAnsi="Arial"/>
          <w:sz w:val="20"/>
          <w:szCs w:val="20"/>
          <w:color w:val="auto"/>
          <w:vertAlign w:val="superscript"/>
        </w:rPr>
      </w:pPr>
    </w:p>
    <w:p>
      <w:pPr>
        <w:ind w:left="460" w:right="280"/>
        <w:spacing w:after="0" w:line="250" w:lineRule="auto"/>
        <w:rPr>
          <w:rFonts w:ascii="Arial" w:cs="Arial" w:eastAsia="Arial" w:hAnsi="Arial"/>
          <w:sz w:val="20"/>
          <w:szCs w:val="20"/>
          <w:color w:val="auto"/>
          <w:vertAlign w:val="superscript"/>
        </w:rPr>
      </w:pPr>
      <w:r>
        <w:rPr>
          <w:rFonts w:ascii="Arial" w:cs="Arial" w:eastAsia="Arial" w:hAnsi="Arial"/>
          <w:sz w:val="18"/>
          <w:szCs w:val="18"/>
          <w:color w:val="auto"/>
        </w:rPr>
        <w:t>to 7/27/32: 10.00%. Swap is callable by counterparty at any time commencing on January 27, 2013 with 20 calendar days notice prior to the redemption date.</w:t>
      </w:r>
    </w:p>
    <w:p>
      <w:pPr>
        <w:ind w:left="460" w:hanging="452"/>
        <w:spacing w:after="0" w:line="225" w:lineRule="auto"/>
        <w:tabs>
          <w:tab w:leader="none" w:pos="460" w:val="left"/>
        </w:tabs>
        <w:numPr>
          <w:ilvl w:val="0"/>
          <w:numId w:val="18"/>
        </w:numPr>
        <w:rPr>
          <w:rFonts w:ascii="Arial" w:cs="Arial" w:eastAsia="Arial" w:hAnsi="Arial"/>
          <w:sz w:val="20"/>
          <w:szCs w:val="20"/>
          <w:color w:val="auto"/>
          <w:vertAlign w:val="superscript"/>
        </w:rPr>
      </w:pPr>
      <w:r>
        <w:rPr>
          <w:rFonts w:ascii="Arial" w:cs="Arial" w:eastAsia="Arial" w:hAnsi="Arial"/>
          <w:sz w:val="16"/>
          <w:szCs w:val="16"/>
          <w:color w:val="auto"/>
        </w:rPr>
        <w:t>Receive rate is fixed according to the following schedule: From 8/23/12 to 8/23/17: 2.30%; From 8/23/17 to 8/23/22: 2.40%; From 8/23/22 to 8/23/27:</w:t>
      </w:r>
    </w:p>
    <w:p>
      <w:pPr>
        <w:spacing w:after="0" w:line="8" w:lineRule="exact"/>
        <w:rPr>
          <w:rFonts w:ascii="Arial" w:cs="Arial" w:eastAsia="Arial" w:hAnsi="Arial"/>
          <w:sz w:val="20"/>
          <w:szCs w:val="20"/>
          <w:color w:val="auto"/>
          <w:vertAlign w:val="superscript"/>
        </w:rPr>
      </w:pPr>
    </w:p>
    <w:p>
      <w:pPr>
        <w:ind w:left="460" w:right="360"/>
        <w:spacing w:after="0" w:line="276" w:lineRule="auto"/>
        <w:rPr>
          <w:rFonts w:ascii="Arial" w:cs="Arial" w:eastAsia="Arial" w:hAnsi="Arial"/>
          <w:sz w:val="20"/>
          <w:szCs w:val="20"/>
          <w:color w:val="auto"/>
          <w:vertAlign w:val="superscript"/>
        </w:rPr>
      </w:pPr>
      <w:r>
        <w:rPr>
          <w:rFonts w:ascii="Arial" w:cs="Arial" w:eastAsia="Arial" w:hAnsi="Arial"/>
          <w:sz w:val="16"/>
          <w:szCs w:val="16"/>
          <w:color w:val="auto"/>
        </w:rPr>
        <w:t>2.50%; From 8/23/27 to 8/23/29: 2.75%; From 8/23/29 to 8/23/30: 5.00%; From 8/23/30 to 8/23/31: 8.00%; From 8/23/31 to 8/23/32: 11.00%. Swap is callable by counterparty at any time commencing on August 23, 2013 with 20 calendar days notice prior to the redemption date.</w:t>
      </w:r>
    </w:p>
    <w:p>
      <w:pPr>
        <w:spacing w:after="0" w:line="1" w:lineRule="exact"/>
        <w:rPr>
          <w:rFonts w:ascii="Arial" w:cs="Arial" w:eastAsia="Arial" w:hAnsi="Arial"/>
          <w:sz w:val="20"/>
          <w:szCs w:val="20"/>
          <w:color w:val="auto"/>
          <w:vertAlign w:val="superscript"/>
        </w:rPr>
      </w:pPr>
    </w:p>
    <w:p>
      <w:pPr>
        <w:ind w:left="460" w:hanging="452"/>
        <w:spacing w:after="0" w:line="225" w:lineRule="auto"/>
        <w:tabs>
          <w:tab w:leader="none" w:pos="460" w:val="left"/>
        </w:tabs>
        <w:numPr>
          <w:ilvl w:val="0"/>
          <w:numId w:val="18"/>
        </w:numPr>
        <w:rPr>
          <w:rFonts w:ascii="Arial" w:cs="Arial" w:eastAsia="Arial" w:hAnsi="Arial"/>
          <w:sz w:val="20"/>
          <w:szCs w:val="20"/>
          <w:color w:val="auto"/>
          <w:vertAlign w:val="superscript"/>
        </w:rPr>
      </w:pPr>
      <w:r>
        <w:rPr>
          <w:rFonts w:ascii="Arial" w:cs="Arial" w:eastAsia="Arial" w:hAnsi="Arial"/>
          <w:sz w:val="16"/>
          <w:szCs w:val="16"/>
          <w:color w:val="auto"/>
        </w:rPr>
        <w:t>Receive rate is fixed according to the following schedule: From 9/24/12 to 9/24/17: 2.40%; From 9/24/17 to 9/24/22: 2.50%; From 9/24/22 to 9/24/27:</w:t>
      </w:r>
    </w:p>
    <w:p>
      <w:pPr>
        <w:spacing w:after="0" w:line="8" w:lineRule="exact"/>
        <w:rPr>
          <w:rFonts w:ascii="Arial" w:cs="Arial" w:eastAsia="Arial" w:hAnsi="Arial"/>
          <w:sz w:val="20"/>
          <w:szCs w:val="20"/>
          <w:color w:val="auto"/>
          <w:vertAlign w:val="superscript"/>
        </w:rPr>
      </w:pPr>
    </w:p>
    <w:p>
      <w:pPr>
        <w:ind w:left="460" w:right="360"/>
        <w:spacing w:after="0" w:line="276" w:lineRule="auto"/>
        <w:rPr>
          <w:rFonts w:ascii="Arial" w:cs="Arial" w:eastAsia="Arial" w:hAnsi="Arial"/>
          <w:sz w:val="20"/>
          <w:szCs w:val="20"/>
          <w:color w:val="auto"/>
          <w:vertAlign w:val="superscript"/>
        </w:rPr>
      </w:pPr>
      <w:r>
        <w:rPr>
          <w:rFonts w:ascii="Arial" w:cs="Arial" w:eastAsia="Arial" w:hAnsi="Arial"/>
          <w:sz w:val="16"/>
          <w:szCs w:val="16"/>
          <w:color w:val="auto"/>
        </w:rPr>
        <w:t>2.75%; From 9/24/27 to 9/24/29: 3.00%; From 9/24/29 to 9/24/30: 5.00%; From 9/24/30 to 9/24/31: 8.00%; From 9/24/31 to 9/24/32: 11.00%. Swap is callable by counterparty at any time commencing on August 23, 2013 with 15 calendar days notice prior to the redemption date.</w:t>
      </w:r>
    </w:p>
    <w:p>
      <w:pPr>
        <w:spacing w:after="0" w:line="1" w:lineRule="exact"/>
        <w:rPr>
          <w:rFonts w:ascii="Arial" w:cs="Arial" w:eastAsia="Arial" w:hAnsi="Arial"/>
          <w:sz w:val="20"/>
          <w:szCs w:val="20"/>
          <w:color w:val="auto"/>
          <w:vertAlign w:val="superscript"/>
        </w:rPr>
      </w:pPr>
    </w:p>
    <w:p>
      <w:pPr>
        <w:ind w:left="460" w:hanging="452"/>
        <w:spacing w:after="0" w:line="205" w:lineRule="auto"/>
        <w:tabs>
          <w:tab w:leader="none" w:pos="460" w:val="left"/>
        </w:tabs>
        <w:numPr>
          <w:ilvl w:val="0"/>
          <w:numId w:val="18"/>
        </w:numPr>
        <w:rPr>
          <w:rFonts w:ascii="Arial" w:cs="Arial" w:eastAsia="Arial" w:hAnsi="Arial"/>
          <w:sz w:val="22"/>
          <w:szCs w:val="22"/>
          <w:color w:val="auto"/>
          <w:vertAlign w:val="superscript"/>
        </w:rPr>
      </w:pPr>
      <w:r>
        <w:rPr>
          <w:rFonts w:ascii="Arial" w:cs="Arial" w:eastAsia="Arial" w:hAnsi="Arial"/>
          <w:sz w:val="18"/>
          <w:szCs w:val="18"/>
          <w:color w:val="auto"/>
        </w:rPr>
        <w:t>Fair value does not include accrued interest.</w:t>
      </w:r>
    </w:p>
    <w:p>
      <w:pPr>
        <w:sectPr>
          <w:pgSz w:w="11900" w:h="16838" w:orient="portrait"/>
          <w:cols w:equalWidth="0" w:num="1">
            <w:col w:w="11420"/>
          </w:cols>
          <w:pgMar w:left="240" w:top="459" w:right="239" w:bottom="24" w:gutter="0" w:footer="0" w:header="0"/>
          <w:type w:val="continuous"/>
        </w:sectPr>
      </w:pPr>
    </w:p>
    <w:bookmarkStart w:id="54" w:name="page55"/>
    <w:bookmarkEnd w:id="54"/>
    <w:p>
      <w:pPr>
        <w:spacing w:after="0" w:line="291" w:lineRule="auto"/>
        <w:rPr>
          <w:sz w:val="20"/>
          <w:szCs w:val="20"/>
          <w:color w:val="auto"/>
        </w:rPr>
      </w:pPr>
      <w:r>
        <w:rPr>
          <w:rFonts w:ascii="Arial" w:cs="Arial" w:eastAsia="Arial" w:hAnsi="Arial"/>
          <w:sz w:val="16"/>
          <w:szCs w:val="16"/>
          <w:color w:val="auto"/>
        </w:rPr>
        <w:t>From time to time, United will terminate swap or floor positions when conditions change and the position is no longer necessary to manage United’s overall sensitivity to changes in interest rates. In those situations where the terminated contract was in an effective hedging relationship at the time of termination and the hedging relationship is expected to remain effective throughout the original term of the contract, the resulting gain or loss is amortized over the remaining life of the original contract. For swap contracts, the gain or loss is amortized over the remaining original contract term using the straight line method of amortization. At September 30, 2012, United had $1.54 million in gains from terminated derivative positions included in other comprehensive income that will be amortized into earnings over their remaining original contract terms. All of the $1.54 million is expected to be reclassified into interest revenue over the next twelve months.</w:t>
      </w:r>
    </w:p>
    <w:p>
      <w:pPr>
        <w:spacing w:after="0" w:line="12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United’s policy requires all non-customer facing derivative financial instruments be used only for asset/liability management through the hedging of specific transactions or positions, and not for trading or speculative purposes. Management believes that the risk associated with using derivative financial instruments to mitigate interest rate risk sensitivity is minimal and should not have any material unintended effect on our financial condition or results of operations. In order to mitigate potential credit risk, from time to time United may require the counterparties to derivative contracts to pledge securities as collateral to cover the net exposure.</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60"/>
          </w:cols>
          <w:pgMar w:left="240" w:top="131" w:right="29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Management</w:t>
      </w:r>
    </w:p>
    <w:p>
      <w:pPr>
        <w:spacing w:after="0" w:line="9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objective of liquidity management is to ensure that sufficient funding is available, at a reasonable cost, to meet the ongoing operational cash needs and to take advantage of revenue producing opportunities as they arise. While the desired level of liquidity will vary depending upon a variety of factors, it is the primary goal of United to maintain a sufficient level of liquidity in all expected economic environments. Liquidity is defined as the ability to convert assets into cash or cash equivalents without significant loss and to raise additional funds by increasing liabilities. Liquidity management involves maintaining United’s ability to meet the daily cash flow requirements of the Bank’s customers, both depositors and borrowers. In addition, because United is a separate entity and apart from the Bank, it must provide for its own liquidity. United is responsible for the payment of dividends declared for its common and preferred shareholders, and interest and principal on any outstanding debt or trust preferred securities.</w:t>
      </w:r>
    </w:p>
    <w:p>
      <w:pPr>
        <w:spacing w:after="0" w:line="118"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Because substantially all of United’s liquidity is obtained from subsidiary service fees and dividends from the Bank, which are limited by applicable law and an informal memorandum of understanding the Bank has entered into with the FDIC and the Georgia Department of Banking and Finance (the “Bank MOU”), United currently has limited internal capital resources to meet these obligations. United has not received a dividend from the Bank since 2008 and does not anticipate receiving dividends from the Bank until 2013.</w:t>
      </w:r>
    </w:p>
    <w:p>
      <w:pPr>
        <w:spacing w:after="0" w:line="14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Two key objectives of asset/liability management are to provide for adequate liquidity in order to meet the needs of customers and to maintain an optimal balance between interest-sensitive assets and interest-sensitive liabilities to optimize net interest revenue. Daily monitoring of the sources and uses of funds is necessary to maintain a position that meets both requirements.</w:t>
      </w:r>
    </w:p>
    <w:p>
      <w:pPr>
        <w:spacing w:after="0" w:line="14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asset portion of the balance sheet provides liquidity primarily through loan principal repayments and the maturities and sales of securities, as well as the ability to use these as collateral for borrowings on a secured basis. We also maintain excess funds in short-term interest-bearing assets that provide additional liquidity. Mortgage loans held for sale totaled $30.6 million at September 30, 2012, and typically turn over every 45 days as the closed loans are sold to investors in the secondary market.</w:t>
      </w:r>
    </w:p>
    <w:p>
      <w:pPr>
        <w:spacing w:after="0" w:line="14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liability section of the balance sheet provides liquidity through interest-bearing and noninterest-bearing deposit accounts. Federal funds purchased, Federal Reserve short-term borrowings, FHLB advances and securities sold under agreements to repurchase are additional sources of liquidity and represent United’s incremental borrowing capacity. These sources of liquidity are generally short-term in nature and are used as necessary to fund asset growth and meet other short-term liquidity needs.</w:t>
      </w:r>
    </w:p>
    <w:p>
      <w:pPr>
        <w:spacing w:after="0" w:line="14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At September 30, 2012, United had sufficient qualifying collateral to increase FHLB advances by $1.05 billion and Federal Reserve discount window capacity of $496 million. United also has the ability to raise substantial funds through brokered deposits. In addition to these wholesale sources, United has the ability to attract retail deposits at any time by competing more aggressively on pricing.</w:t>
      </w:r>
    </w:p>
    <w:p>
      <w:pPr>
        <w:spacing w:after="0" w:line="140" w:lineRule="exact"/>
        <w:rPr>
          <w:sz w:val="20"/>
          <w:szCs w:val="20"/>
          <w:color w:val="auto"/>
        </w:rPr>
      </w:pPr>
    </w:p>
    <w:p>
      <w:pPr>
        <w:ind w:right="140"/>
        <w:spacing w:after="0" w:line="284" w:lineRule="auto"/>
        <w:rPr>
          <w:sz w:val="20"/>
          <w:szCs w:val="20"/>
          <w:color w:val="auto"/>
        </w:rPr>
      </w:pPr>
      <w:r>
        <w:rPr>
          <w:rFonts w:ascii="Arial" w:cs="Arial" w:eastAsia="Arial" w:hAnsi="Arial"/>
          <w:sz w:val="16"/>
          <w:szCs w:val="16"/>
          <w:color w:val="auto"/>
        </w:rPr>
        <w:t>As disclosed in United’s consolidated statement of cash flows, net cash provided by operating activities was $139 million for the nine months ended September 30, 2012. The net income of $28.6 million for the nine month period included non-cash expenses for the provision for loan losses of $48.5 million; depreciation, amortization and accretion of $24.5 million and losses and write downs on foreclosed property of $5.69 million. In addition, other assets decreased</w:t>
      </w:r>
    </w:p>
    <w:p>
      <w:pPr>
        <w:spacing w:after="0" w:line="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$40.7 million primarily due to a federal tax refund received in the second quarter. Net cash provided by investing activities of $33.1 million consisted primarily of the proceeds from sales, maturities and calls of securities totaling $929 million partially offset by securities purchases of $818 million, a net increase in loans of $105 million, and purchases of premises and equipment of $3.23 million. Net cash used in financing activities of $329 million consisted primarily of a $275 million decrease in deposits and a $46.5 million decrease in wholesale borrowings. In the opinion of management, United’s liquidity position at September 30, 2012, was sufficient to meet its expected cash flow requirements.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 and Dividends</w:t>
      </w:r>
    </w:p>
    <w:p>
      <w:pPr>
        <w:spacing w:after="0" w:line="96" w:lineRule="exact"/>
        <w:rPr>
          <w:sz w:val="20"/>
          <w:szCs w:val="20"/>
          <w:color w:val="auto"/>
        </w:rPr>
      </w:pPr>
    </w:p>
    <w:p>
      <w:pPr>
        <w:ind w:right="200"/>
        <w:spacing w:after="0" w:line="323" w:lineRule="auto"/>
        <w:rPr>
          <w:sz w:val="20"/>
          <w:szCs w:val="20"/>
          <w:color w:val="auto"/>
        </w:rPr>
      </w:pPr>
      <w:r>
        <w:rPr>
          <w:rFonts w:ascii="Arial" w:cs="Arial" w:eastAsia="Arial" w:hAnsi="Arial"/>
          <w:sz w:val="15"/>
          <w:szCs w:val="15"/>
          <w:color w:val="auto"/>
        </w:rPr>
        <w:t>Shareholders’ equity at September 30, 2012 was $585 million, an increase of $9.77 million from December 31, 2011. Accumulated other comprehensive loss, which includes unrealized gains and losses on securities available for sale, the unrealized gains and losses on derivatives qualifying as cash flow hedges and unamortized prior service cost and actuarial gains and losses on United’s modified retirement plan, is excluded in the calculation of regulatory capital adequacy ratios. Excluding the change in the accumulated other comprehensive income, shareholders’ equity increased $22.8 million from December 31, 2011.</w:t>
      </w:r>
    </w:p>
    <w:p>
      <w:pPr>
        <w:spacing w:after="0" w:line="9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United accrued $3.04 million and $9.10 million, respectively, in dividends, including accretion of discounts, on Series A, Series B and Series D preferred stock in the third quarter and first nine months of 2012.</w:t>
      </w:r>
    </w:p>
    <w:p>
      <w:pPr>
        <w:spacing w:after="0" w:line="13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United granted a warrant to Fletcher to purchase common stock equivalent junior preferred stock that would be convertible into 1,411,765 common shares exercisable at a price equivalent to $21.25 per share. United has received purported partial warrant exercise notices from Fletcher with respect to its warrants that include incorrect calculations of the number of settlement shares Fletcher would receive upon exercise. On June 17, 2011, United completed a reclassification of its common stock in the form of 1-for-5 reverse stock split, or recombination. United believes that any current exercise of Fletcher’s warrant would not result in the issuance of any settlement shares because the warrant may only be exercised for net shares via a cashless exercise formula, and the reverse stock split-adjusted market price component of that formula does not exceed the exercise price to yield any net shares. United has responded to Fletcher with United’s calculations related to the warrant.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In addition, in the lawsuit filed by FILB Co-Investments, LLC (“FILB”) against United that was previously disclosed in United’s Current Report on Form 8-K filed on July 6, 2012 and United’s second quarter Quarterly Report on Form 10-Q, FILB alleges, like Fletcher, that United’s 2011 reclassification of its common stock should be ignored for purposes of calculating the number of shares United’s common stock issuable upon the redemption of United’s preferred stock and thus result in increasing the number of shares of United common stock that FILB could otherwise obtain. United believes the lawsuit is meritless for several reasons, and will defend it aggressively.</w:t>
      </w:r>
    </w:p>
    <w:p>
      <w:pPr>
        <w:spacing w:after="0" w:line="143"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In November 2011, United entered into an informal memorandum of understanding with the Federal Reserve Bank and the Georgia Department of Banking and Finance (the “Holding Company MOU”). The Holding Company MOU provides that United may not incur additional indebtedness, pay cash dividends, make payments on our trust preferred securities or subordinated indebtedness or repurchase outstanding stock without prior approval of the Federal Reserve. Additionally, the Holding Company MOU requires, among other things, that United ensures that the Bank functions in a safe and sound manner. United believes it is in compliance with all requirements of the Holding Company MOU.</w:t>
      </w:r>
    </w:p>
    <w:p>
      <w:pPr>
        <w:spacing w:after="0" w:line="116"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The Bank is currently subject to the Bank MOU which requires, among other things, that the Bank maintain its Tier 1 leverage ratio at not less than 8% and its total risk-based capital ratio at not less than 10% during the life of the Bank MOU. Additionally, the Bank MOU requires, among other things, that prior to declaring or paying any cash dividends to United, the Bank must obtain the written consent of its regulators. The Bank believes it is in compliance with all requirements of the Bank MOU.</w:t>
      </w:r>
    </w:p>
    <w:p>
      <w:pPr>
        <w:spacing w:after="0" w:line="143"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United’s common stock trades on the Nasdaq Global Select Market under the symbol “UCBI”. Below is a quarterly schedule of high, low and closing stock prices and average daily volume for 2012 and 2011.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15 - Stock Price Information</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2"/>
          </w:tcPr>
          <w:p>
            <w:pPr>
              <w:jc w:val="right"/>
              <w:ind w:right="222"/>
              <w:spacing w:after="0"/>
              <w:rPr>
                <w:sz w:val="20"/>
                <w:szCs w:val="20"/>
                <w:color w:val="auto"/>
              </w:rPr>
            </w:pPr>
            <w:r>
              <w:rPr>
                <w:rFonts w:ascii="Arial" w:cs="Arial" w:eastAsia="Arial" w:hAnsi="Arial"/>
                <w:sz w:val="14"/>
                <w:szCs w:val="14"/>
                <w:b w:val="1"/>
                <w:bCs w:val="1"/>
                <w:color w:val="auto"/>
                <w:w w:val="89"/>
              </w:rPr>
              <w:t>2012</w:t>
            </w: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right"/>
              <w:ind w:right="262"/>
              <w:spacing w:after="0"/>
              <w:rPr>
                <w:sz w:val="20"/>
                <w:szCs w:val="20"/>
                <w:color w:val="auto"/>
              </w:rPr>
            </w:pPr>
            <w:r>
              <w:rPr>
                <w:rFonts w:ascii="Arial" w:cs="Arial" w:eastAsia="Arial" w:hAnsi="Arial"/>
                <w:sz w:val="14"/>
                <w:szCs w:val="14"/>
                <w:b w:val="1"/>
                <w:bCs w:val="1"/>
                <w:color w:val="auto"/>
              </w:rPr>
              <w:t>2011</w:t>
            </w:r>
          </w:p>
        </w:tc>
        <w:tc>
          <w:tcPr>
            <w:tcW w:w="2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59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7"/>
              </w:rPr>
              <w:t>Avg Daily</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0"/>
              </w:rPr>
              <w:t>Avg Daily</w:t>
            </w:r>
          </w:p>
        </w:tc>
        <w:tc>
          <w:tcPr>
            <w:tcW w:w="100" w:type="dxa"/>
            <w:vAlign w:val="bottom"/>
          </w:tcPr>
          <w:p>
            <w:pPr>
              <w:spacing w:after="0"/>
              <w:rPr>
                <w:sz w:val="11"/>
                <w:szCs w:val="11"/>
                <w:color w:val="auto"/>
              </w:rPr>
            </w:pPr>
          </w:p>
        </w:tc>
      </w:tr>
      <w:tr>
        <w:trPr>
          <w:trHeight w:val="161"/>
        </w:trPr>
        <w:tc>
          <w:tcPr>
            <w:tcW w:w="5920" w:type="dxa"/>
            <w:vAlign w:val="bottom"/>
          </w:tcPr>
          <w:p>
            <w:pPr>
              <w:spacing w:after="0"/>
              <w:rPr>
                <w:sz w:val="14"/>
                <w:szCs w:val="14"/>
                <w:color w:val="auto"/>
              </w:rPr>
            </w:pPr>
          </w:p>
        </w:tc>
        <w:tc>
          <w:tcPr>
            <w:tcW w:w="500" w:type="dxa"/>
            <w:vAlign w:val="bottom"/>
          </w:tcPr>
          <w:p>
            <w:pPr>
              <w:jc w:val="right"/>
              <w:ind w:right="17"/>
              <w:spacing w:after="0"/>
              <w:rPr>
                <w:sz w:val="20"/>
                <w:szCs w:val="20"/>
                <w:color w:val="auto"/>
              </w:rPr>
            </w:pPr>
            <w:r>
              <w:rPr>
                <w:rFonts w:ascii="Arial" w:cs="Arial" w:eastAsia="Arial" w:hAnsi="Arial"/>
                <w:sz w:val="14"/>
                <w:szCs w:val="14"/>
                <w:b w:val="1"/>
                <w:bCs w:val="1"/>
                <w:color w:val="auto"/>
              </w:rPr>
              <w:t>High</w:t>
            </w:r>
          </w:p>
        </w:tc>
        <w:tc>
          <w:tcPr>
            <w:tcW w:w="200" w:type="dxa"/>
            <w:vAlign w:val="bottom"/>
          </w:tcPr>
          <w:p>
            <w:pPr>
              <w:spacing w:after="0"/>
              <w:rPr>
                <w:sz w:val="14"/>
                <w:szCs w:val="14"/>
                <w:color w:val="auto"/>
              </w:rPr>
            </w:pPr>
          </w:p>
        </w:tc>
        <w:tc>
          <w:tcPr>
            <w:tcW w:w="420" w:type="dxa"/>
            <w:vAlign w:val="bottom"/>
          </w:tcPr>
          <w:p>
            <w:pPr>
              <w:jc w:val="right"/>
              <w:ind w:right="2"/>
              <w:spacing w:after="0"/>
              <w:rPr>
                <w:sz w:val="20"/>
                <w:szCs w:val="20"/>
                <w:color w:val="auto"/>
              </w:rPr>
            </w:pPr>
            <w:r>
              <w:rPr>
                <w:rFonts w:ascii="Arial" w:cs="Arial" w:eastAsia="Arial" w:hAnsi="Arial"/>
                <w:sz w:val="14"/>
                <w:szCs w:val="14"/>
                <w:b w:val="1"/>
                <w:bCs w:val="1"/>
                <w:color w:val="auto"/>
              </w:rPr>
              <w:t>Low</w:t>
            </w:r>
          </w:p>
        </w:tc>
        <w:tc>
          <w:tcPr>
            <w:tcW w:w="200" w:type="dxa"/>
            <w:vAlign w:val="bottom"/>
          </w:tcPr>
          <w:p>
            <w:pPr>
              <w:spacing w:after="0"/>
              <w:rPr>
                <w:sz w:val="14"/>
                <w:szCs w:val="14"/>
                <w:color w:val="auto"/>
              </w:rPr>
            </w:pPr>
          </w:p>
        </w:tc>
        <w:tc>
          <w:tcPr>
            <w:tcW w:w="600" w:type="dxa"/>
            <w:vAlign w:val="bottom"/>
            <w:gridSpan w:val="2"/>
          </w:tcPr>
          <w:p>
            <w:pPr>
              <w:ind w:left="40"/>
              <w:spacing w:after="0"/>
              <w:rPr>
                <w:sz w:val="20"/>
                <w:szCs w:val="20"/>
                <w:color w:val="auto"/>
              </w:rPr>
            </w:pPr>
            <w:r>
              <w:rPr>
                <w:rFonts w:ascii="Arial" w:cs="Arial" w:eastAsia="Arial" w:hAnsi="Arial"/>
                <w:sz w:val="14"/>
                <w:szCs w:val="14"/>
                <w:b w:val="1"/>
                <w:bCs w:val="1"/>
                <w:color w:val="auto"/>
              </w:rPr>
              <w:t>Close</w:t>
            </w:r>
          </w:p>
        </w:tc>
        <w:tc>
          <w:tcPr>
            <w:tcW w:w="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Volume</w:t>
            </w:r>
          </w:p>
        </w:tc>
        <w:tc>
          <w:tcPr>
            <w:tcW w:w="600" w:type="dxa"/>
            <w:vAlign w:val="bottom"/>
            <w:gridSpan w:val="2"/>
          </w:tcPr>
          <w:p>
            <w:pPr>
              <w:ind w:left="100"/>
              <w:spacing w:after="0"/>
              <w:rPr>
                <w:sz w:val="20"/>
                <w:szCs w:val="20"/>
                <w:color w:val="auto"/>
              </w:rPr>
            </w:pPr>
            <w:r>
              <w:rPr>
                <w:rFonts w:ascii="Arial" w:cs="Arial" w:eastAsia="Arial" w:hAnsi="Arial"/>
                <w:sz w:val="14"/>
                <w:szCs w:val="14"/>
                <w:b w:val="1"/>
                <w:bCs w:val="1"/>
                <w:color w:val="auto"/>
              </w:rPr>
              <w:t>High</w:t>
            </w: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Low</w:t>
            </w:r>
          </w:p>
        </w:tc>
        <w:tc>
          <w:tcPr>
            <w:tcW w:w="200" w:type="dxa"/>
            <w:vAlign w:val="bottom"/>
          </w:tcPr>
          <w:p>
            <w:pPr>
              <w:spacing w:after="0"/>
              <w:rPr>
                <w:sz w:val="14"/>
                <w:szCs w:val="14"/>
                <w:color w:val="auto"/>
              </w:rPr>
            </w:pPr>
          </w:p>
        </w:tc>
        <w:tc>
          <w:tcPr>
            <w:tcW w:w="720" w:type="dxa"/>
            <w:vAlign w:val="bottom"/>
            <w:gridSpan w:val="2"/>
          </w:tcPr>
          <w:p>
            <w:pPr>
              <w:ind w:left="100"/>
              <w:spacing w:after="0"/>
              <w:rPr>
                <w:sz w:val="20"/>
                <w:szCs w:val="20"/>
                <w:color w:val="auto"/>
              </w:rPr>
            </w:pPr>
            <w:r>
              <w:rPr>
                <w:rFonts w:ascii="Arial" w:cs="Arial" w:eastAsia="Arial" w:hAnsi="Arial"/>
                <w:sz w:val="14"/>
                <w:szCs w:val="14"/>
                <w:b w:val="1"/>
                <w:bCs w:val="1"/>
                <w:color w:val="auto"/>
              </w:rPr>
              <w:t>Close</w:t>
            </w:r>
          </w:p>
        </w:tc>
        <w:tc>
          <w:tcPr>
            <w:tcW w:w="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6"/>
              </w:rPr>
              <w:t>Volume</w:t>
            </w:r>
          </w:p>
        </w:tc>
      </w:tr>
      <w:tr>
        <w:trPr>
          <w:trHeight w:val="210"/>
        </w:trPr>
        <w:tc>
          <w:tcPr>
            <w:tcW w:w="59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First quarter</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$10.30</w:t>
            </w:r>
          </w:p>
        </w:tc>
        <w:tc>
          <w:tcPr>
            <w:tcW w:w="2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$6.37</w:t>
            </w:r>
          </w:p>
        </w:tc>
        <w:tc>
          <w:tcPr>
            <w:tcW w:w="2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$9.75</w:t>
            </w:r>
          </w:p>
        </w:tc>
        <w:tc>
          <w:tcPr>
            <w:tcW w:w="2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142,987</w:t>
            </w:r>
          </w:p>
        </w:tc>
        <w:tc>
          <w:tcPr>
            <w:tcW w:w="2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$ 11.85</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$5.95</w:t>
            </w:r>
          </w:p>
        </w:tc>
        <w:tc>
          <w:tcPr>
            <w:tcW w:w="2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$ 11.65</w:t>
            </w:r>
          </w:p>
        </w:tc>
        <w:tc>
          <w:tcPr>
            <w:tcW w:w="2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227,321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Second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9.77</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7.76</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8.57</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145,132</w:t>
            </w: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14.65</w:t>
            </w:r>
          </w:p>
        </w:tc>
        <w:tc>
          <w:tcPr>
            <w:tcW w:w="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9.80</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10.56</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139,741</w:t>
            </w:r>
          </w:p>
        </w:tc>
        <w:tc>
          <w:tcPr>
            <w:tcW w:w="100" w:type="dxa"/>
            <w:vAlign w:val="bottom"/>
          </w:tcPr>
          <w:p>
            <w:pPr>
              <w:spacing w:after="0"/>
              <w:rPr>
                <w:sz w:val="18"/>
                <w:szCs w:val="18"/>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8.39</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329,475</w:t>
            </w: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11.33</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7.67</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214,303</w:t>
            </w:r>
          </w:p>
        </w:tc>
        <w:tc>
          <w:tcPr>
            <w:tcW w:w="100" w:type="dxa"/>
            <w:vAlign w:val="bottom"/>
            <w:shd w:val="clear" w:color="auto" w:fill="CCEEFF"/>
          </w:tcPr>
          <w:p>
            <w:pPr>
              <w:spacing w:after="0"/>
              <w:rPr>
                <w:sz w:val="18"/>
                <w:szCs w:val="18"/>
                <w:color w:val="auto"/>
              </w:rPr>
            </w:pPr>
          </w:p>
        </w:tc>
      </w:tr>
      <w:tr>
        <w:trPr>
          <w:trHeight w:val="222"/>
        </w:trPr>
        <w:tc>
          <w:tcPr>
            <w:tcW w:w="5920" w:type="dxa"/>
            <w:vAlign w:val="bottom"/>
          </w:tcPr>
          <w:p>
            <w:pPr>
              <w:spacing w:after="0"/>
              <w:rPr>
                <w:sz w:val="20"/>
                <w:szCs w:val="20"/>
                <w:color w:val="auto"/>
              </w:rPr>
            </w:pPr>
            <w:r>
              <w:rPr>
                <w:rFonts w:ascii="Arial" w:cs="Arial" w:eastAsia="Arial" w:hAnsi="Arial"/>
                <w:sz w:val="18"/>
                <w:szCs w:val="18"/>
                <w:color w:val="auto"/>
              </w:rPr>
              <w:t>Fourth quarter</w:t>
            </w: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8.90</w:t>
            </w:r>
          </w:p>
        </w:tc>
        <w:tc>
          <w:tcPr>
            <w:tcW w:w="10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6.22</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6.99</w:t>
            </w:r>
          </w:p>
        </w:tc>
        <w:tc>
          <w:tcPr>
            <w:tcW w:w="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202,024</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stock price information shown above has been adjusted to reflect United’s 1 for 5 reverse stock split as though it had occurred at the beginning of the earliest reported period.</w:t>
      </w:r>
    </w:p>
    <w:p>
      <w:pPr>
        <w:spacing w:after="0" w:line="132" w:lineRule="exact"/>
        <w:rPr>
          <w:sz w:val="20"/>
          <w:szCs w:val="20"/>
          <w:color w:val="auto"/>
        </w:rPr>
      </w:pPr>
    </w:p>
    <w:p>
      <w:pPr>
        <w:ind w:right="280"/>
        <w:spacing w:after="0" w:line="294" w:lineRule="auto"/>
        <w:rPr>
          <w:sz w:val="20"/>
          <w:szCs w:val="20"/>
          <w:color w:val="auto"/>
        </w:rPr>
      </w:pPr>
      <w:r>
        <w:rPr>
          <w:rFonts w:ascii="Arial" w:cs="Arial" w:eastAsia="Arial" w:hAnsi="Arial"/>
          <w:sz w:val="16"/>
          <w:szCs w:val="16"/>
          <w:color w:val="auto"/>
        </w:rPr>
        <w:t>The Federal Reserve Board has issued guidelines for the implementation of risk-based capital requirements by U.S. banks and bank holding companies. These risk-based capital guidelines take into consideration risk factors, as defined by regulators, associated with various categories of assets, both on and off-balance sheet. Under the guidelines, capital strength is measured in two tiers that are used in conjunction with risk-weighted assets to determine the risk-based capital ratios. The guidelines require an 8% total risk-based capital ratio, of which 4% must be Tier I capital. However, to be considered well-capitalized under the guidelines, a 10% total risk-based capital ratio is required, of which 6% must be Tier I capital.</w:t>
      </w:r>
    </w:p>
    <w:p>
      <w:pPr>
        <w:spacing w:after="0" w:line="116"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Under the risk-based capital guidelines, assets and credit equivalent amounts of derivatives and off-balance sheet items are assigned to one of several broad risk categories according to the obligor, or, if relevant, the guarantor or the nature of the collateral. The aggregate dollar amount in each risk category is then multiplied by the risk weight associated with the category. The resulting weighted values from each of the risk categories are added together, and generally this sum is the company’s total risk weighted assets. Risk-weighted assets for purposes of United’s capital ratios are calculated under these guidelines.</w:t>
      </w:r>
    </w:p>
    <w:p>
      <w:pPr>
        <w:spacing w:after="0" w:line="11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 minimum leverage ratio is required in addition to the risk-based capital standards and is defined as Tier I capital divided by average assets adjusted for goodwill and deposit-based intangibles. Although a minimum leverage ratio of 3% is required, the Federal Reserve Board requires a bank holding company to maintain a leverage ratio greater than 3% if it is experiencing or anticipating significant growth or is operating with less than well-diversified risks in the opinion of the Federal Reserve Board. The Federal Reserve Board uses the leverage and risk-based capital ratios to assess capital adequacy of banks and bank holding companies.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shows United’s capital ratios, as calculated under regulatory guidelines, at September 30, 2012, December 31, 2011 and September 30, 2011.</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16 - Capital Ratios</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(dollars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20" w:type="dxa"/>
            <w:vAlign w:val="bottom"/>
          </w:tcPr>
          <w:p>
            <w:pPr>
              <w:spacing w:after="0"/>
              <w:rPr>
                <w:sz w:val="14"/>
                <w:szCs w:val="14"/>
                <w:color w:val="auto"/>
              </w:rPr>
            </w:pPr>
          </w:p>
        </w:tc>
        <w:tc>
          <w:tcPr>
            <w:tcW w:w="180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Regulatory</w:t>
            </w:r>
          </w:p>
        </w:tc>
        <w:tc>
          <w:tcPr>
            <w:tcW w:w="80" w:type="dxa"/>
            <w:vAlign w:val="bottom"/>
          </w:tcPr>
          <w:p>
            <w:pPr>
              <w:spacing w:after="0"/>
              <w:rPr>
                <w:sz w:val="14"/>
                <w:szCs w:val="14"/>
                <w:color w:val="auto"/>
              </w:rPr>
            </w:pPr>
          </w:p>
        </w:tc>
        <w:tc>
          <w:tcPr>
            <w:tcW w:w="3340" w:type="dxa"/>
            <w:vAlign w:val="bottom"/>
            <w:gridSpan w:val="7"/>
          </w:tcPr>
          <w:p>
            <w:pPr>
              <w:jc w:val="center"/>
              <w:ind w:right="220"/>
              <w:spacing w:after="0"/>
              <w:rPr>
                <w:sz w:val="20"/>
                <w:szCs w:val="20"/>
                <w:color w:val="auto"/>
              </w:rPr>
            </w:pPr>
            <w:r>
              <w:rPr>
                <w:rFonts w:ascii="Arial" w:cs="Arial" w:eastAsia="Arial" w:hAnsi="Arial"/>
                <w:sz w:val="14"/>
                <w:szCs w:val="14"/>
                <w:b w:val="1"/>
                <w:bCs w:val="1"/>
                <w:color w:val="auto"/>
                <w:w w:val="88"/>
              </w:rPr>
              <w:t>United Community Banks, Inc.</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1"/>
        </w:trPr>
        <w:tc>
          <w:tcPr>
            <w:tcW w:w="2820" w:type="dxa"/>
            <w:vAlign w:val="bottom"/>
          </w:tcPr>
          <w:p>
            <w:pPr>
              <w:spacing w:after="0"/>
              <w:rPr>
                <w:sz w:val="14"/>
                <w:szCs w:val="14"/>
                <w:color w:val="auto"/>
              </w:rPr>
            </w:pPr>
          </w:p>
        </w:tc>
        <w:tc>
          <w:tcPr>
            <w:tcW w:w="180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Guidelines</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5"/>
              </w:rPr>
              <w:t>(Consolidated)</w:t>
            </w: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300" w:type="dxa"/>
            <w:vAlign w:val="bottom"/>
            <w:gridSpan w:val="7"/>
          </w:tcPr>
          <w:p>
            <w:pPr>
              <w:jc w:val="center"/>
              <w:ind w:right="200"/>
              <w:spacing w:after="0"/>
              <w:rPr>
                <w:sz w:val="20"/>
                <w:szCs w:val="20"/>
                <w:color w:val="auto"/>
              </w:rPr>
            </w:pPr>
            <w:r>
              <w:rPr>
                <w:rFonts w:ascii="Arial" w:cs="Arial" w:eastAsia="Arial" w:hAnsi="Arial"/>
                <w:sz w:val="14"/>
                <w:szCs w:val="14"/>
                <w:b w:val="1"/>
                <w:bCs w:val="1"/>
                <w:color w:val="auto"/>
                <w:w w:val="89"/>
              </w:rPr>
              <w:t>United Community Bank</w:t>
            </w:r>
          </w:p>
        </w:tc>
      </w:tr>
      <w:tr>
        <w:trPr>
          <w:trHeight w:val="129"/>
        </w:trPr>
        <w:tc>
          <w:tcPr>
            <w:tcW w:w="282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ind w:right="120"/>
              <w:spacing w:after="0" w:line="129" w:lineRule="exact"/>
              <w:rPr>
                <w:sz w:val="20"/>
                <w:szCs w:val="20"/>
                <w:color w:val="auto"/>
              </w:rPr>
            </w:pPr>
            <w:r>
              <w:rPr>
                <w:rFonts w:ascii="Arial" w:cs="Arial" w:eastAsia="Arial" w:hAnsi="Arial"/>
                <w:sz w:val="14"/>
                <w:szCs w:val="14"/>
                <w:b w:val="1"/>
                <w:bCs w:val="1"/>
                <w:color w:val="auto"/>
              </w:rPr>
              <w:t>Well</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Borders>
              <w:top w:val="single" w:sz="8" w:color="auto"/>
            </w:tcBorders>
            <w:gridSpan w:val="2"/>
          </w:tcPr>
          <w:p>
            <w:pPr>
              <w:jc w:val="right"/>
              <w:ind w:right="220"/>
              <w:spacing w:after="0" w:line="129" w:lineRule="exact"/>
              <w:rPr>
                <w:sz w:val="20"/>
                <w:szCs w:val="20"/>
                <w:color w:val="auto"/>
              </w:rPr>
            </w:pPr>
            <w:r>
              <w:rPr>
                <w:rFonts w:ascii="Arial" w:cs="Arial" w:eastAsia="Arial" w:hAnsi="Arial"/>
                <w:sz w:val="14"/>
                <w:szCs w:val="14"/>
                <w:b w:val="1"/>
                <w:bCs w:val="1"/>
                <w:color w:val="auto"/>
                <w:w w:val="85"/>
              </w:rPr>
              <w:t>September 30,</w:t>
            </w:r>
          </w:p>
        </w:tc>
        <w:tc>
          <w:tcPr>
            <w:tcW w:w="1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tcPr>
          <w:p>
            <w:pPr>
              <w:jc w:val="center"/>
              <w:ind w:right="340"/>
              <w:spacing w:after="0" w:line="129" w:lineRule="exact"/>
              <w:rPr>
                <w:sz w:val="20"/>
                <w:szCs w:val="20"/>
                <w:color w:val="auto"/>
              </w:rPr>
            </w:pPr>
            <w:r>
              <w:rPr>
                <w:rFonts w:ascii="Arial" w:cs="Arial" w:eastAsia="Arial" w:hAnsi="Arial"/>
                <w:sz w:val="14"/>
                <w:szCs w:val="14"/>
                <w:b w:val="1"/>
                <w:bCs w:val="1"/>
                <w:color w:val="auto"/>
                <w:w w:val="85"/>
              </w:rPr>
              <w:t>December 31,</w:t>
            </w:r>
          </w:p>
        </w:tc>
        <w:tc>
          <w:tcPr>
            <w:tcW w:w="8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5"/>
              </w:rPr>
              <w:t>September 30,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Borders>
              <w:top w:val="single" w:sz="8" w:color="auto"/>
            </w:tcBorders>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85"/>
              </w:rPr>
              <w:t>September 30,</w:t>
            </w:r>
          </w:p>
        </w:tc>
        <w:tc>
          <w:tcPr>
            <w:tcW w:w="1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tcPr>
          <w:p>
            <w:pPr>
              <w:jc w:val="center"/>
              <w:ind w:right="340"/>
              <w:spacing w:after="0" w:line="129" w:lineRule="exact"/>
              <w:rPr>
                <w:sz w:val="20"/>
                <w:szCs w:val="20"/>
                <w:color w:val="auto"/>
              </w:rPr>
            </w:pPr>
            <w:r>
              <w:rPr>
                <w:rFonts w:ascii="Arial" w:cs="Arial" w:eastAsia="Arial" w:hAnsi="Arial"/>
                <w:sz w:val="14"/>
                <w:szCs w:val="14"/>
                <w:b w:val="1"/>
                <w:bCs w:val="1"/>
                <w:color w:val="auto"/>
                <w:w w:val="85"/>
              </w:rPr>
              <w:t>December 31,</w:t>
            </w:r>
          </w:p>
        </w:tc>
        <w:tc>
          <w:tcPr>
            <w:tcW w:w="8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200" w:type="dxa"/>
            <w:vAlign w:val="bottom"/>
          </w:tcPr>
          <w:p>
            <w:pPr>
              <w:spacing w:after="0"/>
              <w:rPr>
                <w:sz w:val="11"/>
                <w:szCs w:val="11"/>
                <w:color w:val="auto"/>
              </w:rPr>
            </w:pPr>
          </w:p>
        </w:tc>
      </w:tr>
      <w:tr>
        <w:trPr>
          <w:trHeight w:val="161"/>
        </w:trPr>
        <w:tc>
          <w:tcPr>
            <w:tcW w:w="282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rPr>
              <w:t>Minimum</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6"/>
              </w:rPr>
              <w:t>Capitalized</w:t>
            </w:r>
          </w:p>
        </w:tc>
        <w:tc>
          <w:tcPr>
            <w:tcW w:w="920" w:type="dxa"/>
            <w:vAlign w:val="bottom"/>
            <w:gridSpan w:val="2"/>
          </w:tcPr>
          <w:p>
            <w:pPr>
              <w:jc w:val="right"/>
              <w:ind w:right="212"/>
              <w:spacing w:after="0"/>
              <w:rPr>
                <w:sz w:val="20"/>
                <w:szCs w:val="20"/>
                <w:color w:val="auto"/>
              </w:rPr>
            </w:pPr>
            <w:r>
              <w:rPr>
                <w:rFonts w:ascii="Arial" w:cs="Arial" w:eastAsia="Arial" w:hAnsi="Arial"/>
                <w:sz w:val="14"/>
                <w:szCs w:val="14"/>
                <w:b w:val="1"/>
                <w:bCs w:val="1"/>
                <w:color w:val="auto"/>
              </w:rPr>
              <w:t>2012</w:t>
            </w:r>
          </w:p>
        </w:tc>
        <w:tc>
          <w:tcPr>
            <w:tcW w:w="22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3"/>
              </w:rPr>
              <w:t>2011</w:t>
            </w:r>
          </w:p>
        </w:tc>
        <w:tc>
          <w:tcPr>
            <w:tcW w:w="320" w:type="dxa"/>
            <w:vAlign w:val="bottom"/>
          </w:tcPr>
          <w:p>
            <w:pPr>
              <w:spacing w:after="0"/>
              <w:rPr>
                <w:sz w:val="14"/>
                <w:szCs w:val="14"/>
                <w:color w:val="auto"/>
              </w:rPr>
            </w:pPr>
          </w:p>
        </w:tc>
        <w:tc>
          <w:tcPr>
            <w:tcW w:w="820" w:type="dxa"/>
            <w:vAlign w:val="bottom"/>
          </w:tcPr>
          <w:p>
            <w:pPr>
              <w:jc w:val="right"/>
              <w:ind w:right="198"/>
              <w:spacing w:after="0"/>
              <w:rPr>
                <w:sz w:val="20"/>
                <w:szCs w:val="20"/>
                <w:color w:val="auto"/>
              </w:rPr>
            </w:pPr>
            <w:r>
              <w:rPr>
                <w:rFonts w:ascii="Arial" w:cs="Arial" w:eastAsia="Arial" w:hAnsi="Arial"/>
                <w:sz w:val="14"/>
                <w:szCs w:val="14"/>
                <w:b w:val="1"/>
                <w:bCs w:val="1"/>
                <w:color w:val="auto"/>
              </w:rPr>
              <w:t>2011</w:t>
            </w:r>
          </w:p>
        </w:tc>
        <w:tc>
          <w:tcPr>
            <w:tcW w:w="240" w:type="dxa"/>
            <w:vAlign w:val="bottom"/>
          </w:tcPr>
          <w:p>
            <w:pPr>
              <w:spacing w:after="0"/>
              <w:rPr>
                <w:sz w:val="14"/>
                <w:szCs w:val="14"/>
                <w:color w:val="auto"/>
              </w:rPr>
            </w:pPr>
          </w:p>
        </w:tc>
        <w:tc>
          <w:tcPr>
            <w:tcW w:w="900" w:type="dxa"/>
            <w:vAlign w:val="bottom"/>
            <w:gridSpan w:val="2"/>
          </w:tcPr>
          <w:p>
            <w:pPr>
              <w:jc w:val="right"/>
              <w:ind w:right="192"/>
              <w:spacing w:after="0"/>
              <w:rPr>
                <w:sz w:val="20"/>
                <w:szCs w:val="20"/>
                <w:color w:val="auto"/>
              </w:rPr>
            </w:pPr>
            <w:r>
              <w:rPr>
                <w:rFonts w:ascii="Arial" w:cs="Arial" w:eastAsia="Arial" w:hAnsi="Arial"/>
                <w:sz w:val="14"/>
                <w:szCs w:val="14"/>
                <w:b w:val="1"/>
                <w:bCs w:val="1"/>
                <w:color w:val="auto"/>
              </w:rPr>
              <w:t>2012</w:t>
            </w:r>
          </w:p>
        </w:tc>
        <w:tc>
          <w:tcPr>
            <w:tcW w:w="240" w:type="dxa"/>
            <w:vAlign w:val="bottom"/>
          </w:tcPr>
          <w:p>
            <w:pPr>
              <w:spacing w:after="0"/>
              <w:rPr>
                <w:sz w:val="14"/>
                <w:szCs w:val="14"/>
                <w:color w:val="auto"/>
              </w:rPr>
            </w:pPr>
          </w:p>
        </w:tc>
        <w:tc>
          <w:tcPr>
            <w:tcW w:w="880" w:type="dxa"/>
            <w:vAlign w:val="bottom"/>
            <w:gridSpan w:val="2"/>
          </w:tcPr>
          <w:p>
            <w:pPr>
              <w:jc w:val="center"/>
              <w:ind w:left="16"/>
              <w:spacing w:after="0"/>
              <w:rPr>
                <w:sz w:val="20"/>
                <w:szCs w:val="20"/>
                <w:color w:val="auto"/>
              </w:rPr>
            </w:pPr>
            <w:r>
              <w:rPr>
                <w:rFonts w:ascii="Arial" w:cs="Arial" w:eastAsia="Arial" w:hAnsi="Arial"/>
                <w:sz w:val="14"/>
                <w:szCs w:val="14"/>
                <w:b w:val="1"/>
                <w:bCs w:val="1"/>
                <w:color w:val="auto"/>
                <w:w w:val="83"/>
              </w:rPr>
              <w:t>2011</w:t>
            </w:r>
          </w:p>
        </w:tc>
        <w:tc>
          <w:tcPr>
            <w:tcW w:w="340" w:type="dxa"/>
            <w:vAlign w:val="bottom"/>
          </w:tcPr>
          <w:p>
            <w:pPr>
              <w:spacing w:after="0"/>
              <w:rPr>
                <w:sz w:val="14"/>
                <w:szCs w:val="14"/>
                <w:color w:val="auto"/>
              </w:rPr>
            </w:pPr>
          </w:p>
        </w:tc>
        <w:tc>
          <w:tcPr>
            <w:tcW w:w="820" w:type="dxa"/>
            <w:vAlign w:val="bottom"/>
          </w:tcPr>
          <w:p>
            <w:pPr>
              <w:jc w:val="right"/>
              <w:ind w:right="198"/>
              <w:spacing w:after="0"/>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4"/>
                <w:szCs w:val="14"/>
                <w:color w:val="auto"/>
              </w:rPr>
            </w:pPr>
          </w:p>
        </w:tc>
      </w:tr>
      <w:tr>
        <w:trPr>
          <w:trHeight w:val="196"/>
        </w:trPr>
        <w:tc>
          <w:tcPr>
            <w:tcW w:w="28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Risk-based ratios:</w:t>
            </w:r>
          </w:p>
        </w:tc>
        <w:tc>
          <w:tcPr>
            <w:tcW w:w="5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r>
      <w:tr>
        <w:trPr>
          <w:trHeight w:val="216"/>
        </w:trPr>
        <w:tc>
          <w:tcPr>
            <w:tcW w:w="2820" w:type="dxa"/>
            <w:vAlign w:val="bottom"/>
          </w:tcPr>
          <w:p>
            <w:pPr>
              <w:ind w:left="440"/>
              <w:spacing w:after="0"/>
              <w:rPr>
                <w:sz w:val="20"/>
                <w:szCs w:val="20"/>
                <w:color w:val="auto"/>
              </w:rPr>
            </w:pPr>
            <w:r>
              <w:rPr>
                <w:rFonts w:ascii="Arial" w:cs="Arial" w:eastAsia="Arial" w:hAnsi="Arial"/>
                <w:sz w:val="18"/>
                <w:szCs w:val="18"/>
                <w:color w:val="auto"/>
              </w:rPr>
              <w:t>Tier I capital</w:t>
            </w:r>
          </w:p>
        </w:tc>
        <w:tc>
          <w:tcPr>
            <w:tcW w:w="900" w:type="dxa"/>
            <w:vAlign w:val="bottom"/>
            <w:gridSpan w:val="2"/>
          </w:tcPr>
          <w:p>
            <w:pPr>
              <w:ind w:left="360"/>
              <w:spacing w:after="0"/>
              <w:rPr>
                <w:sz w:val="20"/>
                <w:szCs w:val="20"/>
                <w:color w:val="auto"/>
              </w:rPr>
            </w:pPr>
            <w:r>
              <w:rPr>
                <w:rFonts w:ascii="Arial" w:cs="Arial" w:eastAsia="Arial" w:hAnsi="Arial"/>
                <w:sz w:val="18"/>
                <w:szCs w:val="18"/>
                <w:color w:val="auto"/>
              </w:rPr>
              <w:t>4.0%</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6.0%</w:t>
            </w:r>
          </w:p>
        </w:tc>
        <w:tc>
          <w:tcPr>
            <w:tcW w:w="1140" w:type="dxa"/>
            <w:vAlign w:val="bottom"/>
            <w:gridSpan w:val="3"/>
          </w:tcPr>
          <w:p>
            <w:pPr>
              <w:jc w:val="right"/>
              <w:ind w:right="80"/>
              <w:spacing w:after="0"/>
              <w:rPr>
                <w:sz w:val="20"/>
                <w:szCs w:val="20"/>
                <w:color w:val="auto"/>
              </w:rPr>
            </w:pPr>
            <w:r>
              <w:rPr>
                <w:rFonts w:ascii="Arial" w:cs="Arial" w:eastAsia="Arial" w:hAnsi="Arial"/>
                <w:sz w:val="18"/>
                <w:szCs w:val="18"/>
                <w:color w:val="auto"/>
              </w:rPr>
              <w:t>14.26%</w:t>
            </w:r>
          </w:p>
        </w:tc>
        <w:tc>
          <w:tcPr>
            <w:tcW w:w="1220" w:type="dxa"/>
            <w:vAlign w:val="bottom"/>
            <w:gridSpan w:val="3"/>
          </w:tcPr>
          <w:p>
            <w:pPr>
              <w:jc w:val="right"/>
              <w:ind w:right="180"/>
              <w:spacing w:after="0"/>
              <w:rPr>
                <w:sz w:val="20"/>
                <w:szCs w:val="20"/>
                <w:color w:val="auto"/>
              </w:rPr>
            </w:pPr>
            <w:r>
              <w:rPr>
                <w:rFonts w:ascii="Arial" w:cs="Arial" w:eastAsia="Arial" w:hAnsi="Arial"/>
                <w:sz w:val="18"/>
                <w:szCs w:val="18"/>
                <w:color w:val="auto"/>
              </w:rPr>
              <w:t>13.69%</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13.75%</w:t>
            </w:r>
          </w:p>
        </w:tc>
        <w:tc>
          <w:tcPr>
            <w:tcW w:w="1140" w:type="dxa"/>
            <w:vAlign w:val="bottom"/>
            <w:gridSpan w:val="3"/>
          </w:tcPr>
          <w:p>
            <w:pPr>
              <w:jc w:val="right"/>
              <w:ind w:right="80"/>
              <w:spacing w:after="0"/>
              <w:rPr>
                <w:sz w:val="20"/>
                <w:szCs w:val="20"/>
                <w:color w:val="auto"/>
              </w:rPr>
            </w:pPr>
            <w:r>
              <w:rPr>
                <w:rFonts w:ascii="Arial" w:cs="Arial" w:eastAsia="Arial" w:hAnsi="Arial"/>
                <w:sz w:val="18"/>
                <w:szCs w:val="18"/>
                <w:color w:val="auto"/>
              </w:rPr>
              <w:t>14.47%</w:t>
            </w:r>
          </w:p>
        </w:tc>
        <w:tc>
          <w:tcPr>
            <w:tcW w:w="1220" w:type="dxa"/>
            <w:vAlign w:val="bottom"/>
            <w:gridSpan w:val="3"/>
          </w:tcPr>
          <w:p>
            <w:pPr>
              <w:jc w:val="right"/>
              <w:ind w:right="180"/>
              <w:spacing w:after="0"/>
              <w:rPr>
                <w:sz w:val="20"/>
                <w:szCs w:val="20"/>
                <w:color w:val="auto"/>
              </w:rPr>
            </w:pPr>
            <w:r>
              <w:rPr>
                <w:rFonts w:ascii="Arial" w:cs="Arial" w:eastAsia="Arial" w:hAnsi="Arial"/>
                <w:sz w:val="18"/>
                <w:szCs w:val="18"/>
                <w:color w:val="auto"/>
              </w:rPr>
              <w:t>13.60%</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13.54%</w:t>
            </w:r>
          </w:p>
        </w:tc>
      </w:tr>
      <w:tr>
        <w:trPr>
          <w:trHeight w:val="216"/>
        </w:trPr>
        <w:tc>
          <w:tcPr>
            <w:tcW w:w="2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capital</w:t>
            </w:r>
          </w:p>
        </w:tc>
        <w:tc>
          <w:tcPr>
            <w:tcW w:w="580" w:type="dxa"/>
            <w:vAlign w:val="bottom"/>
            <w:shd w:val="clear" w:color="auto" w:fill="CCEEFF"/>
          </w:tcPr>
          <w:p>
            <w:pPr>
              <w:ind w:left="360"/>
              <w:spacing w:after="0"/>
              <w:rPr>
                <w:sz w:val="20"/>
                <w:szCs w:val="20"/>
                <w:color w:val="auto"/>
              </w:rPr>
            </w:pPr>
            <w:r>
              <w:rPr>
                <w:rFonts w:ascii="Arial" w:cs="Arial" w:eastAsia="Arial" w:hAnsi="Arial"/>
                <w:sz w:val="18"/>
                <w:szCs w:val="18"/>
                <w:color w:val="auto"/>
                <w:w w:val="79"/>
              </w:rPr>
              <w:t>8.0</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15.83</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15.41</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15.63</w:t>
            </w:r>
          </w:p>
        </w:tc>
        <w:tc>
          <w:tcPr>
            <w:tcW w:w="11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15.73</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14.87</w:t>
            </w: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14.82</w:t>
            </w: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Leverage ratio</w:t>
            </w:r>
          </w:p>
        </w:tc>
        <w:tc>
          <w:tcPr>
            <w:tcW w:w="580" w:type="dxa"/>
            <w:vAlign w:val="bottom"/>
          </w:tcPr>
          <w:p>
            <w:pPr>
              <w:ind w:left="360"/>
              <w:spacing w:after="0"/>
              <w:rPr>
                <w:sz w:val="20"/>
                <w:szCs w:val="20"/>
                <w:color w:val="auto"/>
              </w:rPr>
            </w:pPr>
            <w:r>
              <w:rPr>
                <w:rFonts w:ascii="Arial" w:cs="Arial" w:eastAsia="Arial" w:hAnsi="Arial"/>
                <w:sz w:val="18"/>
                <w:szCs w:val="18"/>
                <w:color w:val="auto"/>
                <w:w w:val="79"/>
              </w:rPr>
              <w:t>3.0</w:t>
            </w:r>
          </w:p>
        </w:tc>
        <w:tc>
          <w:tcPr>
            <w:tcW w:w="3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5.0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9.76</w:t>
            </w:r>
          </w:p>
        </w:tc>
        <w:tc>
          <w:tcPr>
            <w:tcW w:w="2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8.83</w:t>
            </w:r>
          </w:p>
        </w:tc>
        <w:tc>
          <w:tcPr>
            <w:tcW w:w="3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8.79</w:t>
            </w:r>
          </w:p>
        </w:tc>
        <w:tc>
          <w:tcPr>
            <w:tcW w:w="1140" w:type="dxa"/>
            <w:vAlign w:val="bottom"/>
            <w:gridSpan w:val="3"/>
          </w:tcPr>
          <w:p>
            <w:pPr>
              <w:jc w:val="right"/>
              <w:ind w:right="240"/>
              <w:spacing w:after="0"/>
              <w:rPr>
                <w:sz w:val="20"/>
                <w:szCs w:val="20"/>
                <w:color w:val="auto"/>
              </w:rPr>
            </w:pPr>
            <w:r>
              <w:rPr>
                <w:rFonts w:ascii="Arial" w:cs="Arial" w:eastAsia="Arial" w:hAnsi="Arial"/>
                <w:sz w:val="18"/>
                <w:szCs w:val="18"/>
                <w:color w:val="auto"/>
              </w:rPr>
              <w:t>9.92</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8.78</w:t>
            </w:r>
          </w:p>
        </w:tc>
        <w:tc>
          <w:tcPr>
            <w:tcW w:w="34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8.66</w:t>
            </w:r>
          </w:p>
        </w:tc>
      </w:tr>
      <w:tr>
        <w:trPr>
          <w:trHeight w:val="216"/>
        </w:trPr>
        <w:tc>
          <w:tcPr>
            <w:tcW w:w="2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Tier I capital</w:t>
            </w: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648,499</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618,695</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3"/>
              </w:rPr>
              <w:t>$  614,382</w:t>
            </w:r>
          </w:p>
        </w:tc>
        <w:tc>
          <w:tcPr>
            <w:tcW w:w="11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  658,020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614,534</w:t>
            </w: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  604,420</w:t>
            </w:r>
          </w:p>
        </w:tc>
      </w:tr>
      <w:tr>
        <w:trPr>
          <w:trHeight w:val="222"/>
        </w:trPr>
        <w:tc>
          <w:tcPr>
            <w:tcW w:w="2820" w:type="dxa"/>
            <w:vAlign w:val="bottom"/>
          </w:tcPr>
          <w:p>
            <w:pPr>
              <w:ind w:left="440"/>
              <w:spacing w:after="0"/>
              <w:rPr>
                <w:sz w:val="20"/>
                <w:szCs w:val="20"/>
                <w:color w:val="auto"/>
              </w:rPr>
            </w:pPr>
            <w:r>
              <w:rPr>
                <w:rFonts w:ascii="Arial" w:cs="Arial" w:eastAsia="Arial" w:hAnsi="Arial"/>
                <w:sz w:val="18"/>
                <w:szCs w:val="18"/>
                <w:color w:val="auto"/>
              </w:rPr>
              <w:t>Total capital</w:t>
            </w: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719,990</w:t>
            </w:r>
          </w:p>
        </w:tc>
        <w:tc>
          <w:tcPr>
            <w:tcW w:w="22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696,881</w:t>
            </w:r>
          </w:p>
        </w:tc>
        <w:tc>
          <w:tcPr>
            <w:tcW w:w="32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698,436</w:t>
            </w:r>
          </w:p>
        </w:tc>
        <w:tc>
          <w:tcPr>
            <w:tcW w:w="1140" w:type="dxa"/>
            <w:vAlign w:val="bottom"/>
            <w:gridSpan w:val="3"/>
          </w:tcPr>
          <w:p>
            <w:pPr>
              <w:jc w:val="right"/>
              <w:ind w:right="240"/>
              <w:spacing w:after="0"/>
              <w:rPr>
                <w:sz w:val="20"/>
                <w:szCs w:val="20"/>
                <w:color w:val="auto"/>
              </w:rPr>
            </w:pPr>
            <w:r>
              <w:rPr>
                <w:rFonts w:ascii="Arial" w:cs="Arial" w:eastAsia="Arial" w:hAnsi="Arial"/>
                <w:sz w:val="18"/>
                <w:szCs w:val="18"/>
                <w:color w:val="auto"/>
              </w:rPr>
              <w:t>715,492</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671,718</w:t>
            </w:r>
          </w:p>
        </w:tc>
        <w:tc>
          <w:tcPr>
            <w:tcW w:w="34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661,322</w:t>
            </w:r>
          </w:p>
        </w:tc>
      </w:tr>
    </w:tbl>
    <w:p>
      <w:pPr>
        <w:spacing w:after="0" w:line="14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United’s Tier I capital excludes other comprehensive income, and consists of shareholders’ equity and qualifying capital securities, less goodwill and deposit-based intangibles. Tier II capital components include supplemental capital items such as a qualifying allowance for loan losses and qualifying subordinated debt. Tier I capital plus Tier II capital components is referred to as Total Risk-Based capital.</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Inflation and Changing Prices</w:t>
      </w:r>
    </w:p>
    <w:p>
      <w:pPr>
        <w:spacing w:after="0" w:line="96"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A bank’s asset and liability structure is substantially different from that of an industrial firm in that primarily all assets and liabilities of a bank are monetary in nature with relatively little investment in fixed assets or inventories. Inflation has an important effect on the growth of total assets and the resulting need to increase equity capital at higher than normal rates in order to maintain an appropriate equity to assets ratio.</w:t>
      </w:r>
    </w:p>
    <w:p>
      <w:pPr>
        <w:spacing w:after="0" w:line="140"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United’s management believes the effect of inflation on financial results depends on United’s ability to react to changes in interest rates, and by such reaction, reduce the inflationary effect on performance. United has an asset/liability management program to manage interest rate sensitivity. In addition, periodic reviews of banking services and products are conducted to adjust pricing in view of current and expected costs.</w:t>
      </w:r>
    </w:p>
    <w:p>
      <w:pPr>
        <w:spacing w:after="0" w:line="22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 About Market Risk</w:t>
      </w:r>
    </w:p>
    <w:p>
      <w:pPr>
        <w:spacing w:after="0" w:line="96"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There have been no material changes in United’s quantitative and qualitative disclosures about market risk as of September 30, 2012 from that presented in the Annual Report on Form 10-K for the year ended December 31, 2011. The interest rate sensitivity position at September 30, 2012 is included in management’s discussion and analysis on page 50 of this report.</w:t>
      </w:r>
    </w:p>
    <w:p>
      <w:pPr>
        <w:spacing w:after="0" w:line="25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ind w:right="280"/>
        <w:spacing w:after="0" w:line="290" w:lineRule="auto"/>
        <w:rPr>
          <w:sz w:val="20"/>
          <w:szCs w:val="20"/>
          <w:color w:val="auto"/>
        </w:rPr>
      </w:pPr>
      <w:r>
        <w:rPr>
          <w:rFonts w:ascii="Arial" w:cs="Arial" w:eastAsia="Arial" w:hAnsi="Arial"/>
          <w:sz w:val="16"/>
          <w:szCs w:val="16"/>
          <w:color w:val="auto"/>
        </w:rPr>
        <w:t>United’s management, including the Chief Executive Officer and Chief Financial Officer, supervised and participated in an evaluation of the Company’s disclosure controls and procedures as of September 30, 2012. Based on, and as of the date of that evaluation, United’s Chief Executive Officer and Chief Financial Officer have concluded that the disclosure controls and procedures were effective in accumulating and communicating information to management, including the Chief Executive Officer and Chief Financial Officer, as appropriate to allow timely decisions regarding required disclosures of that information under the Securities and Exchange Commission’s rules and forms and that the disclosure controls and procedures are designed to ensure that the information required to be disclosed in reports that are filed or submitted by United under the Act is recorded, processed, summarized and reported within the time periods specified in the Securities and Exchange Commission’s rules and forms.</w:t>
      </w:r>
    </w:p>
    <w:p>
      <w:pPr>
        <w:spacing w:after="0" w:line="118" w:lineRule="exact"/>
        <w:rPr>
          <w:sz w:val="20"/>
          <w:szCs w:val="20"/>
          <w:color w:val="auto"/>
        </w:rPr>
      </w:pPr>
    </w:p>
    <w:p>
      <w:pPr>
        <w:ind w:right="800"/>
        <w:spacing w:after="0" w:line="268" w:lineRule="auto"/>
        <w:rPr>
          <w:sz w:val="20"/>
          <w:szCs w:val="20"/>
          <w:color w:val="auto"/>
        </w:rPr>
      </w:pPr>
      <w:r>
        <w:rPr>
          <w:rFonts w:ascii="Arial" w:cs="Arial" w:eastAsia="Arial" w:hAnsi="Arial"/>
          <w:sz w:val="18"/>
          <w:szCs w:val="18"/>
          <w:color w:val="auto"/>
        </w:rPr>
        <w:t>There were no significant changes in the internal controls or in other factors that could significantly affect these controls subsequent to the date of their evaluation.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9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the ordinary course of operations, United and the Bank are defendants in various legal proceedings. Additionally, in the ordinary course of business, United and the Bank are subject to regulatory examinations and investigations. Based on our current knowledge and advice of counsel, in the opinion of management there is no such pending or threatened legal matter in which an adverse decision could result in a material adverse change in the consolidated financial condition or results of operations of United.</w:t>
      </w:r>
    </w:p>
    <w:p>
      <w:pPr>
        <w:spacing w:after="0" w:line="25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There have been no material changes from the risk factors previously disclosed in United’s Annual Report on Form 10-K/A for the year ended December 31, 2011.</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 – None</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 – None</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 – None</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 – None</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94"/>
              </w:rPr>
              <w:t>Exhibit No.</w:t>
            </w:r>
          </w:p>
        </w:tc>
        <w:tc>
          <w:tcPr>
            <w:tcW w:w="5260" w:type="dxa"/>
            <w:vAlign w:val="bottom"/>
          </w:tcPr>
          <w:p>
            <w:pPr>
              <w:spacing w:after="0"/>
              <w:rPr>
                <w:sz w:val="14"/>
                <w:szCs w:val="14"/>
                <w:color w:val="auto"/>
              </w:rPr>
            </w:pPr>
          </w:p>
        </w:tc>
        <w:tc>
          <w:tcPr>
            <w:tcW w:w="6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88"/>
              </w:rPr>
              <w:t>Description</w:t>
            </w:r>
          </w:p>
        </w:tc>
        <w:tc>
          <w:tcPr>
            <w:tcW w:w="4720" w:type="dxa"/>
            <w:vAlign w:val="bottom"/>
          </w:tcPr>
          <w:p>
            <w:pPr>
              <w:spacing w:after="0"/>
              <w:rPr>
                <w:sz w:val="14"/>
                <w:szCs w:val="14"/>
                <w:color w:val="auto"/>
              </w:rPr>
            </w:pPr>
          </w:p>
        </w:tc>
      </w:tr>
      <w:tr>
        <w:trPr>
          <w:trHeight w:val="309"/>
        </w:trPr>
        <w:tc>
          <w:tcPr>
            <w:tcW w:w="700" w:type="dxa"/>
            <w:vAlign w:val="bottom"/>
            <w:gridSpan w:val="2"/>
          </w:tcPr>
          <w:p>
            <w:pPr>
              <w:ind w:left="100"/>
              <w:spacing w:after="0"/>
              <w:rPr>
                <w:sz w:val="20"/>
                <w:szCs w:val="20"/>
                <w:color w:val="auto"/>
              </w:rPr>
            </w:pPr>
            <w:r>
              <w:rPr>
                <w:rFonts w:ascii="Arial" w:cs="Arial" w:eastAsia="Arial" w:hAnsi="Arial"/>
                <w:sz w:val="18"/>
                <w:szCs w:val="18"/>
                <w:color w:val="auto"/>
              </w:rPr>
              <w:t>31.1</w:t>
            </w:r>
          </w:p>
        </w:tc>
        <w:tc>
          <w:tcPr>
            <w:tcW w:w="10640" w:type="dxa"/>
            <w:vAlign w:val="bottom"/>
            <w:gridSpan w:val="3"/>
          </w:tcPr>
          <w:p>
            <w:pPr>
              <w:ind w:left="460"/>
              <w:spacing w:after="0"/>
              <w:rPr>
                <w:sz w:val="20"/>
                <w:szCs w:val="20"/>
                <w:color w:val="auto"/>
              </w:rPr>
            </w:pPr>
            <w:r>
              <w:rPr>
                <w:rFonts w:ascii="Arial" w:cs="Arial" w:eastAsia="Arial" w:hAnsi="Arial"/>
                <w:sz w:val="18"/>
                <w:szCs w:val="18"/>
                <w:color w:val="auto"/>
                <w:w w:val="90"/>
              </w:rPr>
              <w:t>Certification by Jimmy C. Tallent, President and Chief Executive Officer of United Community Banks, Inc., as adopted pursuant to Section 302</w:t>
            </w:r>
          </w:p>
        </w:tc>
      </w:t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640" w:type="dxa"/>
            <w:vAlign w:val="bottom"/>
            <w:gridSpan w:val="3"/>
          </w:tcPr>
          <w:p>
            <w:pPr>
              <w:ind w:left="460"/>
              <w:spacing w:after="0"/>
              <w:rPr>
                <w:sz w:val="20"/>
                <w:szCs w:val="20"/>
                <w:color w:val="auto"/>
              </w:rPr>
            </w:pPr>
            <w:r>
              <w:rPr>
                <w:rFonts w:ascii="Arial" w:cs="Arial" w:eastAsia="Arial" w:hAnsi="Arial"/>
                <w:sz w:val="18"/>
                <w:szCs w:val="18"/>
                <w:color w:val="auto"/>
              </w:rPr>
              <w:t>of the Sarbanes-Oxley Act of 2002.</w:t>
            </w:r>
          </w:p>
        </w:tc>
      </w:tr>
      <w:tr>
        <w:trPr>
          <w:trHeight w:val="318"/>
        </w:trPr>
        <w:tc>
          <w:tcPr>
            <w:tcW w:w="700" w:type="dxa"/>
            <w:vAlign w:val="bottom"/>
            <w:gridSpan w:val="2"/>
          </w:tcPr>
          <w:p>
            <w:pPr>
              <w:ind w:left="100"/>
              <w:spacing w:after="0"/>
              <w:rPr>
                <w:sz w:val="20"/>
                <w:szCs w:val="20"/>
                <w:color w:val="auto"/>
              </w:rPr>
            </w:pPr>
            <w:r>
              <w:rPr>
                <w:rFonts w:ascii="Arial" w:cs="Arial" w:eastAsia="Arial" w:hAnsi="Arial"/>
                <w:sz w:val="18"/>
                <w:szCs w:val="18"/>
                <w:color w:val="auto"/>
              </w:rPr>
              <w:t>31.2</w:t>
            </w:r>
          </w:p>
        </w:tc>
        <w:tc>
          <w:tcPr>
            <w:tcW w:w="10640" w:type="dxa"/>
            <w:vAlign w:val="bottom"/>
            <w:gridSpan w:val="3"/>
          </w:tcPr>
          <w:p>
            <w:pPr>
              <w:ind w:left="460"/>
              <w:spacing w:after="0"/>
              <w:rPr>
                <w:sz w:val="20"/>
                <w:szCs w:val="20"/>
                <w:color w:val="auto"/>
              </w:rPr>
            </w:pPr>
            <w:r>
              <w:rPr>
                <w:rFonts w:ascii="Arial" w:cs="Arial" w:eastAsia="Arial" w:hAnsi="Arial"/>
                <w:sz w:val="18"/>
                <w:szCs w:val="18"/>
                <w:color w:val="auto"/>
                <w:w w:val="89"/>
              </w:rPr>
              <w:t>Certification by Rex S. Schuette, Executive Vice President and Chief Financial Officer of United Community Banks, Inc., as adopted pursuant to</w:t>
            </w:r>
          </w:p>
        </w:tc>
      </w:t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640" w:type="dxa"/>
            <w:vAlign w:val="bottom"/>
            <w:gridSpan w:val="3"/>
          </w:tcPr>
          <w:p>
            <w:pPr>
              <w:ind w:left="460"/>
              <w:spacing w:after="0"/>
              <w:rPr>
                <w:sz w:val="20"/>
                <w:szCs w:val="20"/>
                <w:color w:val="auto"/>
              </w:rPr>
            </w:pPr>
            <w:r>
              <w:rPr>
                <w:rFonts w:ascii="Arial" w:cs="Arial" w:eastAsia="Arial" w:hAnsi="Arial"/>
                <w:sz w:val="18"/>
                <w:szCs w:val="18"/>
                <w:color w:val="auto"/>
              </w:rPr>
              <w:t>Section 302 of the Sarbanes-Oxley Act of 2002.</w:t>
            </w:r>
          </w:p>
        </w:tc>
      </w:tr>
      <w:tr>
        <w:trPr>
          <w:trHeight w:val="324"/>
        </w:trPr>
        <w:tc>
          <w:tcPr>
            <w:tcW w:w="700" w:type="dxa"/>
            <w:vAlign w:val="bottom"/>
            <w:gridSpan w:val="2"/>
          </w:tcPr>
          <w:p>
            <w:pPr>
              <w:ind w:left="100"/>
              <w:spacing w:after="0"/>
              <w:rPr>
                <w:sz w:val="20"/>
                <w:szCs w:val="20"/>
                <w:color w:val="auto"/>
              </w:rPr>
            </w:pPr>
            <w:r>
              <w:rPr>
                <w:rFonts w:ascii="Arial" w:cs="Arial" w:eastAsia="Arial" w:hAnsi="Arial"/>
                <w:sz w:val="18"/>
                <w:szCs w:val="18"/>
                <w:color w:val="auto"/>
              </w:rPr>
              <w:t>32</w:t>
            </w:r>
          </w:p>
        </w:tc>
        <w:tc>
          <w:tcPr>
            <w:tcW w:w="10640" w:type="dxa"/>
            <w:vAlign w:val="bottom"/>
            <w:gridSpan w:val="3"/>
          </w:tcPr>
          <w:p>
            <w:pPr>
              <w:ind w:left="460"/>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tc>
      </w:tr>
      <w:tr>
        <w:trPr>
          <w:trHeight w:val="324"/>
        </w:trPr>
        <w:tc>
          <w:tcPr>
            <w:tcW w:w="70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640" w:type="dxa"/>
            <w:vAlign w:val="bottom"/>
            <w:gridSpan w:val="3"/>
          </w:tcPr>
          <w:p>
            <w:pPr>
              <w:ind w:left="460"/>
              <w:spacing w:after="0"/>
              <w:rPr>
                <w:sz w:val="20"/>
                <w:szCs w:val="20"/>
                <w:color w:val="auto"/>
              </w:rPr>
            </w:pPr>
            <w:r>
              <w:rPr>
                <w:rFonts w:ascii="Arial" w:cs="Arial" w:eastAsia="Arial" w:hAnsi="Arial"/>
                <w:sz w:val="18"/>
                <w:szCs w:val="18"/>
                <w:color w:val="auto"/>
              </w:rPr>
              <w:t>XBRL Instance Document</w:t>
            </w:r>
          </w:p>
        </w:tc>
      </w:tr>
      <w:tr>
        <w:trPr>
          <w:trHeight w:val="324"/>
        </w:trPr>
        <w:tc>
          <w:tcPr>
            <w:tcW w:w="700" w:type="dxa"/>
            <w:vAlign w:val="bottom"/>
            <w:gridSpan w:val="2"/>
          </w:tcPr>
          <w:p>
            <w:pPr>
              <w:spacing w:after="0"/>
              <w:rPr>
                <w:sz w:val="20"/>
                <w:szCs w:val="20"/>
                <w:color w:val="auto"/>
              </w:rPr>
            </w:pPr>
            <w:r>
              <w:rPr>
                <w:rFonts w:ascii="Arial" w:cs="Arial" w:eastAsia="Arial" w:hAnsi="Arial"/>
                <w:sz w:val="18"/>
                <w:szCs w:val="18"/>
                <w:color w:val="auto"/>
                <w:w w:val="93"/>
              </w:rPr>
              <w:t>101.SCH</w:t>
            </w:r>
          </w:p>
        </w:tc>
        <w:tc>
          <w:tcPr>
            <w:tcW w:w="10640" w:type="dxa"/>
            <w:vAlign w:val="bottom"/>
            <w:gridSpan w:val="3"/>
          </w:tcPr>
          <w:p>
            <w:pPr>
              <w:ind w:left="460"/>
              <w:spacing w:after="0"/>
              <w:rPr>
                <w:sz w:val="20"/>
                <w:szCs w:val="20"/>
                <w:color w:val="auto"/>
              </w:rPr>
            </w:pPr>
            <w:r>
              <w:rPr>
                <w:rFonts w:ascii="Arial" w:cs="Arial" w:eastAsia="Arial" w:hAnsi="Arial"/>
                <w:sz w:val="18"/>
                <w:szCs w:val="18"/>
                <w:color w:val="auto"/>
              </w:rPr>
              <w:t>XBRL Taxonomy Extension Schema Document</w:t>
            </w:r>
          </w:p>
        </w:tc>
      </w:tr>
      <w:tr>
        <w:trPr>
          <w:trHeight w:val="324"/>
        </w:trPr>
        <w:tc>
          <w:tcPr>
            <w:tcW w:w="700" w:type="dxa"/>
            <w:vAlign w:val="bottom"/>
            <w:gridSpan w:val="2"/>
          </w:tcPr>
          <w:p>
            <w:pPr>
              <w:spacing w:after="0"/>
              <w:rPr>
                <w:sz w:val="20"/>
                <w:szCs w:val="20"/>
                <w:color w:val="auto"/>
              </w:rPr>
            </w:pPr>
            <w:r>
              <w:rPr>
                <w:rFonts w:ascii="Arial" w:cs="Arial" w:eastAsia="Arial" w:hAnsi="Arial"/>
                <w:sz w:val="18"/>
                <w:szCs w:val="18"/>
                <w:color w:val="auto"/>
                <w:w w:val="97"/>
              </w:rPr>
              <w:t>101.CAL</w:t>
            </w:r>
          </w:p>
        </w:tc>
        <w:tc>
          <w:tcPr>
            <w:tcW w:w="10640" w:type="dxa"/>
            <w:vAlign w:val="bottom"/>
            <w:gridSpan w:val="3"/>
          </w:tcPr>
          <w:p>
            <w:pPr>
              <w:ind w:left="460"/>
              <w:spacing w:after="0"/>
              <w:rPr>
                <w:sz w:val="20"/>
                <w:szCs w:val="20"/>
                <w:color w:val="auto"/>
              </w:rPr>
            </w:pPr>
            <w:r>
              <w:rPr>
                <w:rFonts w:ascii="Arial" w:cs="Arial" w:eastAsia="Arial" w:hAnsi="Arial"/>
                <w:sz w:val="18"/>
                <w:szCs w:val="18"/>
                <w:color w:val="auto"/>
              </w:rPr>
              <w:t>XBRL Taxonomy Extension Calculation Linkbase Document</w:t>
            </w:r>
          </w:p>
        </w:tc>
      </w:tr>
      <w:tr>
        <w:trPr>
          <w:trHeight w:val="324"/>
        </w:trPr>
        <w:tc>
          <w:tcPr>
            <w:tcW w:w="700" w:type="dxa"/>
            <w:vAlign w:val="bottom"/>
            <w:gridSpan w:val="2"/>
          </w:tcPr>
          <w:p>
            <w:pPr>
              <w:spacing w:after="0"/>
              <w:rPr>
                <w:sz w:val="20"/>
                <w:szCs w:val="20"/>
                <w:color w:val="auto"/>
              </w:rPr>
            </w:pPr>
            <w:r>
              <w:rPr>
                <w:rFonts w:ascii="Arial" w:cs="Arial" w:eastAsia="Arial" w:hAnsi="Arial"/>
                <w:sz w:val="18"/>
                <w:szCs w:val="18"/>
                <w:color w:val="auto"/>
                <w:w w:val="95"/>
              </w:rPr>
              <w:t>101.DEF</w:t>
            </w:r>
          </w:p>
        </w:tc>
        <w:tc>
          <w:tcPr>
            <w:tcW w:w="10640" w:type="dxa"/>
            <w:vAlign w:val="bottom"/>
            <w:gridSpan w:val="3"/>
          </w:tcPr>
          <w:p>
            <w:pPr>
              <w:ind w:left="460"/>
              <w:spacing w:after="0"/>
              <w:rPr>
                <w:sz w:val="20"/>
                <w:szCs w:val="20"/>
                <w:color w:val="auto"/>
              </w:rPr>
            </w:pPr>
            <w:r>
              <w:rPr>
                <w:rFonts w:ascii="Arial" w:cs="Arial" w:eastAsia="Arial" w:hAnsi="Arial"/>
                <w:sz w:val="18"/>
                <w:szCs w:val="18"/>
                <w:color w:val="auto"/>
              </w:rPr>
              <w:t>XBRL Taxonomy Extension Definition Linkbase Document</w:t>
            </w:r>
          </w:p>
        </w:tc>
      </w:tr>
      <w:tr>
        <w:trPr>
          <w:trHeight w:val="324"/>
        </w:trPr>
        <w:tc>
          <w:tcPr>
            <w:tcW w:w="700" w:type="dxa"/>
            <w:vAlign w:val="bottom"/>
            <w:gridSpan w:val="2"/>
          </w:tcPr>
          <w:p>
            <w:pPr>
              <w:spacing w:after="0"/>
              <w:rPr>
                <w:sz w:val="20"/>
                <w:szCs w:val="20"/>
                <w:color w:val="auto"/>
              </w:rPr>
            </w:pPr>
            <w:r>
              <w:rPr>
                <w:rFonts w:ascii="Arial" w:cs="Arial" w:eastAsia="Arial" w:hAnsi="Arial"/>
                <w:sz w:val="18"/>
                <w:szCs w:val="18"/>
                <w:color w:val="auto"/>
                <w:w w:val="98"/>
              </w:rPr>
              <w:t>101.LAB</w:t>
            </w:r>
          </w:p>
        </w:tc>
        <w:tc>
          <w:tcPr>
            <w:tcW w:w="10640" w:type="dxa"/>
            <w:vAlign w:val="bottom"/>
            <w:gridSpan w:val="3"/>
          </w:tcPr>
          <w:p>
            <w:pPr>
              <w:ind w:left="460"/>
              <w:spacing w:after="0"/>
              <w:rPr>
                <w:sz w:val="20"/>
                <w:szCs w:val="20"/>
                <w:color w:val="auto"/>
              </w:rPr>
            </w:pPr>
            <w:r>
              <w:rPr>
                <w:rFonts w:ascii="Arial" w:cs="Arial" w:eastAsia="Arial" w:hAnsi="Arial"/>
                <w:sz w:val="18"/>
                <w:szCs w:val="18"/>
                <w:color w:val="auto"/>
              </w:rPr>
              <w:t>XBRL Taxonomy Extension Label Linkbase Document</w:t>
            </w:r>
          </w:p>
        </w:tc>
      </w:tr>
      <w:tr>
        <w:trPr>
          <w:trHeight w:val="324"/>
        </w:trPr>
        <w:tc>
          <w:tcPr>
            <w:tcW w:w="700" w:type="dxa"/>
            <w:vAlign w:val="bottom"/>
            <w:gridSpan w:val="2"/>
          </w:tcPr>
          <w:p>
            <w:pPr>
              <w:spacing w:after="0"/>
              <w:rPr>
                <w:sz w:val="20"/>
                <w:szCs w:val="20"/>
                <w:color w:val="auto"/>
              </w:rPr>
            </w:pPr>
            <w:r>
              <w:rPr>
                <w:rFonts w:ascii="Arial" w:cs="Arial" w:eastAsia="Arial" w:hAnsi="Arial"/>
                <w:sz w:val="18"/>
                <w:szCs w:val="18"/>
                <w:color w:val="auto"/>
                <w:w w:val="94"/>
              </w:rPr>
              <w:t>101.PRE</w:t>
            </w:r>
          </w:p>
        </w:tc>
        <w:tc>
          <w:tcPr>
            <w:tcW w:w="10640" w:type="dxa"/>
            <w:vAlign w:val="bottom"/>
            <w:gridSpan w:val="3"/>
          </w:tcPr>
          <w:p>
            <w:pPr>
              <w:ind w:left="46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365"/>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60" w:type="dxa"/>
            <w:vAlign w:val="bottom"/>
          </w:tcPr>
          <w:p>
            <w:pPr>
              <w:ind w:left="4920"/>
              <w:spacing w:after="0"/>
              <w:rPr>
                <w:sz w:val="20"/>
                <w:szCs w:val="20"/>
                <w:color w:val="auto"/>
              </w:rPr>
            </w:pPr>
            <w:r>
              <w:rPr>
                <w:rFonts w:ascii="Arial" w:cs="Arial" w:eastAsia="Arial" w:hAnsi="Arial"/>
                <w:sz w:val="18"/>
                <w:szCs w:val="18"/>
                <w:color w:val="auto"/>
              </w:rPr>
              <w:t>56</w:t>
            </w:r>
          </w:p>
        </w:tc>
        <w:tc>
          <w:tcPr>
            <w:tcW w:w="660" w:type="dxa"/>
            <w:vAlign w:val="bottom"/>
          </w:tcPr>
          <w:p>
            <w:pPr>
              <w:spacing w:after="0"/>
              <w:rPr>
                <w:sz w:val="24"/>
                <w:szCs w:val="24"/>
                <w:color w:val="auto"/>
              </w:rPr>
            </w:pPr>
          </w:p>
        </w:tc>
        <w:tc>
          <w:tcPr>
            <w:tcW w:w="4720" w:type="dxa"/>
            <w:vAlign w:val="bottom"/>
          </w:tcPr>
          <w:p>
            <w:pPr>
              <w:spacing w:after="0"/>
              <w:rPr>
                <w:sz w:val="24"/>
                <w:szCs w:val="24"/>
                <w:color w:val="auto"/>
              </w:rPr>
            </w:pPr>
          </w:p>
        </w:tc>
      </w:tr>
    </w:tbl>
    <w:p>
      <w:pPr>
        <w:sectPr>
          <w:pgSz w:w="11900" w:h="16838" w:orient="portrait"/>
          <w:cols w:equalWidth="0" w:num="1">
            <w:col w:w="11340"/>
          </w:cols>
          <w:pgMar w:left="240" w:top="459" w:right="31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UNITED COMMUNITY BANKS, INC.</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b w:val="1"/>
          <w:bCs w:val="1"/>
          <w:i w:val="1"/>
          <w:iCs w:val="1"/>
          <w:color w:val="auto"/>
        </w:rPr>
        <w:t>/s/ Jimmy C. Tallent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Jimmy C. Tallent</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b w:val="1"/>
          <w:bCs w:val="1"/>
          <w:i w:val="1"/>
          <w:iCs w:val="1"/>
          <w:color w:val="auto"/>
        </w:rPr>
        <w:t>/s/ Rex S. Schuette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Rex S. Schuette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Executive Vice President and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b w:val="1"/>
          <w:bCs w:val="1"/>
          <w:i w:val="1"/>
          <w:iCs w:val="1"/>
          <w:color w:val="auto"/>
        </w:rPr>
        <w:t>/s/ Alan H. Kumler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Alan H. Kumler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Senior Vice President and Controller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Accounting Officer)</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November 7, 2012</w:t>
      </w:r>
    </w:p>
    <w:p>
      <w:pPr>
        <w:spacing w:after="0" w:line="158"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060"/>
          </w:cols>
          <w:pgMar w:left="240" w:top="459" w:right="59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31.1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Jimmy C. Tallent, certify that:</w:t>
      </w:r>
    </w:p>
    <w:p>
      <w:pPr>
        <w:spacing w:after="0" w:line="171" w:lineRule="exact"/>
        <w:rPr>
          <w:sz w:val="20"/>
          <w:szCs w:val="20"/>
          <w:color w:val="auto"/>
        </w:rPr>
      </w:pPr>
    </w:p>
    <w:p>
      <w:pPr>
        <w:ind w:left="180" w:hanging="172"/>
        <w:spacing w:after="0"/>
        <w:tabs>
          <w:tab w:leader="none" w:pos="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United Community Banks, Inc. (the “Registrant”);</w:t>
      </w:r>
    </w:p>
    <w:p>
      <w:pPr>
        <w:spacing w:after="0" w:line="171" w:lineRule="exact"/>
        <w:rPr>
          <w:rFonts w:ascii="Arial" w:cs="Arial" w:eastAsia="Arial" w:hAnsi="Arial"/>
          <w:sz w:val="18"/>
          <w:szCs w:val="18"/>
          <w:color w:val="auto"/>
        </w:rPr>
      </w:pPr>
    </w:p>
    <w:p>
      <w:pPr>
        <w:ind w:right="240" w:firstLine="8"/>
        <w:spacing w:after="0" w:line="332" w:lineRule="auto"/>
        <w:tabs>
          <w:tab w:leader="none" w:pos="176"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Arial" w:cs="Arial" w:eastAsia="Arial" w:hAnsi="Arial"/>
          <w:sz w:val="16"/>
          <w:szCs w:val="16"/>
          <w:color w:val="auto"/>
        </w:rPr>
      </w:pPr>
    </w:p>
    <w:p>
      <w:pPr>
        <w:ind w:right="320" w:firstLine="8"/>
        <w:spacing w:after="0" w:line="268" w:lineRule="auto"/>
        <w:tabs>
          <w:tab w:leader="none" w:pos="176"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8"/>
          <w:szCs w:val="18"/>
          <w:color w:val="auto"/>
        </w:rPr>
      </w:pPr>
    </w:p>
    <w:p>
      <w:pPr>
        <w:jc w:val="both"/>
        <w:ind w:right="120" w:firstLine="8"/>
        <w:spacing w:after="0" w:line="259" w:lineRule="auto"/>
        <w:tabs>
          <w:tab w:leader="none" w:pos="176"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59" w:lineRule="exact"/>
        <w:rPr>
          <w:rFonts w:ascii="Arial" w:cs="Arial" w:eastAsia="Arial" w:hAnsi="Arial"/>
          <w:sz w:val="18"/>
          <w:szCs w:val="18"/>
          <w:color w:val="auto"/>
        </w:rPr>
      </w:pPr>
    </w:p>
    <w:p>
      <w:pPr>
        <w:ind w:left="460" w:firstLine="4"/>
        <w:spacing w:after="0" w:line="259" w:lineRule="auto"/>
        <w:tabs>
          <w:tab w:leader="none" w:pos="6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jc w:val="both"/>
        <w:ind w:left="460" w:right="80" w:firstLine="4"/>
        <w:spacing w:after="0" w:line="259" w:lineRule="auto"/>
        <w:tabs>
          <w:tab w:leader="none" w:pos="65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460" w:right="160" w:firstLine="4"/>
        <w:spacing w:after="0" w:line="332" w:lineRule="auto"/>
        <w:tabs>
          <w:tab w:leader="none" w:pos="640"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460" w:right="380" w:firstLine="4"/>
        <w:spacing w:after="0" w:line="332" w:lineRule="auto"/>
        <w:tabs>
          <w:tab w:leader="none" w:pos="650" w:val="left"/>
        </w:tabs>
        <w:numPr>
          <w:ilvl w:val="1"/>
          <w:numId w:val="1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85" w:lineRule="exact"/>
        <w:rPr>
          <w:rFonts w:ascii="Arial" w:cs="Arial" w:eastAsia="Arial" w:hAnsi="Arial"/>
          <w:sz w:val="16"/>
          <w:szCs w:val="16"/>
          <w:color w:val="auto"/>
        </w:rPr>
      </w:pPr>
    </w:p>
    <w:p>
      <w:pPr>
        <w:ind w:right="80" w:firstLine="8"/>
        <w:spacing w:after="0" w:line="268" w:lineRule="auto"/>
        <w:tabs>
          <w:tab w:leader="none" w:pos="176"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50" w:lineRule="exact"/>
        <w:rPr>
          <w:rFonts w:ascii="Arial" w:cs="Arial" w:eastAsia="Arial" w:hAnsi="Arial"/>
          <w:sz w:val="18"/>
          <w:szCs w:val="18"/>
          <w:color w:val="auto"/>
        </w:rPr>
      </w:pPr>
    </w:p>
    <w:p>
      <w:pPr>
        <w:ind w:left="460" w:right="100" w:firstLine="4"/>
        <w:spacing w:after="0" w:line="268" w:lineRule="auto"/>
        <w:tabs>
          <w:tab w:leader="none" w:pos="6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320" w:firstLine="4"/>
        <w:spacing w:after="0" w:line="268" w:lineRule="auto"/>
        <w:tabs>
          <w:tab w:leader="none" w:pos="65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i w:val="1"/>
          <w:iCs w:val="1"/>
          <w:color w:val="auto"/>
        </w:rPr>
        <w:t>/s/ Jimmy C. Tallent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Jimmy C. Tallent</w:t>
      </w:r>
    </w:p>
    <w:p>
      <w:pPr>
        <w:spacing w:after="0" w:line="15"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of the Registrant</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November 7, 2012</w:t>
      </w:r>
    </w:p>
    <w:p>
      <w:pPr>
        <w:sectPr>
          <w:pgSz w:w="11900" w:h="16838" w:orient="portrait"/>
          <w:cols w:equalWidth="0" w:num="1">
            <w:col w:w="11420"/>
          </w:cols>
          <w:pgMar w:left="240" w:top="125"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31.2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Rex S. Schuette, certify that:</w:t>
      </w:r>
    </w:p>
    <w:p>
      <w:pPr>
        <w:spacing w:after="0" w:line="171" w:lineRule="exact"/>
        <w:rPr>
          <w:sz w:val="20"/>
          <w:szCs w:val="20"/>
          <w:color w:val="auto"/>
        </w:rPr>
      </w:pPr>
    </w:p>
    <w:p>
      <w:pPr>
        <w:ind w:left="180" w:hanging="172"/>
        <w:spacing w:after="0"/>
        <w:tabs>
          <w:tab w:leader="none" w:pos="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United Community Banks, Inc. (the “Registrant”);</w:t>
      </w:r>
    </w:p>
    <w:p>
      <w:pPr>
        <w:spacing w:after="0" w:line="171" w:lineRule="exact"/>
        <w:rPr>
          <w:rFonts w:ascii="Arial" w:cs="Arial" w:eastAsia="Arial" w:hAnsi="Arial"/>
          <w:sz w:val="18"/>
          <w:szCs w:val="18"/>
          <w:color w:val="auto"/>
        </w:rPr>
      </w:pPr>
    </w:p>
    <w:p>
      <w:pPr>
        <w:ind w:right="240" w:firstLine="8"/>
        <w:spacing w:after="0" w:line="332" w:lineRule="auto"/>
        <w:tabs>
          <w:tab w:leader="none" w:pos="176"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Arial" w:cs="Arial" w:eastAsia="Arial" w:hAnsi="Arial"/>
          <w:sz w:val="16"/>
          <w:szCs w:val="16"/>
          <w:color w:val="auto"/>
        </w:rPr>
      </w:pPr>
    </w:p>
    <w:p>
      <w:pPr>
        <w:ind w:right="320" w:firstLine="8"/>
        <w:spacing w:after="0" w:line="268" w:lineRule="auto"/>
        <w:tabs>
          <w:tab w:leader="none" w:pos="176"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8"/>
          <w:szCs w:val="18"/>
          <w:color w:val="auto"/>
        </w:rPr>
      </w:pPr>
    </w:p>
    <w:p>
      <w:pPr>
        <w:jc w:val="both"/>
        <w:ind w:right="120" w:firstLine="8"/>
        <w:spacing w:after="0" w:line="259" w:lineRule="auto"/>
        <w:tabs>
          <w:tab w:leader="none" w:pos="176"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59" w:lineRule="exact"/>
        <w:rPr>
          <w:rFonts w:ascii="Arial" w:cs="Arial" w:eastAsia="Arial" w:hAnsi="Arial"/>
          <w:sz w:val="18"/>
          <w:szCs w:val="18"/>
          <w:color w:val="auto"/>
        </w:rPr>
      </w:pPr>
    </w:p>
    <w:p>
      <w:pPr>
        <w:ind w:left="460" w:firstLine="4"/>
        <w:spacing w:after="0" w:line="259" w:lineRule="auto"/>
        <w:tabs>
          <w:tab w:leader="none" w:pos="6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jc w:val="both"/>
        <w:ind w:left="460" w:right="80" w:firstLine="4"/>
        <w:spacing w:after="0" w:line="259" w:lineRule="auto"/>
        <w:tabs>
          <w:tab w:leader="none" w:pos="65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460" w:right="160" w:firstLine="4"/>
        <w:spacing w:after="0" w:line="332" w:lineRule="auto"/>
        <w:tabs>
          <w:tab w:leader="none" w:pos="640"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460" w:right="380" w:firstLine="4"/>
        <w:spacing w:after="0" w:line="332" w:lineRule="auto"/>
        <w:tabs>
          <w:tab w:leader="none" w:pos="650" w:val="left"/>
        </w:tabs>
        <w:numPr>
          <w:ilvl w:val="1"/>
          <w:numId w:val="2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85" w:lineRule="exact"/>
        <w:rPr>
          <w:rFonts w:ascii="Arial" w:cs="Arial" w:eastAsia="Arial" w:hAnsi="Arial"/>
          <w:sz w:val="16"/>
          <w:szCs w:val="16"/>
          <w:color w:val="auto"/>
        </w:rPr>
      </w:pPr>
    </w:p>
    <w:p>
      <w:pPr>
        <w:ind w:right="80" w:firstLine="8"/>
        <w:spacing w:after="0" w:line="268" w:lineRule="auto"/>
        <w:tabs>
          <w:tab w:leader="none" w:pos="176"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50" w:lineRule="exact"/>
        <w:rPr>
          <w:rFonts w:ascii="Arial" w:cs="Arial" w:eastAsia="Arial" w:hAnsi="Arial"/>
          <w:sz w:val="18"/>
          <w:szCs w:val="18"/>
          <w:color w:val="auto"/>
        </w:rPr>
      </w:pPr>
    </w:p>
    <w:p>
      <w:pPr>
        <w:ind w:left="460" w:right="100" w:firstLine="4"/>
        <w:spacing w:after="0" w:line="268" w:lineRule="auto"/>
        <w:tabs>
          <w:tab w:leader="none" w:pos="6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320" w:firstLine="4"/>
        <w:spacing w:after="0" w:line="268" w:lineRule="auto"/>
        <w:tabs>
          <w:tab w:leader="none" w:pos="65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i w:val="1"/>
          <w:iCs w:val="1"/>
          <w:color w:val="auto"/>
        </w:rPr>
        <w:t>/s/ Rex S. Schuette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Rex S. Schuette</w:t>
      </w:r>
    </w:p>
    <w:p>
      <w:pPr>
        <w:spacing w:after="0" w:line="15"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of the Registrant</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November 7, 2012</w:t>
      </w:r>
    </w:p>
    <w:p>
      <w:pPr>
        <w:sectPr>
          <w:pgSz w:w="11900" w:h="16838" w:orient="portrait"/>
          <w:cols w:equalWidth="0" w:num="1">
            <w:col w:w="11420"/>
          </w:cols>
          <w:pgMar w:left="240" w:top="125"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In connection with the Quarterly Report of United Community Banks, Inc. (“United”) on Form 10-Q for the period ending September 30, 2012 filed with the Securities and Exchange Commission on the date hereof (the “Report”), I, Jimmy C. Tallent, President and Chief Executive Officer of United, and I, Rex S. Schuette, Executive Vice President and Chief Financial Officer of United, certify, pursuant to 18 U.S.C. Section 1350, as adopted pursuant to Section 906 of the Sarbanes-Oxley Act of 2002, that:</w:t>
      </w:r>
    </w:p>
    <w:p>
      <w:pPr>
        <w:spacing w:after="0" w:line="62"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United.</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i w:val="1"/>
          <w:iCs w:val="1"/>
          <w:color w:val="auto"/>
        </w:rPr>
        <w:t>/s/ Jimmy C. Tallent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Jimmy C. Tallent</w:t>
      </w:r>
    </w:p>
    <w:p>
      <w:pPr>
        <w:spacing w:after="0" w:line="15"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President and Chief Executive Officer</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i w:val="1"/>
          <w:iCs w:val="1"/>
          <w:color w:val="auto"/>
        </w:rPr>
        <w:t>/s/ Rex S. Schuette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Rex S. Schuette</w:t>
      </w:r>
    </w:p>
    <w:p>
      <w:pPr>
        <w:spacing w:after="0" w:line="15"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Executive Vice President and</w:t>
      </w:r>
    </w:p>
    <w:p>
      <w:pPr>
        <w:spacing w:after="0" w:line="9"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Chief Financial Officer</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November 7, 2012</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1)"/>
      <w:numFmt w:val="decimal"/>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1)"/>
      <w:numFmt w:val="decimal"/>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1)"/>
      <w:numFmt w:val="decimal"/>
      <w:start w:val="1"/>
    </w:lvl>
  </w:abstractNum>
  <w:abstractNum w:abstractNumId="8">
    <w:nsid w:val="1BEFD79F"/>
    <w:multiLevelType w:val="hybridMultilevel"/>
    <w:lvl w:ilvl="0">
      <w:lvlJc w:val="left"/>
      <w:lvlText w:val="(%1)"/>
      <w:numFmt w:val="decimal"/>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1)"/>
      <w:numFmt w:val="decimal"/>
      <w:start w:val="1"/>
    </w:lvl>
  </w:abstractNum>
  <w:abstractNum w:abstractNumId="11">
    <w:nsid w:val="4E6AFB66"/>
    <w:multiLevelType w:val="hybridMultilevel"/>
    <w:lvl w:ilvl="0">
      <w:lvlJc w:val="left"/>
      <w:lvlText w:val="(%1)"/>
      <w:numFmt w:val="decimal"/>
      <w:start w:val="1"/>
    </w:lvl>
  </w:abstractNum>
  <w:abstractNum w:abstractNumId="12">
    <w:nsid w:val="25E45D32"/>
    <w:multiLevelType w:val="hybridMultilevel"/>
    <w:lvl w:ilvl="0">
      <w:lvlJc w:val="left"/>
      <w:lvlText w:val="(%1)"/>
      <w:numFmt w:val="decimal"/>
      <w:start w:val="1"/>
    </w:lvl>
  </w:abstractNum>
  <w:abstractNum w:abstractNumId="13">
    <w:nsid w:val="519B500D"/>
    <w:multiLevelType w:val="hybridMultilevel"/>
    <w:lvl w:ilvl="0">
      <w:lvlJc w:val="left"/>
      <w:lvlText w:val="%1"/>
      <w:numFmt w:val="decimal"/>
      <w:start w:val="57"/>
    </w:lvl>
  </w:abstractNum>
  <w:abstractNum w:abstractNumId="14">
    <w:nsid w:val="431BD7B7"/>
    <w:multiLevelType w:val="hybridMultilevel"/>
    <w:lvl w:ilvl="0">
      <w:lvlJc w:val="left"/>
      <w:lvlText w:val="%1"/>
      <w:numFmt w:val="decimal"/>
      <w:start w:val="21"/>
    </w:lvl>
  </w:abstractNum>
  <w:abstractNum w:abstractNumId="15">
    <w:nsid w:val="3F2DBA31"/>
    <w:multiLevelType w:val="hybridMultilevel"/>
    <w:lvl w:ilvl="0">
      <w:lvlJc w:val="left"/>
      <w:lvlText w:val="%1"/>
      <w:numFmt w:val="decimal"/>
      <w:start w:val="104"/>
    </w:lvl>
  </w:abstractNum>
  <w:abstractNum w:abstractNumId="16">
    <w:nsid w:val="7C83E458"/>
    <w:multiLevelType w:val="hybridMultilevel"/>
    <w:lvl w:ilvl="0">
      <w:lvlJc w:val="left"/>
      <w:lvlText w:val="\emdash "/>
      <w:numFmt w:val="bullet"/>
      <w:start w:val="1"/>
    </w:lvl>
  </w:abstractNum>
  <w:abstractNum w:abstractNumId="17">
    <w:nsid w:val="257130A3"/>
    <w:multiLevelType w:val="hybridMultilevel"/>
    <w:lvl w:ilvl="0">
      <w:lvlJc w:val="left"/>
      <w:lvlText w:val="(%1)"/>
      <w:numFmt w:val="upperLetter"/>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lvl w:ilvl="1">
      <w:lvlJc w:val="left"/>
      <w:lvlText w:val="%2)"/>
      <w:numFmt w:val="lowerLetter"/>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2019-12-09T09:52:02Z</dcterms:created>
  <dcterms:modified xsi:type="dcterms:W3CDTF">2019-12-09T09:52:02Z</dcterms:modified>
</cp:coreProperties>
</file>