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460" w:right="17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2760"/>
        <w:spacing w:after="0"/>
        <w:tabs>
          <w:tab w:leader="none" w:pos="6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0-21656</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u w:val="single" w:color="auto"/>
          <w:color w:val="auto"/>
        </w:rPr>
        <w:t>UNITED COMMUNITY BANKS, INC.</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500" w:type="dxa"/>
            <w:vAlign w:val="bottom"/>
          </w:tcPr>
          <w:p>
            <w:pPr>
              <w:jc w:val="center"/>
              <w:ind w:left="830"/>
              <w:spacing w:after="0"/>
              <w:rPr>
                <w:sz w:val="20"/>
                <w:szCs w:val="20"/>
                <w:color w:val="auto"/>
              </w:rPr>
            </w:pPr>
            <w:r>
              <w:rPr>
                <w:rFonts w:ascii="Arial" w:cs="Arial" w:eastAsia="Arial" w:hAnsi="Arial"/>
                <w:sz w:val="18"/>
                <w:szCs w:val="18"/>
                <w:b w:val="1"/>
                <w:bCs w:val="1"/>
                <w:color w:val="auto"/>
                <w:w w:val="91"/>
              </w:rPr>
              <w:t>Georgia</w:t>
            </w:r>
          </w:p>
        </w:tc>
        <w:tc>
          <w:tcPr>
            <w:tcW w:w="5820" w:type="dxa"/>
            <w:vAlign w:val="bottom"/>
            <w:gridSpan w:val="5"/>
          </w:tcPr>
          <w:p>
            <w:pPr>
              <w:jc w:val="right"/>
              <w:ind w:right="1690"/>
              <w:spacing w:after="0"/>
              <w:rPr>
                <w:sz w:val="20"/>
                <w:szCs w:val="20"/>
                <w:color w:val="auto"/>
              </w:rPr>
            </w:pPr>
            <w:r>
              <w:rPr>
                <w:rFonts w:ascii="Arial" w:cs="Arial" w:eastAsia="Arial" w:hAnsi="Arial"/>
                <w:sz w:val="18"/>
                <w:szCs w:val="18"/>
                <w:b w:val="1"/>
                <w:bCs w:val="1"/>
                <w:color w:val="auto"/>
              </w:rPr>
              <w:t>58-1807304</w:t>
            </w:r>
          </w:p>
        </w:tc>
      </w:tr>
      <w:tr>
        <w:trPr>
          <w:trHeight w:val="228"/>
        </w:trPr>
        <w:tc>
          <w:tcPr>
            <w:tcW w:w="3500" w:type="dxa"/>
            <w:vAlign w:val="bottom"/>
            <w:tcBorders>
              <w:top w:val="single" w:sz="8" w:color="auto"/>
            </w:tcBorders>
          </w:tcPr>
          <w:p>
            <w:pPr>
              <w:jc w:val="center"/>
              <w:ind w:left="830"/>
              <w:spacing w:after="0"/>
              <w:rPr>
                <w:sz w:val="20"/>
                <w:szCs w:val="20"/>
                <w:color w:val="auto"/>
              </w:rPr>
            </w:pPr>
            <w:r>
              <w:rPr>
                <w:rFonts w:ascii="Arial" w:cs="Arial" w:eastAsia="Arial" w:hAnsi="Arial"/>
                <w:sz w:val="18"/>
                <w:szCs w:val="18"/>
                <w:b w:val="1"/>
                <w:bCs w:val="1"/>
                <w:color w:val="auto"/>
                <w:w w:val="91"/>
              </w:rPr>
              <w:t>(State of Incorporation)</w:t>
            </w: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8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09"/>
        </w:trPr>
        <w:tc>
          <w:tcPr>
            <w:tcW w:w="3500" w:type="dxa"/>
            <w:vAlign w:val="bottom"/>
          </w:tcPr>
          <w:p>
            <w:pPr>
              <w:jc w:val="center"/>
              <w:ind w:left="830"/>
              <w:spacing w:after="0"/>
              <w:rPr>
                <w:sz w:val="20"/>
                <w:szCs w:val="20"/>
                <w:color w:val="auto"/>
              </w:rPr>
            </w:pPr>
            <w:r>
              <w:rPr>
                <w:rFonts w:ascii="Arial" w:cs="Arial" w:eastAsia="Arial" w:hAnsi="Arial"/>
                <w:sz w:val="18"/>
                <w:szCs w:val="18"/>
                <w:b w:val="1"/>
                <w:bCs w:val="1"/>
                <w:color w:val="auto"/>
                <w:w w:val="90"/>
              </w:rPr>
              <w:t>63 Highway 515</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34"/>
        </w:trPr>
        <w:tc>
          <w:tcPr>
            <w:tcW w:w="3500" w:type="dxa"/>
            <w:vAlign w:val="bottom"/>
          </w:tcPr>
          <w:p>
            <w:pPr>
              <w:jc w:val="center"/>
              <w:ind w:left="830"/>
              <w:spacing w:after="0"/>
              <w:rPr>
                <w:sz w:val="20"/>
                <w:szCs w:val="20"/>
                <w:color w:val="auto"/>
              </w:rPr>
            </w:pPr>
            <w:r>
              <w:rPr>
                <w:rFonts w:ascii="Arial" w:cs="Arial" w:eastAsia="Arial" w:hAnsi="Arial"/>
                <w:sz w:val="18"/>
                <w:szCs w:val="18"/>
                <w:b w:val="1"/>
                <w:bCs w:val="1"/>
                <w:color w:val="auto"/>
                <w:w w:val="91"/>
              </w:rPr>
              <w:t>Blairsville, Georgia</w:t>
            </w:r>
          </w:p>
        </w:tc>
        <w:tc>
          <w:tcPr>
            <w:tcW w:w="5820" w:type="dxa"/>
            <w:vAlign w:val="bottom"/>
            <w:gridSpan w:val="5"/>
          </w:tcPr>
          <w:p>
            <w:pPr>
              <w:jc w:val="right"/>
              <w:ind w:right="1910"/>
              <w:spacing w:after="0"/>
              <w:rPr>
                <w:sz w:val="20"/>
                <w:szCs w:val="20"/>
                <w:color w:val="auto"/>
              </w:rPr>
            </w:pPr>
            <w:r>
              <w:rPr>
                <w:rFonts w:ascii="Arial" w:cs="Arial" w:eastAsia="Arial" w:hAnsi="Arial"/>
                <w:sz w:val="18"/>
                <w:szCs w:val="18"/>
                <w:b w:val="1"/>
                <w:bCs w:val="1"/>
                <w:color w:val="auto"/>
              </w:rPr>
              <w:t>30512</w:t>
            </w:r>
          </w:p>
        </w:tc>
      </w:tr>
      <w:tr>
        <w:trPr>
          <w:trHeight w:val="205"/>
        </w:trPr>
        <w:tc>
          <w:tcPr>
            <w:tcW w:w="3500" w:type="dxa"/>
            <w:vAlign w:val="bottom"/>
            <w:tcBorders>
              <w:top w:val="single" w:sz="8" w:color="auto"/>
            </w:tcBorders>
          </w:tcPr>
          <w:p>
            <w:pPr>
              <w:jc w:val="center"/>
              <w:ind w:left="790"/>
              <w:spacing w:after="0" w:line="205" w:lineRule="exact"/>
              <w:rPr>
                <w:sz w:val="20"/>
                <w:szCs w:val="20"/>
                <w:color w:val="auto"/>
              </w:rPr>
            </w:pPr>
            <w:r>
              <w:rPr>
                <w:rFonts w:ascii="Arial" w:cs="Arial" w:eastAsia="Arial" w:hAnsi="Arial"/>
                <w:sz w:val="18"/>
                <w:szCs w:val="18"/>
                <w:b w:val="1"/>
                <w:bCs w:val="1"/>
                <w:color w:val="auto"/>
                <w:w w:val="90"/>
              </w:rPr>
              <w:t>Address of Principal</w:t>
            </w:r>
          </w:p>
        </w:tc>
        <w:tc>
          <w:tcPr>
            <w:tcW w:w="3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jc w:val="center"/>
              <w:ind w:right="470"/>
              <w:spacing w:after="0" w:line="205" w:lineRule="exact"/>
              <w:rPr>
                <w:sz w:val="20"/>
                <w:szCs w:val="20"/>
                <w:color w:val="auto"/>
              </w:rPr>
            </w:pPr>
            <w:r>
              <w:rPr>
                <w:rFonts w:ascii="Arial" w:cs="Arial" w:eastAsia="Arial" w:hAnsi="Arial"/>
                <w:sz w:val="18"/>
                <w:szCs w:val="18"/>
                <w:b w:val="1"/>
                <w:bCs w:val="1"/>
                <w:color w:val="auto"/>
                <w:w w:val="94"/>
              </w:rPr>
              <w:t>(Zip Code)</w:t>
            </w:r>
          </w:p>
        </w:tc>
      </w:tr>
      <w:tr>
        <w:trPr>
          <w:trHeight w:val="234"/>
        </w:trPr>
        <w:tc>
          <w:tcPr>
            <w:tcW w:w="350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Executive Offices</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05"/>
        </w:trPr>
        <w:tc>
          <w:tcPr>
            <w:tcW w:w="3500" w:type="dxa"/>
            <w:vAlign w:val="bottom"/>
          </w:tcPr>
          <w:p>
            <w:pPr>
              <w:spacing w:after="0"/>
              <w:rPr>
                <w:sz w:val="24"/>
                <w:szCs w:val="24"/>
                <w:color w:val="auto"/>
              </w:rPr>
            </w:pPr>
          </w:p>
        </w:tc>
        <w:tc>
          <w:tcPr>
            <w:tcW w:w="19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(706) 781-2265</w:t>
            </w:r>
          </w:p>
        </w:tc>
        <w:tc>
          <w:tcPr>
            <w:tcW w:w="3880" w:type="dxa"/>
            <w:vAlign w:val="bottom"/>
          </w:tcPr>
          <w:p>
            <w:pPr>
              <w:spacing w:after="0"/>
              <w:rPr>
                <w:sz w:val="24"/>
                <w:szCs w:val="24"/>
                <w:color w:val="auto"/>
              </w:rPr>
            </w:pPr>
          </w:p>
        </w:tc>
      </w:tr>
      <w:tr>
        <w:trPr>
          <w:trHeight w:val="228"/>
        </w:trPr>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(Telephone Number)</w:t>
            </w:r>
          </w:p>
        </w:tc>
        <w:tc>
          <w:tcPr>
            <w:tcW w:w="3880" w:type="dxa"/>
            <w:vAlign w:val="bottom"/>
          </w:tcPr>
          <w:p>
            <w:pPr>
              <w:spacing w:after="0"/>
              <w:rPr>
                <w:sz w:val="19"/>
                <w:szCs w:val="19"/>
                <w:color w:val="auto"/>
              </w:rPr>
            </w:pPr>
          </w:p>
        </w:tc>
      </w:tr>
    </w:tbl>
    <w:p>
      <w:pPr>
        <w:spacing w:after="0" w:line="139"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7"/>
          <w:szCs w:val="17"/>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9" w:lineRule="exact"/>
        <w:rPr>
          <w:sz w:val="20"/>
          <w:szCs w:val="20"/>
          <w:color w:val="auto"/>
        </w:rPr>
      </w:pPr>
    </w:p>
    <w:p>
      <w:pPr>
        <w:jc w:val="center"/>
        <w:ind w:right="219"/>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o</w:t>
      </w:r>
    </w:p>
    <w:p>
      <w:pPr>
        <w:spacing w:after="0" w:line="227" w:lineRule="exact"/>
        <w:rPr>
          <w:sz w:val="20"/>
          <w:szCs w:val="20"/>
          <w:color w:val="auto"/>
        </w:rPr>
      </w:pPr>
    </w:p>
    <w:p>
      <w:pPr>
        <w:jc w:val="both"/>
        <w:ind w:left="340" w:right="559"/>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w:t>
      </w:r>
    </w:p>
    <w:p>
      <w:pPr>
        <w:sectPr>
          <w:pgSz w:w="11900" w:h="16838" w:orient="portrait"/>
          <w:cols w:equalWidth="0" w:num="1">
            <w:col w:w="10219"/>
          </w:cols>
          <w:pgMar w:left="240" w:top="122" w:right="1440" w:bottom="1440" w:gutter="0" w:footer="0" w:header="0"/>
        </w:sectPr>
      </w:pPr>
    </w:p>
    <w:p>
      <w:pPr>
        <w:spacing w:after="0" w:line="147"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Accelerated filer </w:t>
      </w:r>
      <w:r>
        <w:rPr>
          <w:rFonts w:ascii="Arial" w:cs="Arial" w:eastAsia="Arial" w:hAnsi="Arial"/>
          <w:sz w:val="16"/>
          <w:szCs w:val="16"/>
          <w:color w:val="auto"/>
        </w:rPr>
        <w:t>o</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Non-accelerated filer </w:t>
      </w:r>
      <w:r>
        <w:rPr>
          <w:rFonts w:ascii="Arial" w:cs="Arial" w:eastAsia="Arial" w:hAnsi="Arial"/>
          <w:sz w:val="18"/>
          <w:szCs w:val="18"/>
          <w:color w:val="auto"/>
        </w:rPr>
        <w: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Smaller Reporting Company </w:t>
      </w:r>
      <w:r>
        <w:rPr>
          <w:rFonts w:ascii="Arial" w:cs="Arial" w:eastAsia="Arial" w:hAnsi="Arial"/>
          <w:sz w:val="16"/>
          <w:szCs w:val="16"/>
          <w:color w:val="auto"/>
        </w:rPr>
        <w:t>o</w:t>
      </w:r>
    </w:p>
    <w:p>
      <w:pPr>
        <w:spacing w:after="0" w:line="423" w:lineRule="exact"/>
        <w:rPr>
          <w:sz w:val="20"/>
          <w:szCs w:val="20"/>
          <w:color w:val="auto"/>
        </w:rPr>
      </w:pPr>
    </w:p>
    <w:p>
      <w:pPr>
        <w:sectPr>
          <w:pgSz w:w="11900" w:h="16838" w:orient="portrait"/>
          <w:cols w:equalWidth="0" w:num="3">
            <w:col w:w="3760" w:space="60"/>
            <w:col w:w="3540" w:space="60"/>
            <w:col w:w="2799"/>
          </w:cols>
          <w:pgMar w:left="240" w:top="122" w:right="1440" w:bottom="1440" w:gutter="0" w:footer="0" w:header="0"/>
          <w:type w:val="continuous"/>
        </w:sectPr>
      </w:pPr>
    </w:p>
    <w:p>
      <w:pPr>
        <w:ind w:left="340"/>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Act).</w:t>
      </w:r>
    </w:p>
    <w:p>
      <w:pPr>
        <w:spacing w:after="0" w:line="179" w:lineRule="exact"/>
        <w:rPr>
          <w:sz w:val="20"/>
          <w:szCs w:val="20"/>
          <w:color w:val="auto"/>
        </w:rPr>
      </w:pPr>
    </w:p>
    <w:p>
      <w:pPr>
        <w:ind w:left="4500"/>
        <w:spacing w:after="0" w:line="207" w:lineRule="exact"/>
        <w:rPr>
          <w:sz w:val="20"/>
          <w:szCs w:val="20"/>
          <w:color w:val="auto"/>
        </w:rPr>
      </w:pPr>
      <w:r>
        <w:rPr>
          <w:rFonts w:ascii="Arial" w:cs="Arial" w:eastAsia="Arial" w:hAnsi="Arial"/>
          <w:sz w:val="18"/>
          <w:szCs w:val="18"/>
          <w:b w:val="1"/>
          <w:bCs w:val="1"/>
          <w:color w:val="auto"/>
        </w:rPr>
        <w:t xml:space="preserve">YES o NO </w:t>
      </w:r>
      <w:r>
        <w:rPr>
          <w:rFonts w:ascii="MS PGothic" w:cs="MS PGothic" w:eastAsia="MS PGothic" w:hAnsi="MS PGothic"/>
          <w:sz w:val="18"/>
          <w:szCs w:val="18"/>
          <w:color w:val="auto"/>
        </w:rPr>
        <w:t>☑</w:t>
      </w: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 par value $1 per share: 47,596,119 shares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outstanding as of 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125730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142875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809625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40" w:type="dxa"/>
            <w:vAlign w:val="bottom"/>
            <w:gridSpan w:val="28"/>
          </w:tcPr>
          <w:p>
            <w:pPr>
              <w:spacing w:after="0"/>
              <w:rPr>
                <w:sz w:val="20"/>
                <w:szCs w:val="20"/>
                <w:color w:val="auto"/>
              </w:rPr>
            </w:pPr>
            <w:r>
              <w:rPr>
                <w:rFonts w:ascii="Arial" w:cs="Arial" w:eastAsia="Arial" w:hAnsi="Arial"/>
                <w:sz w:val="18"/>
                <w:szCs w:val="18"/>
                <w:b w:val="1"/>
                <w:bCs w:val="1"/>
                <w:color w:val="auto"/>
              </w:rPr>
              <w:t>INDEX</w:t>
            </w:r>
          </w:p>
        </w:tc>
        <w:tc>
          <w:tcPr>
            <w:tcW w:w="800" w:type="dxa"/>
            <w:vAlign w:val="bottom"/>
          </w:tcPr>
          <w:p>
            <w:pPr>
              <w:spacing w:after="0"/>
              <w:rPr>
                <w:sz w:val="20"/>
                <w:szCs w:val="20"/>
                <w:color w:val="auto"/>
              </w:rPr>
            </w:pPr>
          </w:p>
        </w:tc>
      </w:tr>
      <w:tr>
        <w:trPr>
          <w:trHeight w:val="392"/>
        </w:trPr>
        <w:tc>
          <w:tcPr>
            <w:tcW w:w="2560" w:type="dxa"/>
            <w:vAlign w:val="bottom"/>
            <w:tcBorders>
              <w:bottom w:val="single" w:sz="8" w:color="0000EE"/>
            </w:tcBorders>
            <w:gridSpan w:val="13"/>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 Financial Information</w:t>
              </w:r>
            </w:hyperlink>
          </w:p>
        </w:tc>
        <w:tc>
          <w:tcPr>
            <w:tcW w:w="5880" w:type="dxa"/>
            <w:vAlign w:val="bottom"/>
            <w:gridSpan w:val="15"/>
          </w:tcPr>
          <w:p>
            <w:pPr>
              <w:spacing w:after="0"/>
              <w:rPr>
                <w:sz w:val="24"/>
                <w:szCs w:val="24"/>
                <w:color w:val="auto"/>
              </w:rPr>
            </w:pPr>
          </w:p>
        </w:tc>
        <w:tc>
          <w:tcPr>
            <w:tcW w:w="80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40" w:type="dxa"/>
            <w:vAlign w:val="bottom"/>
            <w:gridSpan w:val="26"/>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80" w:type="dxa"/>
            <w:vAlign w:val="bottom"/>
            <w:tcBorders>
              <w:bottom w:val="single" w:sz="8" w:color="0000EE"/>
            </w:tcBorders>
            <w:gridSpan w:val="20"/>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Consolidated Statement of Income (unaudited) for the Three and Nine Months Ended</w:t>
              </w:r>
            </w:hyperlink>
          </w:p>
        </w:tc>
        <w:tc>
          <w:tcPr>
            <w:tcW w:w="146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gridSpan w:val="24"/>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September 30, 2008 and 2007</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40" w:type="dxa"/>
            <w:vAlign w:val="bottom"/>
            <w:tcBorders>
              <w:bottom w:val="single" w:sz="8" w:color="0000EE"/>
            </w:tcBorders>
            <w:gridSpan w:val="24"/>
          </w:tcPr>
          <w:p>
            <w:pPr>
              <w:spacing w:after="0"/>
              <w:rPr>
                <w:rFonts w:ascii="Arial" w:cs="Arial" w:eastAsia="Arial" w:hAnsi="Arial"/>
                <w:sz w:val="18"/>
                <w:szCs w:val="18"/>
                <w:b w:val="1"/>
                <w:bCs w:val="1"/>
                <w:color w:val="0000EE"/>
                <w:w w:val="89"/>
              </w:rPr>
            </w:pPr>
            <w:hyperlink w:anchor="page6">
              <w:r>
                <w:rPr>
                  <w:rFonts w:ascii="Arial" w:cs="Arial" w:eastAsia="Arial" w:hAnsi="Arial"/>
                  <w:sz w:val="18"/>
                  <w:szCs w:val="18"/>
                  <w:b w:val="1"/>
                  <w:bCs w:val="1"/>
                  <w:color w:val="0000EE"/>
                  <w:w w:val="89"/>
                </w:rPr>
                <w:t>Consolidated Balance Sheet at September 30, 2008 (unaudited), December 31, 2007 (audited) and</w:t>
              </w:r>
            </w:hyperlink>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gridSpan w:val="24"/>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September 30, 2007 (unaudited)</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gridSpan w:val="25"/>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Consolidated Statement of Changes in Shareholders’ Equity (unaudited) for the Nine Months</w:t>
              </w:r>
            </w:hyperlink>
          </w:p>
        </w:tc>
        <w:tc>
          <w:tcPr>
            <w:tcW w:w="8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960" w:type="dxa"/>
            <w:vAlign w:val="bottom"/>
            <w:tcBorders>
              <w:top w:val="single" w:sz="8" w:color="0000EE"/>
            </w:tcBorders>
            <w:gridSpan w:val="20"/>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Ended September 30, 2008 and 2007</w:t>
              </w:r>
            </w:hyperlink>
          </w:p>
        </w:tc>
        <w:tc>
          <w:tcPr>
            <w:tcW w:w="88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0" w:type="dxa"/>
            <w:vAlign w:val="bottom"/>
            <w:tcBorders>
              <w:bottom w:val="single" w:sz="8" w:color="0000EE"/>
            </w:tcBorders>
            <w:gridSpan w:val="22"/>
          </w:tcPr>
          <w:p>
            <w:pPr>
              <w:spacing w:after="0"/>
              <w:rPr>
                <w:rFonts w:ascii="Arial" w:cs="Arial" w:eastAsia="Arial" w:hAnsi="Arial"/>
                <w:sz w:val="18"/>
                <w:szCs w:val="18"/>
                <w:b w:val="1"/>
                <w:bCs w:val="1"/>
                <w:color w:val="0000EE"/>
                <w:w w:val="89"/>
              </w:rPr>
            </w:pPr>
            <w:hyperlink w:anchor="page8">
              <w:r>
                <w:rPr>
                  <w:rFonts w:ascii="Arial" w:cs="Arial" w:eastAsia="Arial" w:hAnsi="Arial"/>
                  <w:sz w:val="18"/>
                  <w:szCs w:val="18"/>
                  <w:b w:val="1"/>
                  <w:bCs w:val="1"/>
                  <w:color w:val="0000EE"/>
                  <w:w w:val="89"/>
                </w:rPr>
                <w:t>Consolidated Statement of Cash Flows (unaudited) for the Nine Months Ended September 30,</w:t>
              </w:r>
            </w:hyperlink>
          </w:p>
        </w:tc>
        <w:tc>
          <w:tcPr>
            <w:tcW w:w="84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gridSpan w:val="24"/>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2008 and 2007</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Borders>
              <w:bottom w:val="single" w:sz="8" w:color="0000EE"/>
            </w:tcBorders>
            <w:gridSpan w:val="16"/>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Notes to Consolidated Financial Statements</w:t>
              </w:r>
            </w:hyperlink>
          </w:p>
        </w:tc>
        <w:tc>
          <w:tcPr>
            <w:tcW w:w="470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40" w:type="dxa"/>
            <w:vAlign w:val="bottom"/>
            <w:gridSpan w:val="26"/>
          </w:tcPr>
          <w:p>
            <w:pPr>
              <w:spacing w:after="0"/>
              <w:rPr>
                <w:rFonts w:ascii="Arial" w:cs="Arial" w:eastAsia="Arial" w:hAnsi="Arial"/>
                <w:sz w:val="18"/>
                <w:szCs w:val="18"/>
                <w:b w:val="1"/>
                <w:bCs w:val="1"/>
                <w:color w:val="0000EE"/>
                <w:w w:val="98"/>
              </w:rPr>
            </w:pPr>
            <w:hyperlink w:anchor="page16">
              <w:r>
                <w:rPr>
                  <w:rFonts w:ascii="Arial" w:cs="Arial" w:eastAsia="Arial" w:hAnsi="Arial"/>
                  <w:sz w:val="18"/>
                  <w:szCs w:val="18"/>
                  <w:b w:val="1"/>
                  <w:bCs w:val="1"/>
                  <w:color w:val="0000EE"/>
                  <w:w w:val="98"/>
                </w:rPr>
                <w:t>Item 2. 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00" w:type="dxa"/>
            <w:vAlign w:val="bottom"/>
            <w:tcBorders>
              <w:top w:val="single" w:sz="8" w:color="0000EE"/>
              <w:bottom w:val="single" w:sz="8" w:color="0000EE"/>
            </w:tcBorders>
            <w:gridSpan w:val="20"/>
          </w:tcPr>
          <w:p>
            <w:pPr>
              <w:spacing w:after="0"/>
              <w:rPr>
                <w:rFonts w:ascii="Arial" w:cs="Arial" w:eastAsia="Arial" w:hAnsi="Arial"/>
                <w:sz w:val="18"/>
                <w:szCs w:val="18"/>
                <w:b w:val="1"/>
                <w:bCs w:val="1"/>
                <w:color w:val="0000EE"/>
                <w:w w:val="91"/>
              </w:rPr>
            </w:pPr>
            <w:hyperlink w:anchor="page37">
              <w:r>
                <w:rPr>
                  <w:rFonts w:ascii="Arial" w:cs="Arial" w:eastAsia="Arial" w:hAnsi="Arial"/>
                  <w:sz w:val="18"/>
                  <w:szCs w:val="18"/>
                  <w:b w:val="1"/>
                  <w:bCs w:val="1"/>
                  <w:color w:val="0000EE"/>
                  <w:w w:val="91"/>
                </w:rPr>
                <w:t>Item 3. Quantitative and Qualitative Disclosures About Market Risk.</w:t>
              </w:r>
            </w:hyperlink>
          </w:p>
        </w:tc>
        <w:tc>
          <w:tcPr>
            <w:tcW w:w="2160" w:type="dxa"/>
            <w:vAlign w:val="bottom"/>
            <w:tcBorders>
              <w:top w:val="single" w:sz="8" w:color="0000EE"/>
            </w:tcBorders>
            <w:gridSpan w:val="4"/>
          </w:tcPr>
          <w:p>
            <w:pPr>
              <w:spacing w:after="0"/>
              <w:rPr>
                <w:sz w:val="24"/>
                <w:szCs w:val="24"/>
                <w:color w:val="auto"/>
              </w:rPr>
            </w:pPr>
          </w:p>
        </w:tc>
        <w:tc>
          <w:tcPr>
            <w:tcW w:w="78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37">
              <w:r>
                <w:rPr>
                  <w:rFonts w:ascii="Arial" w:cs="Arial" w:eastAsia="Arial" w:hAnsi="Arial"/>
                  <w:sz w:val="18"/>
                  <w:szCs w:val="18"/>
                  <w:b w:val="1"/>
                  <w:bCs w:val="1"/>
                  <w:color w:val="0000EE"/>
                  <w:w w:val="89"/>
                </w:rPr>
                <w:t>Item 4. Controls and Procedures.</w:t>
              </w:r>
            </w:hyperlink>
          </w:p>
        </w:tc>
        <w:tc>
          <w:tcPr>
            <w:tcW w:w="570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2"/>
        </w:trPr>
        <w:tc>
          <w:tcPr>
            <w:tcW w:w="8440" w:type="dxa"/>
            <w:vAlign w:val="bottom"/>
            <w:gridSpan w:val="28"/>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 Other Information</w:t>
              </w:r>
            </w:hyperlink>
          </w:p>
        </w:tc>
        <w:tc>
          <w:tcPr>
            <w:tcW w:w="800" w:type="dxa"/>
            <w:vAlign w:val="bottom"/>
          </w:tcPr>
          <w:p>
            <w:pPr>
              <w:spacing w:after="0"/>
              <w:rPr>
                <w:sz w:val="24"/>
                <w:szCs w:val="24"/>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gridSpan w:val="9"/>
          </w:tcPr>
          <w:p>
            <w:pPr>
              <w:spacing w:after="0"/>
              <w:rPr>
                <w:rFonts w:ascii="Arial" w:cs="Arial" w:eastAsia="Arial" w:hAnsi="Arial"/>
                <w:sz w:val="18"/>
                <w:szCs w:val="18"/>
                <w:b w:val="1"/>
                <w:bCs w:val="1"/>
                <w:color w:val="0000EE"/>
                <w:w w:val="94"/>
              </w:rPr>
            </w:pPr>
            <w:hyperlink w:anchor="page38">
              <w:r>
                <w:rPr>
                  <w:rFonts w:ascii="Arial" w:cs="Arial" w:eastAsia="Arial" w:hAnsi="Arial"/>
                  <w:sz w:val="18"/>
                  <w:szCs w:val="18"/>
                  <w:b w:val="1"/>
                  <w:bCs w:val="1"/>
                  <w:color w:val="0000EE"/>
                  <w:w w:val="94"/>
                </w:rPr>
                <w:t>Item 1. Legal Proceedings.</w:t>
              </w:r>
            </w:hyperlink>
          </w:p>
        </w:tc>
        <w:tc>
          <w:tcPr>
            <w:tcW w:w="6080" w:type="dxa"/>
            <w:vAlign w:val="bottom"/>
            <w:gridSpan w:val="1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1"/>
              </w:rPr>
            </w:pPr>
            <w:hyperlink w:anchor="page38">
              <w:r>
                <w:rPr>
                  <w:rFonts w:ascii="Arial" w:cs="Arial" w:eastAsia="Arial" w:hAnsi="Arial"/>
                  <w:sz w:val="18"/>
                  <w:szCs w:val="18"/>
                  <w:b w:val="1"/>
                  <w:bCs w:val="1"/>
                  <w:color w:val="0000EE"/>
                  <w:w w:val="91"/>
                </w:rPr>
                <w:t>Item 1A. Risk Factors.</w:t>
              </w:r>
            </w:hyperlink>
          </w:p>
        </w:tc>
        <w:tc>
          <w:tcPr>
            <w:tcW w:w="280" w:type="dxa"/>
            <w:vAlign w:val="bottom"/>
            <w:tcBorders>
              <w:top w:val="single" w:sz="8" w:color="0000EE"/>
            </w:tcBorders>
          </w:tcPr>
          <w:p>
            <w:pPr>
              <w:spacing w:after="0"/>
              <w:rPr>
                <w:sz w:val="24"/>
                <w:szCs w:val="24"/>
                <w:color w:val="auto"/>
              </w:rPr>
            </w:pPr>
          </w:p>
        </w:tc>
        <w:tc>
          <w:tcPr>
            <w:tcW w:w="6220" w:type="dxa"/>
            <w:vAlign w:val="bottom"/>
            <w:gridSpan w:val="1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0" w:type="dxa"/>
            <w:vAlign w:val="bottom"/>
            <w:tcBorders>
              <w:bottom w:val="single" w:sz="8" w:color="0000EE"/>
            </w:tcBorders>
            <w:gridSpan w:val="19"/>
          </w:tcPr>
          <w:p>
            <w:pPr>
              <w:spacing w:after="0"/>
              <w:rPr>
                <w:rFonts w:ascii="Arial" w:cs="Arial" w:eastAsia="Arial" w:hAnsi="Arial"/>
                <w:sz w:val="18"/>
                <w:szCs w:val="18"/>
                <w:b w:val="1"/>
                <w:bCs w:val="1"/>
                <w:color w:val="0000EE"/>
                <w:w w:val="88"/>
              </w:rPr>
            </w:pPr>
            <w:hyperlink w:anchor="page38">
              <w:r>
                <w:rPr>
                  <w:rFonts w:ascii="Arial" w:cs="Arial" w:eastAsia="Arial" w:hAnsi="Arial"/>
                  <w:sz w:val="18"/>
                  <w:szCs w:val="18"/>
                  <w:b w:val="1"/>
                  <w:bCs w:val="1"/>
                  <w:color w:val="0000EE"/>
                  <w:w w:val="88"/>
                </w:rPr>
                <w:t>Item 2. Unregistered Sales of Equity Securities and Use of Proceeds.</w:t>
              </w:r>
            </w:hyperlink>
          </w:p>
        </w:tc>
        <w:tc>
          <w:tcPr>
            <w:tcW w:w="304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tcBorders>
              <w:bottom w:val="single" w:sz="8" w:color="0000EE"/>
            </w:tcBorders>
            <w:gridSpan w:val="15"/>
          </w:tcPr>
          <w:p>
            <w:pPr>
              <w:spacing w:after="0"/>
              <w:rPr>
                <w:rFonts w:ascii="Arial" w:cs="Arial" w:eastAsia="Arial" w:hAnsi="Arial"/>
                <w:sz w:val="18"/>
                <w:szCs w:val="18"/>
                <w:b w:val="1"/>
                <w:bCs w:val="1"/>
                <w:color w:val="0000EE"/>
                <w:w w:val="89"/>
              </w:rPr>
            </w:pPr>
            <w:hyperlink w:anchor="page38">
              <w:r>
                <w:rPr>
                  <w:rFonts w:ascii="Arial" w:cs="Arial" w:eastAsia="Arial" w:hAnsi="Arial"/>
                  <w:sz w:val="18"/>
                  <w:szCs w:val="18"/>
                  <w:b w:val="1"/>
                  <w:bCs w:val="1"/>
                  <w:color w:val="0000EE"/>
                  <w:w w:val="89"/>
                </w:rPr>
                <w:t>Item 3. Defaults Upon Senior Securities.</w:t>
              </w:r>
            </w:hyperlink>
          </w:p>
        </w:tc>
        <w:tc>
          <w:tcPr>
            <w:tcW w:w="516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40" w:type="dxa"/>
            <w:vAlign w:val="bottom"/>
            <w:gridSpan w:val="26"/>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4. Submission of Matters to a Vote of Security Holders.</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94"/>
              </w:rPr>
            </w:pPr>
            <w:hyperlink w:anchor="page38">
              <w:r>
                <w:rPr>
                  <w:rFonts w:ascii="Arial" w:cs="Arial" w:eastAsia="Arial" w:hAnsi="Arial"/>
                  <w:sz w:val="18"/>
                  <w:szCs w:val="18"/>
                  <w:b w:val="1"/>
                  <w:bCs w:val="1"/>
                  <w:color w:val="0000EE"/>
                  <w:w w:val="94"/>
                </w:rPr>
                <w:t>Item 5. Other Information.</w:t>
              </w:r>
            </w:hyperlink>
          </w:p>
        </w:tc>
        <w:tc>
          <w:tcPr>
            <w:tcW w:w="2520" w:type="dxa"/>
            <w:vAlign w:val="bottom"/>
            <w:tcBorders>
              <w:top w:val="single" w:sz="8" w:color="0000EE"/>
            </w:tcBorders>
            <w:gridSpan w:val="10"/>
          </w:tcPr>
          <w:p>
            <w:pPr>
              <w:spacing w:after="0"/>
              <w:rPr>
                <w:sz w:val="24"/>
                <w:szCs w:val="24"/>
                <w:color w:val="auto"/>
              </w:rPr>
            </w:pPr>
          </w:p>
        </w:tc>
        <w:tc>
          <w:tcPr>
            <w:tcW w:w="3640" w:type="dxa"/>
            <w:vAlign w:val="bottom"/>
            <w:gridSpan w:val="8"/>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40" w:type="dxa"/>
            <w:vAlign w:val="bottom"/>
            <w:gridSpan w:val="26"/>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6. Exhibits.</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980" w:type="dxa"/>
            <w:vAlign w:val="bottom"/>
            <w:gridSpan w:val="2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8400" w:type="dxa"/>
            <w:vAlign w:val="bottom"/>
            <w:gridSpan w:val="27"/>
          </w:tcPr>
          <w:p>
            <w:pPr>
              <w:spacing w:after="0"/>
              <w:rPr>
                <w:sz w:val="20"/>
                <w:szCs w:val="20"/>
                <w:color w:val="auto"/>
              </w:rPr>
            </w:pPr>
            <w:r>
              <w:rPr>
                <w:rFonts w:ascii="Arial" w:cs="Arial" w:eastAsia="Arial" w:hAnsi="Arial"/>
                <w:sz w:val="18"/>
                <w:szCs w:val="18"/>
                <w:color w:val="0000EE"/>
              </w:rPr>
              <w:t>Exhibit 31.1</w:t>
            </w:r>
          </w:p>
        </w:tc>
        <w:tc>
          <w:tcPr>
            <w:tcW w:w="8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w:t>
      </w:r>
    </w:p>
    <w:p>
      <w:pPr>
        <w:spacing w:after="0" w:line="200" w:lineRule="exact"/>
        <w:rPr>
          <w:sz w:val="20"/>
          <w:szCs w:val="20"/>
          <w:color w:val="auto"/>
        </w:rPr>
      </w:pPr>
    </w:p>
    <w:p>
      <w:pPr>
        <w:spacing w:after="0" w:line="3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Item 1 — Financial Statements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UNITED COMMUNITY BANKS,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00" w:type="dxa"/>
            <w:vAlign w:val="bottom"/>
          </w:tcPr>
          <w:p>
            <w:pPr>
              <w:spacing w:after="0"/>
              <w:rPr>
                <w:sz w:val="20"/>
                <w:szCs w:val="20"/>
                <w:color w:val="auto"/>
              </w:rPr>
            </w:pPr>
          </w:p>
        </w:tc>
        <w:tc>
          <w:tcPr>
            <w:tcW w:w="242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gridSpan w:val="3"/>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Loans, including fees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93,233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127,213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299,550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361,085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Taxable</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18,258</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16,637</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55,765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46,081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Tax exempt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Federal funds sold and deposits in banks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372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Total interest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111,939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356,827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408,751</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NOW</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6,778</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12,046</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22,581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34,143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7,519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Savings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39,044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42,862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116,756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126,466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3"/>
          </w:tcPr>
          <w:p>
            <w:pPr>
              <w:ind w:left="600"/>
              <w:spacing w:after="0"/>
              <w:rPr>
                <w:sz w:val="20"/>
                <w:szCs w:val="20"/>
                <w:color w:val="auto"/>
              </w:rPr>
            </w:pPr>
            <w:r>
              <w:rPr>
                <w:rFonts w:ascii="Arial" w:cs="Arial" w:eastAsia="Arial" w:hAnsi="Arial"/>
                <w:sz w:val="18"/>
                <w:szCs w:val="18"/>
                <w:color w:val="auto"/>
              </w:rPr>
              <w:t>Total deposit interest expense</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48,271</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60,463</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147,416</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Federal funds purchased, repurchase agreements, &amp;</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other short-term borrowings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1,116</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4,738</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7,254</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Federal Home Loan Bank advances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2,105</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5,902</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10,668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15,738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53,719</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73,203</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171,704</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interest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58,220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71,209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185,123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203,355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76,000</w:t>
            </w:r>
          </w:p>
        </w:tc>
        <w:tc>
          <w:tcPr>
            <w:tcW w:w="18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3,700</w:t>
            </w:r>
          </w:p>
        </w:tc>
        <w:tc>
          <w:tcPr>
            <w:tcW w:w="2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99,000</w:t>
            </w: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26,100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3"/>
            <w:shd w:val="clear" w:color="auto" w:fill="CCEEFF"/>
          </w:tcPr>
          <w:p>
            <w:pPr>
              <w:ind w:left="400"/>
              <w:spacing w:after="0" w:line="201" w:lineRule="exact"/>
              <w:rPr>
                <w:sz w:val="20"/>
                <w:szCs w:val="20"/>
                <w:color w:val="auto"/>
              </w:rPr>
            </w:pPr>
            <w:r>
              <w:rPr>
                <w:rFonts w:ascii="Arial" w:cs="Arial" w:eastAsia="Arial" w:hAnsi="Arial"/>
                <w:sz w:val="18"/>
                <w:szCs w:val="18"/>
                <w:color w:val="auto"/>
              </w:rPr>
              <w:t>Net interest (loss) revenue after provision for loan</w:t>
            </w: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losses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(17,780)</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67,509</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86,123</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177,255</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Fee revenue:</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Service charges and fees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8,171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7,855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23,941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Mortgage loan and other related fees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1,410</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2,118</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5,575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6,817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Consulting fees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Brokerage fees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905</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895</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2,812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Securities gains,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Losses on prepayment of borrowings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2,141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Total fee revenue</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13,121</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15,615</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42,423</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83,124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128,546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223,806</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Salaries and employee benefits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28,626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29,698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86,133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88,037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Communications and equipment</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3,909</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3,936</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11,593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11,593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Occupancy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3,617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11,325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Advertising and public relations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1,399</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1,537</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4,759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Postage, printing and supplies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1,596</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1,920</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5,196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15,290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5,224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28,457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13,124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154,260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140,725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(61,629)</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34,942</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(25,714)</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Income tax (benefit)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(21,755)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12,406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29,289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(39,874</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22,536</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(16,703</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400" w:type="dxa"/>
            <w:vAlign w:val="bottom"/>
            <w:gridSpan w:val="3"/>
            <w:shd w:val="clear" w:color="auto" w:fill="CCEEFF"/>
          </w:tcPr>
          <w:p>
            <w:pPr>
              <w:ind w:left="400"/>
              <w:spacing w:after="0" w:line="195" w:lineRule="exact"/>
              <w:rPr>
                <w:sz w:val="20"/>
                <w:szCs w:val="20"/>
                <w:color w:val="auto"/>
              </w:rPr>
            </w:pPr>
            <w:r>
              <w:rPr>
                <w:rFonts w:ascii="Arial" w:cs="Arial" w:eastAsia="Arial" w:hAnsi="Arial"/>
                <w:sz w:val="18"/>
                <w:szCs w:val="18"/>
                <w:color w:val="auto"/>
              </w:rPr>
              <w:t>Net (loss) income available to common</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shareholders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(39,878)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53,778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gridSpan w:val="3"/>
            <w:vMerge w:val="restart"/>
          </w:tcPr>
          <w:p>
            <w:pPr>
              <w:spacing w:after="0"/>
              <w:rPr>
                <w:sz w:val="20"/>
                <w:szCs w:val="20"/>
                <w:color w:val="auto"/>
              </w:rPr>
            </w:pPr>
            <w:r>
              <w:rPr>
                <w:rFonts w:ascii="Arial" w:cs="Arial" w:eastAsia="Arial" w:hAnsi="Arial"/>
                <w:sz w:val="18"/>
                <w:szCs w:val="18"/>
                <w:color w:val="auto"/>
              </w:rPr>
              <w:t>(Loss) earnings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4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Stock dividends per common share</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47,304</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48,348</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47,111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45,452</w:t>
            </w:r>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4400" w:type="dxa"/>
            <w:vAlign w:val="bottom"/>
            <w:gridSpan w:val="3"/>
            <w:shd w:val="clear" w:color="auto" w:fill="CCEEFF"/>
          </w:tcPr>
          <w:p>
            <w:pPr>
              <w:ind w:left="200"/>
              <w:spacing w:after="0" w:line="205"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5" w:lineRule="exact"/>
              <w:rPr>
                <w:sz w:val="20"/>
                <w:szCs w:val="20"/>
                <w:color w:val="auto"/>
              </w:rPr>
            </w:pPr>
            <w:r>
              <w:rPr>
                <w:rFonts w:ascii="Arial" w:cs="Arial" w:eastAsia="Arial" w:hAnsi="Arial"/>
                <w:sz w:val="18"/>
                <w:szCs w:val="18"/>
                <w:color w:val="auto"/>
              </w:rPr>
              <w:t>47,304</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5" w:lineRule="exact"/>
              <w:rPr>
                <w:sz w:val="20"/>
                <w:szCs w:val="20"/>
                <w:color w:val="auto"/>
              </w:rPr>
            </w:pPr>
            <w:r>
              <w:rPr>
                <w:rFonts w:ascii="Arial" w:cs="Arial" w:eastAsia="Arial" w:hAnsi="Arial"/>
                <w:sz w:val="18"/>
                <w:szCs w:val="18"/>
                <w:color w:val="auto"/>
              </w:rPr>
              <w:t>48,977</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5" w:lineRule="exact"/>
              <w:rPr>
                <w:sz w:val="20"/>
                <w:szCs w:val="20"/>
                <w:color w:val="auto"/>
              </w:rPr>
            </w:pPr>
            <w:r>
              <w:rPr>
                <w:rFonts w:ascii="Arial" w:cs="Arial" w:eastAsia="Arial" w:hAnsi="Arial"/>
                <w:sz w:val="18"/>
                <w:szCs w:val="18"/>
                <w:color w:val="auto"/>
              </w:rPr>
              <w:t>47,111</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46,235</w:t>
            </w:r>
          </w:p>
        </w:tc>
        <w:tc>
          <w:tcPr>
            <w:tcW w:w="0" w:type="dxa"/>
            <w:vAlign w:val="bottom"/>
          </w:tcPr>
          <w:p>
            <w:pPr>
              <w:spacing w:after="0"/>
              <w:rPr>
                <w:sz w:val="1"/>
                <w:szCs w:val="1"/>
                <w:color w:val="auto"/>
              </w:rPr>
            </w:pPr>
          </w:p>
        </w:tc>
      </w:tr>
    </w:tbl>
    <w:p>
      <w:pPr>
        <w:sectPr>
          <w:pgSz w:w="11900" w:h="16900" w:orient="portrait"/>
          <w:cols w:equalWidth="0" w:num="1">
            <w:col w:w="10219"/>
          </w:cols>
          <w:pgMar w:left="240" w:top="405" w:right="1440" w:bottom="0" w:gutter="0" w:footer="0" w:header="0"/>
        </w:sectPr>
      </w:pPr>
    </w:p>
    <w:bookmarkStart w:id="4" w:name="page5"/>
    <w:bookmarkEnd w:id="4"/>
    <w:p>
      <w:pPr>
        <w:ind w:left="2100"/>
        <w:spacing w:after="0"/>
        <w:rPr>
          <w:sz w:val="20"/>
          <w:szCs w:val="20"/>
          <w:color w:val="auto"/>
        </w:rPr>
      </w:pPr>
      <w:r>
        <w:rPr>
          <w:rFonts w:ascii="Arial" w:cs="Arial" w:eastAsia="Arial" w:hAnsi="Arial"/>
          <w:sz w:val="15"/>
          <w:szCs w:val="15"/>
          <w:color w:val="auto"/>
        </w:rPr>
        <w:t>See notes to Consolidated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7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179070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UNITED COMMUNITY BANKS, INC.</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340" w:type="dxa"/>
            <w:vAlign w:val="bottom"/>
          </w:tcPr>
          <w:p>
            <w:pPr>
              <w:spacing w:after="0"/>
              <w:rPr>
                <w:sz w:val="20"/>
                <w:szCs w:val="20"/>
                <w:color w:val="auto"/>
              </w:rPr>
            </w:pP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i w:val="1"/>
                <w:iCs w:val="1"/>
                <w:color w:val="auto"/>
                <w:w w:val="92"/>
              </w:rPr>
              <w:t>(unaudited)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i w:val="1"/>
                <w:iCs w:val="1"/>
                <w:color w:val="auto"/>
                <w:w w:val="98"/>
              </w:rPr>
              <w:t>(audited)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i w:val="1"/>
                <w:iCs w:val="1"/>
                <w:color w:val="auto"/>
                <w:w w:val="92"/>
              </w:rPr>
              <w:t>(unaudited)</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126,033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157,549</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162,710</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Interest-bearing deposits in banks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40,707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62,074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75,745</w:t>
            </w:r>
          </w:p>
        </w:tc>
      </w:tr>
      <w:tr>
        <w:trPr>
          <w:trHeight w:val="224"/>
        </w:trPr>
        <w:tc>
          <w:tcPr>
            <w:tcW w:w="340" w:type="dxa"/>
            <w:vAlign w:val="bottom"/>
          </w:tcPr>
          <w:p>
            <w:pPr>
              <w:spacing w:after="0"/>
              <w:rPr>
                <w:sz w:val="19"/>
                <w:szCs w:val="19"/>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166,740</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219,623</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238,455</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1,400,827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1,356,846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1,296,826</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Mortgage loans held for sale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17,763</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28,004</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23,717</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Loans, net of unearned income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5,829,937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5,929,263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5,952,749</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color w:val="auto"/>
              </w:rPr>
              <w:t>Less allowance for loan losses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111,299</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89,423</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90,935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Loans,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5,718,638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5,839,840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5,861,814</w:t>
            </w:r>
          </w:p>
        </w:tc>
      </w:tr>
      <w:tr>
        <w:trPr>
          <w:trHeight w:val="432"/>
        </w:trPr>
        <w:tc>
          <w:tcPr>
            <w:tcW w:w="340" w:type="dxa"/>
            <w:vAlign w:val="bottom"/>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Premises and equipment, net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179,727</w:t>
            </w:r>
          </w:p>
        </w:tc>
        <w:tc>
          <w:tcPr>
            <w:tcW w:w="14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180,088</w:t>
            </w:r>
          </w:p>
        </w:tc>
        <w:tc>
          <w:tcPr>
            <w:tcW w:w="12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174,918</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interest receivable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47,920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62,828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67,385</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Goodwill and other intangible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322,544</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325,305</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326,080</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218,384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194,768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191,405</w:t>
            </w:r>
          </w:p>
        </w:tc>
      </w:tr>
      <w:tr>
        <w:trPr>
          <w:trHeight w:val="223"/>
        </w:trPr>
        <w:tc>
          <w:tcPr>
            <w:tcW w:w="340" w:type="dxa"/>
            <w:vAlign w:val="bottom"/>
          </w:tcPr>
          <w:p>
            <w:pPr>
              <w:spacing w:after="0"/>
              <w:rPr>
                <w:sz w:val="19"/>
                <w:szCs w:val="19"/>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8,072,543</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8,207,302</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8,180,600</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color w:val="auto"/>
              </w:rPr>
              <w:t>Demand</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680,196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700,941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737,357</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1,393,928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1,474,818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1,464,956</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394,358</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452,917</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495,092</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179,274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186,392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195,132</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color w:val="auto"/>
              </w:rPr>
              <w:t>Time: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Less than $100,000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1,814,926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1,573,604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1,595,515</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600"/>
              <w:spacing w:after="0"/>
              <w:rPr>
                <w:sz w:val="20"/>
                <w:szCs w:val="20"/>
                <w:color w:val="auto"/>
              </w:rPr>
            </w:pPr>
            <w:r>
              <w:rPr>
                <w:rFonts w:ascii="Arial" w:cs="Arial" w:eastAsia="Arial" w:hAnsi="Arial"/>
                <w:sz w:val="18"/>
                <w:szCs w:val="18"/>
                <w:color w:val="auto"/>
              </w:rPr>
              <w:t>Greater than $100,000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1,481,512</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1,364,763</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1,358,302</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Brokered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745,141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322,516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307,954</w:t>
            </w:r>
          </w:p>
        </w:tc>
      </w:tr>
      <w:tr>
        <w:trPr>
          <w:trHeight w:val="224"/>
        </w:trPr>
        <w:tc>
          <w:tcPr>
            <w:tcW w:w="340" w:type="dxa"/>
            <w:vAlign w:val="bottom"/>
          </w:tcPr>
          <w:p>
            <w:pPr>
              <w:spacing w:after="0"/>
              <w:rPr>
                <w:sz w:val="19"/>
                <w:szCs w:val="19"/>
                <w:color w:val="auto"/>
              </w:rPr>
            </w:pPr>
          </w:p>
        </w:tc>
        <w:tc>
          <w:tcPr>
            <w:tcW w:w="5120" w:type="dxa"/>
            <w:vAlign w:val="bottom"/>
            <w:gridSpan w:val="2"/>
          </w:tcPr>
          <w:p>
            <w:pPr>
              <w:ind w:left="800"/>
              <w:spacing w:after="0"/>
              <w:rPr>
                <w:sz w:val="20"/>
                <w:szCs w:val="20"/>
                <w:color w:val="auto"/>
              </w:rPr>
            </w:pPr>
            <w:r>
              <w:rPr>
                <w:rFonts w:ascii="Arial" w:cs="Arial" w:eastAsia="Arial" w:hAnsi="Arial"/>
                <w:sz w:val="18"/>
                <w:szCs w:val="18"/>
                <w:color w:val="auto"/>
              </w:rPr>
              <w:t>Total deposits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6,689,335</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6,075,951</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6,154,308</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51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Federal funds purchased, repurchase agreements, and other short-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term borrowings</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119,699</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638,462</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502,081</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Federal Home Loan Bank advances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285,362</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519,782</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519,381</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137,996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107,996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107,996</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23,271</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33,209</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63,073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7,255,663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7,375,400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7,346,839</w:t>
            </w:r>
          </w:p>
        </w:tc>
      </w:tr>
      <w:tr>
        <w:trPr>
          <w:trHeight w:val="439"/>
        </w:trPr>
        <w:tc>
          <w:tcPr>
            <w:tcW w:w="3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51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Preferred stock, $1 par value; $10 stated value; 10,000,000 shares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authorized; 25,800, 25,800 and 25,800 shares issued and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outstanding</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w:t>
            </w:r>
          </w:p>
        </w:tc>
      </w:tr>
      <w:tr>
        <w:trPr>
          <w:trHeight w:val="202"/>
        </w:trPr>
        <w:tc>
          <w:tcPr>
            <w:tcW w:w="340" w:type="dxa"/>
            <w:vAlign w:val="bottom"/>
          </w:tcPr>
          <w:p>
            <w:pPr>
              <w:spacing w:after="0"/>
              <w:rPr>
                <w:sz w:val="17"/>
                <w:szCs w:val="17"/>
                <w:color w:val="auto"/>
              </w:rPr>
            </w:pPr>
          </w:p>
        </w:tc>
        <w:tc>
          <w:tcPr>
            <w:tcW w:w="51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Common stock, $1 par value; 100,000,000 shares authorized;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color w:val="auto"/>
              </w:rPr>
              <w:t>48,809,301, 48,809,301 and 48,809,301 shares issued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48,809</w:t>
            </w:r>
          </w:p>
        </w:tc>
        <w:tc>
          <w:tcPr>
            <w:tcW w:w="1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48,809</w:t>
            </w:r>
          </w:p>
        </w:tc>
        <w:tc>
          <w:tcPr>
            <w:tcW w:w="1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48,809</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issuable; 116,567, 73,250 and 66,366 shares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2,762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1,954</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Capital surplus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457,779</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462,881</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462,499</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317,544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347,391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347,478</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w w:val="90"/>
              </w:rPr>
              <w:t>Treasury stock; 1,213,182, 1,905,921 and 1,266,935 shares, at cost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(27,024)</w:t>
            </w: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(43,798)</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(30,969)</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16,752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14,261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3,732</w:t>
            </w:r>
          </w:p>
        </w:tc>
      </w:tr>
      <w:tr>
        <w:trPr>
          <w:trHeight w:val="230"/>
        </w:trPr>
        <w:tc>
          <w:tcPr>
            <w:tcW w:w="340" w:type="dxa"/>
            <w:vAlign w:val="bottom"/>
          </w:tcPr>
          <w:p>
            <w:pPr>
              <w:spacing w:after="0"/>
              <w:rPr>
                <w:sz w:val="20"/>
                <w:szCs w:val="20"/>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816,880</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831,902</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833,761</w:t>
            </w:r>
          </w:p>
        </w:tc>
        <w:tc>
          <w:tcPr>
            <w:tcW w:w="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8,072,543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8,207,302</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8,180,600</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 the Nine Months Ended September 30,</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Preferred</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780" w:type="dxa"/>
            <w:vAlign w:val="bottom"/>
            <w:gridSpan w:val="3"/>
            <w:vMerge w:val="continue"/>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Retained</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Treasury</w:t>
            </w:r>
          </w:p>
        </w:tc>
        <w:tc>
          <w:tcPr>
            <w:tcW w:w="1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9"/>
              </w:rPr>
              <w:t>Stock</w:t>
            </w: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20"/>
                <w:szCs w:val="20"/>
                <w:color w:val="auto"/>
              </w:rPr>
            </w:pPr>
            <w:r>
              <w:rPr>
                <w:rFonts w:ascii="Arial" w:cs="Arial" w:eastAsia="Arial" w:hAnsi="Arial"/>
                <w:sz w:val="14"/>
                <w:szCs w:val="14"/>
                <w:i w:val="1"/>
                <w:iCs w:val="1"/>
                <w:color w:val="auto"/>
                <w:w w:val="91"/>
              </w:rPr>
              <w:t>(in thousands, except share and per share data)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Issuable</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Surplus</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2006</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42,891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862</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$ 270,383</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$ 306,261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(3,952)</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$ 616,767</w:t>
            </w: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53,792</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53,792</w:t>
            </w:r>
          </w:p>
        </w:tc>
        <w:tc>
          <w:tcPr>
            <w:tcW w:w="0" w:type="dxa"/>
            <w:vAlign w:val="bottom"/>
          </w:tcPr>
          <w:p>
            <w:pPr>
              <w:spacing w:after="0"/>
              <w:rPr>
                <w:sz w:val="1"/>
                <w:szCs w:val="1"/>
                <w:color w:val="auto"/>
              </w:rPr>
            </w:pPr>
          </w:p>
        </w:tc>
      </w:tr>
      <w:tr>
        <w:trPr>
          <w:trHeight w:val="149"/>
        </w:trPr>
        <w:tc>
          <w:tcPr>
            <w:tcW w:w="274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Unrealized holding gains on available</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for sale securities, net of deferred</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tax expense and reclassification</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adjustment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3,282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3,282</w:t>
            </w:r>
          </w:p>
        </w:tc>
        <w:tc>
          <w:tcPr>
            <w:tcW w:w="0" w:type="dxa"/>
            <w:vAlign w:val="bottom"/>
          </w:tcPr>
          <w:p>
            <w:pPr>
              <w:spacing w:after="0"/>
              <w:rPr>
                <w:sz w:val="1"/>
                <w:szCs w:val="1"/>
                <w:color w:val="auto"/>
              </w:rPr>
            </w:pPr>
          </w:p>
        </w:tc>
      </w:tr>
      <w:tr>
        <w:trPr>
          <w:trHeight w:val="130"/>
        </w:trPr>
        <w:tc>
          <w:tcPr>
            <w:tcW w:w="2740" w:type="dxa"/>
            <w:vAlign w:val="bottom"/>
          </w:tcPr>
          <w:p>
            <w:pPr>
              <w:ind w:left="400"/>
              <w:spacing w:after="0" w:line="130" w:lineRule="exact"/>
              <w:rPr>
                <w:sz w:val="20"/>
                <w:szCs w:val="20"/>
                <w:color w:val="auto"/>
              </w:rPr>
            </w:pPr>
            <w:r>
              <w:rPr>
                <w:rFonts w:ascii="Arial" w:cs="Arial" w:eastAsia="Arial" w:hAnsi="Arial"/>
                <w:sz w:val="14"/>
                <w:szCs w:val="14"/>
                <w:color w:val="auto"/>
                <w:w w:val="95"/>
              </w:rPr>
              <w:t>Unrealized gains on derivative financial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600"/>
              <w:spacing w:after="0" w:line="149" w:lineRule="exact"/>
              <w:rPr>
                <w:sz w:val="20"/>
                <w:szCs w:val="20"/>
                <w:color w:val="auto"/>
              </w:rPr>
            </w:pPr>
            <w:r>
              <w:rPr>
                <w:rFonts w:ascii="Arial" w:cs="Arial" w:eastAsia="Arial" w:hAnsi="Arial"/>
                <w:sz w:val="14"/>
                <w:szCs w:val="14"/>
                <w:color w:val="auto"/>
                <w:w w:val="97"/>
              </w:rPr>
              <w:t>instruments qualifying as cash flow</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600"/>
              <w:spacing w:after="0"/>
              <w:rPr>
                <w:sz w:val="20"/>
                <w:szCs w:val="20"/>
                <w:color w:val="auto"/>
              </w:rPr>
            </w:pPr>
            <w:r>
              <w:rPr>
                <w:rFonts w:ascii="Arial" w:cs="Arial" w:eastAsia="Arial" w:hAnsi="Arial"/>
                <w:sz w:val="14"/>
                <w:szCs w:val="14"/>
                <w:color w:val="auto"/>
                <w:w w:val="94"/>
              </w:rPr>
              <w:t>hedges, net of deferred tax expense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4,402</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4,402</w:t>
            </w:r>
          </w:p>
        </w:tc>
        <w:tc>
          <w:tcPr>
            <w:tcW w:w="0" w:type="dxa"/>
            <w:vAlign w:val="bottom"/>
          </w:tcPr>
          <w:p>
            <w:pPr>
              <w:spacing w:after="0"/>
              <w:rPr>
                <w:sz w:val="1"/>
                <w:szCs w:val="1"/>
                <w:color w:val="auto"/>
              </w:rPr>
            </w:pPr>
          </w:p>
        </w:tc>
      </w:tr>
      <w:tr>
        <w:trPr>
          <w:trHeight w:val="156"/>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Comprehensive income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53,792</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7,684</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61,476</w:t>
            </w: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color w:val="auto"/>
                <w:w w:val="98"/>
              </w:rPr>
              <w:t>Retirement of preferred stock (6,400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dividends declared on common stock</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($.27 per share)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(12,561)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(12,561)</w:t>
            </w: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Common stock issued for acquisitions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200"/>
              <w:spacing w:after="0"/>
              <w:rPr>
                <w:sz w:val="20"/>
                <w:szCs w:val="20"/>
                <w:color w:val="auto"/>
              </w:rPr>
            </w:pPr>
            <w:r>
              <w:rPr>
                <w:rFonts w:ascii="Arial" w:cs="Arial" w:eastAsia="Arial" w:hAnsi="Arial"/>
                <w:sz w:val="14"/>
                <w:szCs w:val="14"/>
                <w:color w:val="auto"/>
              </w:rPr>
              <w:t>5,691,948 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5,692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185,649</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191,341</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 (110,328 shares)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457</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1,302</w:t>
            </w: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Common stock issued to Dividend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00"/>
              <w:spacing w:after="0" w:line="149" w:lineRule="exact"/>
              <w:rPr>
                <w:sz w:val="20"/>
                <w:szCs w:val="20"/>
                <w:color w:val="auto"/>
              </w:rPr>
            </w:pPr>
            <w:r>
              <w:rPr>
                <w:rFonts w:ascii="Arial" w:cs="Arial" w:eastAsia="Arial" w:hAnsi="Arial"/>
                <w:sz w:val="14"/>
                <w:szCs w:val="14"/>
                <w:color w:val="auto"/>
                <w:w w:val="98"/>
              </w:rPr>
              <w:t>Reinvestment Plan and employee benefit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200"/>
              <w:spacing w:after="0"/>
              <w:rPr>
                <w:sz w:val="20"/>
                <w:szCs w:val="20"/>
                <w:color w:val="auto"/>
              </w:rPr>
            </w:pPr>
            <w:r>
              <w:rPr>
                <w:rFonts w:ascii="Arial" w:cs="Arial" w:eastAsia="Arial" w:hAnsi="Arial"/>
                <w:sz w:val="14"/>
                <w:szCs w:val="14"/>
                <w:color w:val="auto"/>
              </w:rPr>
              <w:t>plans (123,692 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3,360</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139</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3,617</w:t>
            </w: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Amortization of stock option and restricted</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awards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2,611</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2,611</w:t>
            </w: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Vesting of restricted stock (30,310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200"/>
              <w:spacing w:after="0"/>
              <w:rPr>
                <w:sz w:val="20"/>
                <w:szCs w:val="20"/>
                <w:color w:val="auto"/>
              </w:rPr>
            </w:pPr>
            <w:r>
              <w:rPr>
                <w:rFonts w:ascii="Arial" w:cs="Arial" w:eastAsia="Arial" w:hAnsi="Arial"/>
                <w:sz w:val="14"/>
                <w:szCs w:val="14"/>
                <w:color w:val="auto"/>
              </w:rPr>
              <w:t>issued, 3,125 shares deferred)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93</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(123)</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Purchases of treasury stock (1,304,775 shares)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(31,875)</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(31,875)</w:t>
            </w: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Deferred compensation plan, net, including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200"/>
              <w:spacing w:after="0"/>
              <w:rPr>
                <w:sz w:val="20"/>
                <w:szCs w:val="20"/>
                <w:color w:val="auto"/>
              </w:rPr>
            </w:pPr>
            <w:r>
              <w:rPr>
                <w:rFonts w:ascii="Arial" w:cs="Arial" w:eastAsia="Arial" w:hAnsi="Arial"/>
                <w:sz w:val="14"/>
                <w:szCs w:val="14"/>
                <w:color w:val="auto"/>
              </w:rPr>
              <w:t>dividend equivalents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999</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999</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options exercised</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162</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Dividends declared on preferred stock ($.45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200"/>
              <w:spacing w:after="0"/>
              <w:rPr>
                <w:sz w:val="20"/>
                <w:szCs w:val="20"/>
                <w:color w:val="auto"/>
              </w:rPr>
            </w:pPr>
            <w:r>
              <w:rPr>
                <w:rFonts w:ascii="Arial" w:cs="Arial" w:eastAsia="Arial" w:hAnsi="Arial"/>
                <w:sz w:val="14"/>
                <w:szCs w:val="14"/>
                <w:color w:val="auto"/>
              </w:rPr>
              <w:t>per share)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6"/>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September 30, 2007</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48,809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1,954</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462,499</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$ 347,478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(30,969)</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3,732</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833,761</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rPr>
              <w:t>Balance, December 31, 2007</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258</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48,809</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2,100</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6"/>
              </w:rPr>
              <w:t>$ 462,881</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6"/>
              </w:rPr>
              <w:t>$ 347,391</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4"/>
              </w:rPr>
              <w:t>(43,798)</w:t>
            </w:r>
          </w:p>
        </w:tc>
        <w:tc>
          <w:tcPr>
            <w:tcW w:w="22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14,261</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6"/>
              </w:rPr>
              <w:t>$ 831,902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(16,703)</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(16,703)</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(loss) income: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40" w:type="dxa"/>
            <w:vAlign w:val="bottom"/>
          </w:tcPr>
          <w:p>
            <w:pPr>
              <w:ind w:left="400"/>
              <w:spacing w:after="0" w:line="130" w:lineRule="exact"/>
              <w:rPr>
                <w:sz w:val="20"/>
                <w:szCs w:val="20"/>
                <w:color w:val="auto"/>
              </w:rPr>
            </w:pPr>
            <w:r>
              <w:rPr>
                <w:rFonts w:ascii="Arial" w:cs="Arial" w:eastAsia="Arial" w:hAnsi="Arial"/>
                <w:sz w:val="14"/>
                <w:szCs w:val="14"/>
                <w:color w:val="auto"/>
                <w:w w:val="97"/>
              </w:rPr>
              <w:t>Unrealized holding losses on available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600"/>
              <w:spacing w:after="0" w:line="149" w:lineRule="exact"/>
              <w:rPr>
                <w:sz w:val="20"/>
                <w:szCs w:val="20"/>
                <w:color w:val="auto"/>
              </w:rPr>
            </w:pPr>
            <w:r>
              <w:rPr>
                <w:rFonts w:ascii="Arial" w:cs="Arial" w:eastAsia="Arial" w:hAnsi="Arial"/>
                <w:sz w:val="14"/>
                <w:szCs w:val="14"/>
                <w:color w:val="auto"/>
              </w:rPr>
              <w:t>for sale securities, net of deferred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600"/>
              <w:spacing w:after="0" w:line="149" w:lineRule="exact"/>
              <w:rPr>
                <w:sz w:val="20"/>
                <w:szCs w:val="20"/>
                <w:color w:val="auto"/>
              </w:rPr>
            </w:pPr>
            <w:r>
              <w:rPr>
                <w:rFonts w:ascii="Arial" w:cs="Arial" w:eastAsia="Arial" w:hAnsi="Arial"/>
                <w:sz w:val="14"/>
                <w:szCs w:val="14"/>
                <w:color w:val="auto"/>
              </w:rPr>
              <w:t>tax benefit and reclassification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600"/>
              <w:spacing w:after="0"/>
              <w:rPr>
                <w:sz w:val="20"/>
                <w:szCs w:val="20"/>
                <w:color w:val="auto"/>
              </w:rPr>
            </w:pPr>
            <w:r>
              <w:rPr>
                <w:rFonts w:ascii="Arial" w:cs="Arial" w:eastAsia="Arial" w:hAnsi="Arial"/>
                <w:sz w:val="14"/>
                <w:szCs w:val="14"/>
                <w:color w:val="auto"/>
              </w:rPr>
              <w:t>adjustment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(3,009)</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(3,009)</w:t>
            </w: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5"/>
              </w:rPr>
              <w:t>Unrealized gains on derivative financial</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7"/>
              </w:rPr>
              <w:t>instruments qualifying as cash flow</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4"/>
              </w:rPr>
              <w:t>hedges, net of deferred tax expense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and reclassification adjustment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5,500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40" w:type="dxa"/>
            <w:vAlign w:val="bottom"/>
          </w:tcPr>
          <w:p>
            <w:pPr>
              <w:ind w:left="600"/>
              <w:spacing w:after="0"/>
              <w:rPr>
                <w:sz w:val="20"/>
                <w:szCs w:val="20"/>
                <w:color w:val="auto"/>
              </w:rPr>
            </w:pPr>
            <w:r>
              <w:rPr>
                <w:rFonts w:ascii="Arial" w:cs="Arial" w:eastAsia="Arial" w:hAnsi="Arial"/>
                <w:sz w:val="14"/>
                <w:szCs w:val="14"/>
                <w:color w:val="auto"/>
              </w:rPr>
              <w:t>Comprehensive (loss) income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(16,703)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2,491</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(14,212)</w:t>
            </w: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dividends declared on common stock</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($.18 per share)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(8,465)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(8,465)</w:t>
            </w: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Stock dividends declared on common 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200"/>
              <w:spacing w:after="0"/>
              <w:rPr>
                <w:sz w:val="20"/>
                <w:szCs w:val="20"/>
                <w:color w:val="auto"/>
              </w:rPr>
            </w:pPr>
            <w:r>
              <w:rPr>
                <w:rFonts w:ascii="Arial" w:cs="Arial" w:eastAsia="Arial" w:hAnsi="Arial"/>
                <w:sz w:val="14"/>
                <w:szCs w:val="14"/>
                <w:color w:val="auto"/>
              </w:rPr>
              <w:t>(360,155 shares, 1 for 130 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(4,279)</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(4,667)</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8,906</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 (79,935 shares)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(927)</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1,947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Common stock issued to Dividend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00"/>
              <w:spacing w:after="0" w:line="149" w:lineRule="exact"/>
              <w:rPr>
                <w:sz w:val="20"/>
                <w:szCs w:val="20"/>
                <w:color w:val="auto"/>
              </w:rPr>
            </w:pPr>
            <w:r>
              <w:rPr>
                <w:rFonts w:ascii="Arial" w:cs="Arial" w:eastAsia="Arial" w:hAnsi="Arial"/>
                <w:sz w:val="14"/>
                <w:szCs w:val="14"/>
                <w:color w:val="auto"/>
                <w:w w:val="98"/>
              </w:rPr>
              <w:t>Reinvestment Plan and employee benefit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200"/>
              <w:spacing w:after="0"/>
              <w:rPr>
                <w:sz w:val="20"/>
                <w:szCs w:val="20"/>
                <w:color w:val="auto"/>
              </w:rPr>
            </w:pPr>
            <w:r>
              <w:rPr>
                <w:rFonts w:ascii="Arial" w:cs="Arial" w:eastAsia="Arial" w:hAnsi="Arial"/>
                <w:sz w:val="14"/>
                <w:szCs w:val="14"/>
                <w:color w:val="auto"/>
              </w:rPr>
              <w:t>plans (233,276 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(2,689)</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5,460</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2,771</w:t>
            </w: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Amortization of stock options and restricted</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2,928</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2,928</w:t>
            </w: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Vesting of restricted stock (15,159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200"/>
              <w:spacing w:after="0"/>
              <w:rPr>
                <w:sz w:val="20"/>
                <w:szCs w:val="20"/>
                <w:color w:val="auto"/>
              </w:rPr>
            </w:pPr>
            <w:r>
              <w:rPr>
                <w:rFonts w:ascii="Arial" w:cs="Arial" w:eastAsia="Arial" w:hAnsi="Arial"/>
                <w:sz w:val="14"/>
                <w:szCs w:val="14"/>
                <w:color w:val="auto"/>
              </w:rPr>
              <w:t>issued, 8,700 shares deferred)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264</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(626)</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362</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Deferred compensation plan, net, including</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dividend equivalents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512</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w w:val="91"/>
              </w:rPr>
              <w:t>Shares issued from deferred compensation plan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200"/>
              <w:spacing w:after="0"/>
              <w:rPr>
                <w:sz w:val="20"/>
                <w:szCs w:val="20"/>
                <w:color w:val="auto"/>
              </w:rPr>
            </w:pPr>
            <w:r>
              <w:rPr>
                <w:rFonts w:ascii="Arial" w:cs="Arial" w:eastAsia="Arial" w:hAnsi="Arial"/>
                <w:sz w:val="14"/>
                <w:szCs w:val="14"/>
                <w:color w:val="auto"/>
              </w:rPr>
              <w:t>(4,214 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(114)</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99</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options exercised</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476</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Dividends declared on preferred stock ($.45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200"/>
              <w:spacing w:after="0"/>
              <w:rPr>
                <w:sz w:val="20"/>
                <w:szCs w:val="20"/>
                <w:color w:val="auto"/>
              </w:rPr>
            </w:pPr>
            <w:r>
              <w:rPr>
                <w:rFonts w:ascii="Arial" w:cs="Arial" w:eastAsia="Arial" w:hAnsi="Arial"/>
                <w:sz w:val="14"/>
                <w:szCs w:val="14"/>
                <w:color w:val="auto"/>
              </w:rPr>
              <w:t>per share)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September 30, 2008</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48,809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2,762</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457,779</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$ 317,544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(27,024)</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16,752</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816,880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559" w:hanging="348"/>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loss for the third quarter of 2008 was $23,443,000 and comprehensive income for the third quarter of 2007 was $38,911,000.</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UNITED COMMUNITY BANKS, INC.</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5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vMerge w:val="restart"/>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Borders>
              <w:bottom w:val="single" w:sz="8" w:color="auto"/>
            </w:tcBorders>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activities, net of effect of business combinations: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Net (loss)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(16,703)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53,792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6"/>
              </w:rPr>
              <w:t>Adjustments to reconcile net (loss) income to net cash provided by 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Depreciation, amortization and accretion</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11,134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10,553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Provision for loan losses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99,000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Stock based compensation</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2,928</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Gain on sale of securities available for sale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Loss (gain) on sale of other assets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Loss (gain) on sale of other real estate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10,391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Loss on prepayment of borrowings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600"/>
              <w:spacing w:after="0"/>
              <w:rPr>
                <w:sz w:val="20"/>
                <w:szCs w:val="20"/>
                <w:color w:val="auto"/>
              </w:rPr>
            </w:pPr>
            <w:r>
              <w:rPr>
                <w:rFonts w:ascii="Arial" w:cs="Arial" w:eastAsia="Arial" w:hAnsi="Arial"/>
                <w:sz w:val="18"/>
                <w:szCs w:val="18"/>
                <w:color w:val="auto"/>
              </w:rPr>
              <w:t>Other assets and accrued interest receivable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1,792</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(8,737)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600"/>
              <w:spacing w:after="0"/>
              <w:rPr>
                <w:sz w:val="20"/>
                <w:szCs w:val="20"/>
                <w:color w:val="auto"/>
              </w:rPr>
            </w:pPr>
            <w:r>
              <w:rPr>
                <w:rFonts w:ascii="Arial" w:cs="Arial" w:eastAsia="Arial" w:hAnsi="Arial"/>
                <w:sz w:val="18"/>
                <w:szCs w:val="18"/>
                <w:color w:val="auto"/>
              </w:rPr>
              <w:t>Mortgage loans held for sale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10,241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11,608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118,408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86,189</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Investing activities, net of effect of business combinations:</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sales of securities available for sale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84,955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106,709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396,673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248,991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Purchases of securities available for sale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(519,421)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(484,229)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Net increase in loans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(58,709)</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(81,394)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 of Bank Owned Life Insurance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Proceeds from sales of premises and equipment</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514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Purchases of premises and equipment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(8,960)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Net cash paid for acquisitions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sale of other real estate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51,970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Net cash used by investing activities</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(52,978)</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Financing activities, net of effect of business combinations: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Net change in deposits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613,384</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(186,423)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Net change in federal funds purchased, repurchase agreements, and other short-term</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borrowings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(518,763)</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472,852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Repayments of other borrowings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FHLB advances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Repayments of FHLB advances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(634,000)</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(931,164)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issuance of subordinated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Proceeds from issuance of common stock for dividend reinvestment and employee</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benefit plans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2,771</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Retirement of preferred stock</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Cash dividends on common stock</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(12,713)</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dividends on preferred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Net cash (used) provided by financing activities</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(118,313)</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(52,883)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67,171</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219,623</w:t>
            </w: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171,284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166,740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238,455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8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Interest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173,976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203,519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20,124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37,661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19"/>
          </w:cols>
          <w:pgMar w:left="240" w:top="405" w:right="1440" w:bottom="537"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537"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United Community Banks,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 Accounting Policies</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and general banking industry practices. The accompanying interim consolidated financial statements have not been audited. All material intercompany balances and transactions have been eliminated. A more detailed description of United’s accounting policies is included in the 2007 annual report filed on Form 10-K.</w:t>
      </w:r>
    </w:p>
    <w:p>
      <w:pPr>
        <w:spacing w:after="0" w:line="16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 Stock-Based Compensation</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September 30, 2008, approximately 1,385,000 additional awards could be granted under the plan. Through September 30, 2008, only incentive stock options, nonqualified stock options and restricted stock awards and units had been granted under the plan.</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stock option activity for the first nine months of 2008.</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8"/>
              </w:rPr>
              <w:t>Weighted-</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Aggregate</w:t>
            </w:r>
          </w:p>
        </w:tc>
      </w:tr>
      <w:tr>
        <w:trPr>
          <w:trHeight w:val="216"/>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Average Exercise</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Options</w:t>
            </w:r>
          </w:p>
        </w:tc>
        <w:tc>
          <w:tcPr>
            <w:tcW w:w="26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Price</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Term (Years)</w:t>
            </w: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w w:val="95"/>
              </w:rPr>
              <w:t xml:space="preserve">Value </w:t>
            </w: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000)</w:t>
            </w:r>
          </w:p>
        </w:tc>
      </w:tr>
      <w:tr>
        <w:trPr>
          <w:trHeight w:val="210"/>
        </w:trPr>
        <w:tc>
          <w:tcPr>
            <w:tcW w:w="3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2,912,557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21.57</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Stock dividend adjustment</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25,770</w:t>
            </w:r>
          </w:p>
        </w:tc>
        <w:tc>
          <w:tcPr>
            <w:tcW w:w="1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594,750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13.76</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(87,941)</w:t>
            </w:r>
          </w:p>
        </w:tc>
        <w:tc>
          <w:tcPr>
            <w:tcW w:w="1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13.41</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(53,175)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28.50</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Expired</w:t>
            </w:r>
          </w:p>
        </w:tc>
        <w:tc>
          <w:tcPr>
            <w:tcW w:w="2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(34,370)</w:t>
            </w:r>
          </w:p>
        </w:tc>
        <w:tc>
          <w:tcPr>
            <w:tcW w:w="16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24.08</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2008</w:t>
            </w:r>
          </w:p>
        </w:tc>
        <w:tc>
          <w:tcPr>
            <w:tcW w:w="2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3,357,591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w:t>
            </w:r>
          </w:p>
        </w:tc>
      </w:tr>
      <w:tr>
        <w:trPr>
          <w:trHeight w:val="20"/>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800" w:type="dxa"/>
            <w:vAlign w:val="bottom"/>
          </w:tcPr>
          <w:p>
            <w:pPr>
              <w:spacing w:after="0"/>
              <w:rPr>
                <w:sz w:val="20"/>
                <w:szCs w:val="20"/>
                <w:color w:val="auto"/>
              </w:rPr>
            </w:pPr>
            <w:r>
              <w:rPr>
                <w:rFonts w:ascii="Arial" w:cs="Arial" w:eastAsia="Arial" w:hAnsi="Arial"/>
                <w:sz w:val="18"/>
                <w:szCs w:val="18"/>
                <w:color w:val="auto"/>
              </w:rPr>
              <w:t>Exercisable at September 30, 2008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2,027,290</w:t>
            </w: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18.81</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950</w:t>
            </w:r>
          </w:p>
        </w:tc>
      </w:tr>
      <w:tr>
        <w:trPr>
          <w:trHeight w:val="20"/>
        </w:trPr>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weighted average fair value of stock options granted in the first nine months of 2008 and 2007 was $2.90 and $8.29, respectively. The fair value of each option granted was estimated on the date of grant using the Black-Scholes model. Because United’s option plan has not been in place long enough to gather sufficient information about exercise patterns to establish an expected life, United uses the formula provided by the Securities and Exchange Commission in Staff Accounting Bulletin No. 107 to determine the expected life of options. The weighted average assumptions used to determine the fair value of stock options are presented in the table below.</w:t>
      </w:r>
    </w:p>
    <w:p>
      <w:pPr>
        <w:spacing w:after="0" w:line="189"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ind w:left="7400"/>
        <w:spacing w:after="0"/>
        <w:tabs>
          <w:tab w:leader="none" w:pos="8800" w:val="left"/>
        </w:tabs>
        <w:rPr>
          <w:sz w:val="20"/>
          <w:szCs w:val="20"/>
          <w:color w:val="auto"/>
        </w:rPr>
      </w:pPr>
      <w:r>
        <w:rPr>
          <w:rFonts w:ascii="Arial" w:cs="Arial" w:eastAsia="Arial" w:hAnsi="Arial"/>
          <w:sz w:val="18"/>
          <w:szCs w:val="18"/>
          <w:b w:val="1"/>
          <w:bCs w:val="1"/>
          <w:color w:val="auto"/>
        </w:rPr>
        <w:t>2008</w:t>
      </w:r>
      <w:r>
        <w:rPr>
          <w:sz w:val="20"/>
          <w:szCs w:val="20"/>
          <w:color w:val="auto"/>
        </w:rPr>
        <w:tab/>
      </w:r>
      <w:r>
        <w:rPr>
          <w:rFonts w:ascii="Arial" w:cs="Arial" w:eastAsia="Arial" w:hAnsi="Arial"/>
          <w:sz w:val="18"/>
          <w:szCs w:val="18"/>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-130810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14605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23.42%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780" w:type="dxa"/>
            <w:vAlign w:val="bottom"/>
          </w:tcPr>
          <w:p>
            <w:pPr>
              <w:jc w:val="right"/>
              <w:ind w:right="350"/>
              <w:spacing w:after="0"/>
              <w:rPr>
                <w:sz w:val="20"/>
                <w:szCs w:val="20"/>
                <w:color w:val="auto"/>
              </w:rPr>
            </w:pPr>
            <w:r>
              <w:rPr>
                <w:rFonts w:ascii="Arial" w:cs="Arial" w:eastAsia="Arial" w:hAnsi="Arial"/>
                <w:sz w:val="18"/>
                <w:szCs w:val="18"/>
                <w:color w:val="auto"/>
              </w:rPr>
              <w:t>2.62%</w:t>
            </w: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7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6.25</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6.27</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Risk-free rate</w:t>
            </w:r>
          </w:p>
        </w:tc>
        <w:tc>
          <w:tcPr>
            <w:tcW w:w="3780" w:type="dxa"/>
            <w:vAlign w:val="bottom"/>
          </w:tcPr>
          <w:p>
            <w:pPr>
              <w:jc w:val="right"/>
              <w:ind w:right="350"/>
              <w:spacing w:after="0"/>
              <w:rPr>
                <w:sz w:val="20"/>
                <w:szCs w:val="20"/>
                <w:color w:val="auto"/>
              </w:rPr>
            </w:pPr>
            <w:r>
              <w:rPr>
                <w:rFonts w:ascii="Arial" w:cs="Arial" w:eastAsia="Arial" w:hAnsi="Arial"/>
                <w:sz w:val="18"/>
                <w:szCs w:val="18"/>
                <w:color w:val="auto"/>
              </w:rPr>
              <w:t>3.44%</w:t>
            </w:r>
          </w:p>
        </w:tc>
        <w:tc>
          <w:tcPr>
            <w:tcW w:w="1020" w:type="dxa"/>
            <w:vAlign w:val="bottom"/>
          </w:tcPr>
          <w:p>
            <w:pPr>
              <w:jc w:val="right"/>
              <w:spacing w:after="0"/>
              <w:rPr>
                <w:sz w:val="20"/>
                <w:szCs w:val="20"/>
                <w:color w:val="auto"/>
              </w:rPr>
            </w:pPr>
            <w:r>
              <w:rPr>
                <w:rFonts w:ascii="Arial" w:cs="Arial" w:eastAsia="Arial" w:hAnsi="Arial"/>
                <w:sz w:val="18"/>
                <w:szCs w:val="18"/>
                <w:color w:val="auto"/>
              </w:rPr>
              <w:t>4.60%</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United’s stock trading history began in March of 2002 when United listed on the Nasdaq National Market. For 2008 and 2007, expected volatility was determined using United’s historical monthly volatility over the period beginning in March of 2002 through the end of the last completed year. Compensation expense for stock options was $1,578,000 and $1,564,000 for the nine months ended September 30, 2008 and 2007, respectively, which was net of deferred tax benefits of $692,000 and $492,000, respectively. The amount of compensation expense for both periods was determined based on the fair value of the options at the time of grant, multiplied by the number of options granted that were expected to vest, which was then amortized, net of any applicable tax benefit, over the vesting period. The forfeiture rate for options is estimated to be approximately 3% per year. The total intrinsic value of options exercised during the nine months ended September 30, 2008 and 2007 was $391,000 and $2,163,000, respectively.</w:t>
      </w:r>
    </w:p>
    <w:p>
      <w:pPr>
        <w:spacing w:after="0" w:line="15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presents the activity in restricted stock awards for the first nine months of 2008.</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r>
      <w:tr>
        <w:trPr>
          <w:trHeight w:val="216"/>
        </w:trPr>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Grant-Date Fair</w:t>
            </w:r>
          </w:p>
        </w:tc>
      </w:t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Restricted Stock</w:t>
            </w:r>
          </w:p>
        </w:tc>
        <w:tc>
          <w:tcPr>
            <w:tcW w:w="280" w:type="dxa"/>
            <w:vAlign w:val="bottom"/>
          </w:tcPr>
          <w:p>
            <w:pPr>
              <w:spacing w:after="0"/>
              <w:rPr>
                <w:sz w:val="20"/>
                <w:szCs w:val="20"/>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Value</w:t>
            </w:r>
          </w:p>
        </w:tc>
      </w:tr>
      <w:tr>
        <w:trPr>
          <w:trHeight w:val="210"/>
        </w:trPr>
        <w:tc>
          <w:tcPr>
            <w:tcW w:w="6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84,413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29.26</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Stock dividend adjustment</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669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31,097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14.19</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Vested</w:t>
            </w:r>
          </w:p>
        </w:tc>
        <w:tc>
          <w:tcPr>
            <w:tcW w:w="1560" w:type="dxa"/>
            <w:vAlign w:val="bottom"/>
            <w:gridSpan w:val="4"/>
          </w:tcPr>
          <w:p>
            <w:pPr>
              <w:jc w:val="right"/>
              <w:ind w:right="300"/>
              <w:spacing w:after="0"/>
              <w:rPr>
                <w:sz w:val="20"/>
                <w:szCs w:val="20"/>
                <w:color w:val="auto"/>
              </w:rPr>
            </w:pPr>
            <w:r>
              <w:rPr>
                <w:rFonts w:ascii="Arial" w:cs="Arial" w:eastAsia="Arial" w:hAnsi="Arial"/>
                <w:sz w:val="18"/>
                <w:szCs w:val="18"/>
                <w:color w:val="auto"/>
              </w:rPr>
              <w:t>(23,859)</w:t>
            </w: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26.95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5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(3,000)</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30.10</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Outstanding at September 30, 2008</w:t>
            </w:r>
          </w:p>
        </w:tc>
        <w:tc>
          <w:tcPr>
            <w:tcW w:w="2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89,320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24.38</w:t>
            </w:r>
          </w:p>
        </w:tc>
      </w:tr>
      <w:tr>
        <w:trPr>
          <w:trHeight w:val="20"/>
        </w:trPr>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nine months ended September 30, 2008 and 2007, compensation expense of $659,000 and $555,000, respectively, was recognized related to restricted stock awards. The total intrinsic value of the restricted stock was $1,184,000 at September 30, 2008.</w:t>
      </w:r>
    </w:p>
    <w:p>
      <w:pPr>
        <w:spacing w:after="0" w:line="14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As of September 30, 2008, there was $7.9 million of unrecognized compensation cost related to nonvested stock options and restricted stock awards granted under the plan. That cost is expected to be recognized over a weighted-average period of 1.4 years. The aggregate grant date fair value of options and restricted stock awards that vested during the nine months ended September 30, 2008, was $3.6 million.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 Common Stock Issued / Common Stock Issuable</w:t>
      </w:r>
    </w:p>
    <w:p>
      <w:pPr>
        <w:spacing w:after="0" w:line="189"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United provides a Dividend Reinvestment and Share Purchase Plan (DRIP) to its shareholders. Under the DRIP, shareholders of record can voluntarily reinvest all or a portion of their cash dividends into shares of United’s common stock, as well as purchase additional stock through the plan with cash. 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nine months ended September 30, 2008 and 2007, United issued 233,276 and 123,692 shares, respectively, and increased capital by $2.8 million and $3.6 million, respectively, through these programs.</w:t>
      </w:r>
    </w:p>
    <w:p>
      <w:pPr>
        <w:spacing w:after="0" w:line="13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At September 30, 2008 and 2007, 116,567 and 66,366 shares, respectively, were issuable under the deferred compensation plan.</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 Earnings Per Share</w:t>
      </w:r>
    </w:p>
    <w:p>
      <w:pPr>
        <w:spacing w:after="0" w:line="202"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months and nine months ended September 30, 2008 and 2007</w:t>
      </w:r>
      <w:r>
        <w:rPr>
          <w:rFonts w:ascii="Arial" w:cs="Arial" w:eastAsia="Arial" w:hAnsi="Arial"/>
          <w:sz w:val="18"/>
          <w:szCs w:val="18"/>
          <w:i w:val="1"/>
          <w:iCs w:val="1"/>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(39,878)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(16,715)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53,778</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47,304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48,348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47,111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45,452</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Effect of dilutive securities</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options and restricted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2"/>
        </w:trPr>
        <w:tc>
          <w:tcPr>
            <w:tcW w:w="4400" w:type="dxa"/>
            <w:vAlign w:val="bottom"/>
          </w:tcPr>
          <w:p>
            <w:pPr>
              <w:ind w:left="400"/>
              <w:spacing w:after="0" w:line="201" w:lineRule="exact"/>
              <w:rPr>
                <w:sz w:val="20"/>
                <w:szCs w:val="20"/>
                <w:color w:val="auto"/>
              </w:rPr>
            </w:pPr>
            <w:r>
              <w:rPr>
                <w:rFonts w:ascii="Arial" w:cs="Arial" w:eastAsia="Arial" w:hAnsi="Arial"/>
                <w:sz w:val="18"/>
                <w:szCs w:val="18"/>
                <w:color w:val="auto"/>
              </w:rPr>
              <w:t>Common stock issuable under deferred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600"/>
              <w:spacing w:after="0"/>
              <w:rPr>
                <w:sz w:val="20"/>
                <w:szCs w:val="20"/>
                <w:color w:val="auto"/>
              </w:rPr>
            </w:pPr>
            <w:r>
              <w:rPr>
                <w:rFonts w:ascii="Arial" w:cs="Arial" w:eastAsia="Arial" w:hAnsi="Arial"/>
                <w:sz w:val="18"/>
                <w:szCs w:val="18"/>
                <w:color w:val="auto"/>
              </w:rPr>
              <w:t>compensation plan</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47,111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46,235</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559" w:hanging="348"/>
        <w:spacing w:after="0" w:line="277" w:lineRule="auto"/>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Due to a net loss for the three months and nine months ended September 30, 2008, stock options, restricted stock, and common stock issuable are considered anti-dilutive and thus are not included in this calculation.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Assets and Liabilities Measured at Fair Value</w:t>
      </w:r>
    </w:p>
    <w:p>
      <w:pPr>
        <w:spacing w:after="0" w:line="20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 xml:space="preserve">On January 1, 2008, United adopted Statement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SFAS No. 157 defines fair value, establishes a framework for measuring fair value, and expands disclosures about fair value measurements. SFAS No. 157 applies to reported balances that are required or permitted to be measured at fair value under existing accounting pronouncements; accordingly, the standard does not require any new fair value measurements of reported balances.</w:t>
      </w:r>
    </w:p>
    <w:p>
      <w:pPr>
        <w:spacing w:after="0" w:line="148"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SFAS No. 157 emphasizes that 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SFAS No. 157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Hierarchy</w:t>
      </w:r>
    </w:p>
    <w:p>
      <w:pPr>
        <w:spacing w:after="0" w:line="202" w:lineRule="exact"/>
        <w:rPr>
          <w:sz w:val="20"/>
          <w:szCs w:val="20"/>
          <w:color w:val="auto"/>
        </w:rPr>
      </w:pPr>
    </w:p>
    <w:p>
      <w:pPr>
        <w:jc w:val="both"/>
        <w:ind w:left="1360" w:right="559" w:hanging="580"/>
        <w:spacing w:after="0" w:line="277" w:lineRule="auto"/>
        <w:rPr>
          <w:sz w:val="20"/>
          <w:szCs w:val="20"/>
          <w:color w:val="auto"/>
        </w:rPr>
      </w:pPr>
      <w:r>
        <w:rPr>
          <w:rFonts w:ascii="Arial" w:cs="Arial" w:eastAsia="Arial" w:hAnsi="Arial"/>
          <w:sz w:val="18"/>
          <w:szCs w:val="18"/>
          <w:color w:val="auto"/>
        </w:rPr>
        <w:t>Level 1 Valuation is based upon quoted prices (unadjusted) in active markets for identical assets or liabilities that United has the ability to access.</w:t>
      </w:r>
    </w:p>
    <w:p>
      <w:pPr>
        <w:spacing w:after="0" w:line="130" w:lineRule="exact"/>
        <w:rPr>
          <w:sz w:val="20"/>
          <w:szCs w:val="20"/>
          <w:color w:val="auto"/>
        </w:rPr>
      </w:pPr>
    </w:p>
    <w:p>
      <w:pPr>
        <w:jc w:val="both"/>
        <w:ind w:left="1360" w:right="559" w:hanging="580"/>
        <w:spacing w:after="0" w:line="264" w:lineRule="auto"/>
        <w:rPr>
          <w:sz w:val="20"/>
          <w:szCs w:val="20"/>
          <w:color w:val="auto"/>
        </w:rPr>
      </w:pPr>
      <w:r>
        <w:rPr>
          <w:rFonts w:ascii="Arial" w:cs="Arial" w:eastAsia="Arial" w:hAnsi="Arial"/>
          <w:sz w:val="18"/>
          <w:szCs w:val="18"/>
          <w:color w:val="auto"/>
        </w:rPr>
        <w:t>Level 2 Valuation is based upon quoted prices for similar assets and liabilities in active markets, as well as inputs that are observable for the asset or liability (other than quoted prices), such as interest rates, foreign exchange rates, and yield curves that are observable at commonly quoted intervals.</w:t>
      </w:r>
    </w:p>
    <w:p>
      <w:pPr>
        <w:spacing w:after="0" w:line="141" w:lineRule="exact"/>
        <w:rPr>
          <w:sz w:val="20"/>
          <w:szCs w:val="20"/>
          <w:color w:val="auto"/>
        </w:rPr>
      </w:pPr>
    </w:p>
    <w:p>
      <w:pPr>
        <w:jc w:val="both"/>
        <w:ind w:left="1360" w:right="559" w:hanging="580"/>
        <w:spacing w:after="0" w:line="291" w:lineRule="auto"/>
        <w:tabs>
          <w:tab w:leader="none" w:pos="13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Valuation is generated from model-based techniques that use at least one significant assumption based on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40" w:lineRule="exact"/>
        <w:rPr>
          <w:sz w:val="20"/>
          <w:szCs w:val="20"/>
          <w:color w:val="auto"/>
        </w:rPr>
      </w:pPr>
    </w:p>
    <w:p>
      <w:pPr>
        <w:ind w:left="340" w:right="1599" w:firstLine="373"/>
        <w:spacing w:after="0" w:line="454" w:lineRule="auto"/>
        <w:rPr>
          <w:sz w:val="20"/>
          <w:szCs w:val="20"/>
          <w:color w:val="auto"/>
        </w:rPr>
      </w:pPr>
      <w:r>
        <w:rPr>
          <w:rFonts w:ascii="Arial" w:cs="Arial" w:eastAsia="Arial" w:hAnsi="Arial"/>
          <w:sz w:val="18"/>
          <w:szCs w:val="18"/>
          <w:color w:val="auto"/>
        </w:rPr>
        <w:t xml:space="preserve">The following is a description of valuation methodologies used for assets and liabilities recorded at fair value. </w:t>
      </w:r>
      <w:r>
        <w:rPr>
          <w:rFonts w:ascii="Arial" w:cs="Arial" w:eastAsia="Arial" w:hAnsi="Arial"/>
          <w:sz w:val="18"/>
          <w:szCs w:val="18"/>
          <w:b w:val="1"/>
          <w:bCs w:val="1"/>
          <w:color w:val="auto"/>
        </w:rPr>
        <w:t>Securities Available for Sale</w:t>
      </w:r>
    </w:p>
    <w:p>
      <w:pPr>
        <w:jc w:val="both"/>
        <w:ind w:left="340" w:right="559" w:firstLine="373"/>
        <w:spacing w:after="0" w:line="271" w:lineRule="auto"/>
        <w:rPr>
          <w:sz w:val="20"/>
          <w:szCs w:val="20"/>
          <w:color w:val="auto"/>
        </w:rPr>
      </w:pPr>
      <w:r>
        <w:rPr>
          <w:rFonts w:ascii="Arial" w:cs="Arial" w:eastAsia="Arial" w:hAnsi="Arial"/>
          <w:sz w:val="17"/>
          <w:szCs w:val="17"/>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and corporate debt securities. Securities classified as Level 3 include asset-backed securities in less liquid markets.</w:t>
      </w:r>
    </w:p>
    <w:p>
      <w:pPr>
        <w:sectPr>
          <w:pgSz w:w="11900" w:h="16838" w:orient="portrait"/>
          <w:cols w:equalWidth="0" w:num="1">
            <w:col w:w="10219"/>
          </w:cols>
          <w:pgMar w:left="240" w:top="419" w:right="1440" w:bottom="215" w:gutter="0" w:footer="0" w:header="0"/>
        </w:sectPr>
      </w:pPr>
    </w:p>
    <w:bookmarkStart w:id="11" w:name="page12"/>
    <w:bookmarkEnd w:id="11"/>
    <w:p>
      <w:pPr>
        <w:ind w:left="376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179070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Deferred Compensation Plan Assets and Liabilities</w:t>
      </w:r>
    </w:p>
    <w:p>
      <w:pPr>
        <w:spacing w:after="0" w:line="202"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Sale</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Loans held for sale are carried at the lower of cost or market value. The fair value of loans held for sale is based on what secondary markets are currently offering for portfolios with similar characteristics. As such, United classifies loans subjected to nonrecurring fair value adjustments as Level 2.</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w:t>
      </w:r>
    </w:p>
    <w:p>
      <w:pPr>
        <w:spacing w:after="0" w:line="189"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 xml:space="preserve">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in accordance with SFAS 114, </w:t>
      </w:r>
      <w:r>
        <w:rPr>
          <w:rFonts w:ascii="Arial" w:cs="Arial" w:eastAsia="Arial" w:hAnsi="Arial"/>
          <w:sz w:val="16"/>
          <w:szCs w:val="16"/>
          <w:i w:val="1"/>
          <w:iCs w:val="1"/>
          <w:color w:val="auto"/>
        </w:rPr>
        <w:t>Accounting by Creditors for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of a Loan</w:t>
      </w:r>
      <w:r>
        <w:rPr>
          <w:rFonts w:ascii="Arial" w:cs="Arial" w:eastAsia="Arial" w:hAnsi="Arial"/>
          <w:sz w:val="16"/>
          <w:szCs w:val="16"/>
          <w:color w:val="auto"/>
        </w:rPr>
        <w:t>, (SFAS 114). The fair value of impaired loans is estimated using one of several methods, including collateral value,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similar debt, enterprise value, liquidation value and discounted cash flows. Those impaired loans not requiring an allowance represent loans for which the fair value of the expected repayments or collateral exceed the recorded investments in such loans. At September 30, 2008, substantially all of the total impaired loans were evaluated based on the fair value of the collateral. In accordance with SFAS 157,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Foreclosed Assets</w:t>
      </w:r>
    </w:p>
    <w:p>
      <w:pPr>
        <w:spacing w:after="0" w:line="202"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Foreclosed assets are adjusted to fair value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89"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Goodwill and identified intangible assets are subject to impairment testing. United’s approach to testing goodwill for impairment is to compare the business unit’s carrying value to the implied fair value based on multiples of earnings and tangible book value for recently completed merger transactions. In the event the fair value is determined to be less than the carrying value, the asset is recorded at fair value as determined by the valuation model. As such, United classifies goodwill and other intangible assets subjected to nonrecurring fair value adjustments as Level 3.</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Financial Instruments</w:t>
      </w:r>
    </w:p>
    <w:p>
      <w:pPr>
        <w:spacing w:after="0" w:line="189"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Currently, United uses interest rate swaps and interest rate floors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137"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SFAS No. 157,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Although United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September 30, 2008, United has assessed the significance of the effect of the credit valuation adjustments on the overall valuation of its derivative positions and has determined that the credit valuation adjustments are not significant to the overall valuation of its derivatives. As a result, United has determined that its derivative valuations in their entirety are classified in Level 2 of the fair value hierarchy.</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table below presents United’s assets and liabilities measured at fair value on a recurring basis as of September 30, 2008, aggregated by the level in the fair value hierarchy within which those measurements fall.</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Level 2</w:t>
            </w: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2"/>
              </w:rPr>
              <w:t>September 30, 2008</w:t>
            </w:r>
          </w:p>
        </w:tc>
        <w:tc>
          <w:tcPr>
            <w:tcW w:w="0" w:type="dxa"/>
            <w:vAlign w:val="bottom"/>
          </w:tcPr>
          <w:p>
            <w:pPr>
              <w:spacing w:after="0"/>
              <w:rPr>
                <w:sz w:val="1"/>
                <w:szCs w:val="1"/>
                <w:color w:val="auto"/>
              </w:rPr>
            </w:pPr>
          </w:p>
        </w:tc>
      </w:tr>
      <w:tr>
        <w:trPr>
          <w:trHeight w:val="210"/>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1,400,827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1,400,827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16"/>
        </w:trPr>
        <w:tc>
          <w:tcPr>
            <w:tcW w:w="3760" w:type="dxa"/>
            <w:vAlign w:val="bottom"/>
          </w:tcPr>
          <w:p>
            <w:pPr>
              <w:ind w:left="200"/>
              <w:spacing w:after="0"/>
              <w:rPr>
                <w:sz w:val="20"/>
                <w:szCs w:val="20"/>
                <w:color w:val="auto"/>
              </w:rPr>
            </w:pPr>
            <w:r>
              <w:rPr>
                <w:rFonts w:ascii="Arial" w:cs="Arial" w:eastAsia="Arial" w:hAnsi="Arial"/>
                <w:sz w:val="18"/>
                <w:szCs w:val="18"/>
                <w:color w:val="auto"/>
              </w:rPr>
              <w:t>Derivative financial instruments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38,100</w:t>
            </w:r>
          </w:p>
        </w:tc>
        <w:tc>
          <w:tcPr>
            <w:tcW w:w="14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38,100</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1,438,927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1,443,362</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liability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4,435</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United may be required, from time to time, to measure certain assets at fair value on a nonrecurring basis in accordance with U.S. Generally Accepted Accounting Principles. These include assets that are measured at the lower of cost or market that were recognized at fair value below cost at the end of the period. The table below presents United’s assets and liabilities measured at fair value on a nonrecurring basis as of September 30, 2008, aggregated by the level in the fair value hierarchy within which those measurements fall.</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Level 3</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September 30, 2008</w:t>
            </w:r>
          </w:p>
        </w:tc>
        <w:tc>
          <w:tcPr>
            <w:tcW w:w="0" w:type="dxa"/>
            <w:vAlign w:val="bottom"/>
          </w:tcPr>
          <w:p>
            <w:pPr>
              <w:spacing w:after="0"/>
              <w:rPr>
                <w:sz w:val="1"/>
                <w:szCs w:val="1"/>
                <w:color w:val="auto"/>
              </w:rPr>
            </w:pPr>
          </w:p>
        </w:tc>
      </w:tr>
      <w:tr>
        <w:trPr>
          <w:trHeight w:val="210"/>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00"/>
              <w:spacing w:after="0"/>
              <w:rPr>
                <w:sz w:val="20"/>
                <w:szCs w:val="20"/>
                <w:color w:val="auto"/>
              </w:rPr>
            </w:pPr>
            <w:r>
              <w:rPr>
                <w:rFonts w:ascii="Arial" w:cs="Arial" w:eastAsia="Arial" w:hAnsi="Arial"/>
                <w:sz w:val="18"/>
                <w:szCs w:val="18"/>
                <w:color w:val="auto"/>
              </w:rPr>
              <w:t>Loans</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58,741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58,741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Foreclosed 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33,746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33,746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92,487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92,487</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Note 6 — Stock Dividend</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During the third quarter of 2008, United replaced its regular cash dividend with a stock dividend at a rate of 1 new share for every 130 shares owned. The stock dividend has been reflected in the financial statements as an issuance of stock with no proceeds rather than a stock split and therefore previously numbers of shares outstanding have not been adjusted. The amount of $40,000 shown in the equity statement as a reduction of capital related to the stock dividend is the amount of cash paid to shareholders for fractional shares.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 Issuance of Subordinated Debt</w:t>
      </w:r>
    </w:p>
    <w:p>
      <w:pPr>
        <w:spacing w:after="0" w:line="20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On August 29, 2008, United Community Bank, United’s wholly-owned banking subsidiary, issued $30 million in subordinated debt which qualifies as Tier II capital under Risk-Based Capital rules. The unsecured subordinated debt accrues interest at three-month LIBOR plus 4.00% and matures on August 29, 2015. The subordinated debt is pre-payable at any time without penalty.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 Recent Accounting Pronouncements</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 xml:space="preserve">In February 2008, the Financial Accounting Standards Board (“FASB”) issued FASB Staff Position (“FSP”) FAS 140-3 </w:t>
      </w:r>
      <w:r>
        <w:rPr>
          <w:rFonts w:ascii="Arial" w:cs="Arial" w:eastAsia="Arial" w:hAnsi="Arial"/>
          <w:sz w:val="18"/>
          <w:szCs w:val="18"/>
          <w:i w:val="1"/>
          <w:iCs w:val="1"/>
          <w:color w:val="auto"/>
        </w:rPr>
        <w:t xml:space="preserve">Accounting for Transfers of Financial Assets and Repurchase Financing Transactions. </w:t>
      </w:r>
      <w:r>
        <w:rPr>
          <w:rFonts w:ascii="Arial" w:cs="Arial" w:eastAsia="Arial" w:hAnsi="Arial"/>
          <w:sz w:val="18"/>
          <w:szCs w:val="18"/>
          <w:color w:val="auto"/>
        </w:rPr>
        <w:t>This statement provides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accounting for a transfer of a financial asset and repurchase financing where the counterparties for both transactions are the same. In these circumstances, certain criteria must be met in order to not account for the transactions as a linked transaction. This FSP becomes effective for fiscal years and interim periods within those fiscal years, beginning on or after November 15, 2008. United does not anticipate that this FSP will have a material effect on United’s financial position, results of operations, or disclosures.</w:t>
      </w:r>
    </w:p>
    <w:p>
      <w:pPr>
        <w:sectPr>
          <w:pgSz w:w="11900" w:h="16838" w:orient="portrait"/>
          <w:cols w:equalWidth="0" w:num="1">
            <w:col w:w="10219"/>
          </w:cols>
          <w:pgMar w:left="240" w:top="419" w:right="1440" w:bottom="131" w:gutter="0" w:footer="0" w:header="0"/>
        </w:sectPr>
      </w:pPr>
    </w:p>
    <w:bookmarkStart w:id="14" w:name="page15"/>
    <w:bookmarkEnd w:id="14"/>
    <w:p>
      <w:pPr>
        <w:ind w:left="370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 xml:space="preserve">In February 2008, the FASB issued FSP FAS 157-1 </w:t>
      </w:r>
      <w:r>
        <w:rPr>
          <w:rFonts w:ascii="Arial" w:cs="Arial" w:eastAsia="Arial" w:hAnsi="Arial"/>
          <w:sz w:val="17"/>
          <w:szCs w:val="17"/>
          <w:i w:val="1"/>
          <w:iCs w:val="1"/>
          <w:color w:val="auto"/>
        </w:rPr>
        <w:t>Application of FASB Statement No. 157 to FASB Statement No. 13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Accounting Pronouncements That Address Fair Value Measurements for Purposes of Lease Classification or Measurement under Statement 13 </w:t>
      </w:r>
      <w:r>
        <w:rPr>
          <w:rFonts w:ascii="Arial" w:cs="Arial" w:eastAsia="Arial" w:hAnsi="Arial"/>
          <w:sz w:val="17"/>
          <w:szCs w:val="17"/>
          <w:color w:val="auto"/>
        </w:rPr>
        <w:t>and FSP 157-2</w:t>
      </w:r>
      <w:r>
        <w:rPr>
          <w:rFonts w:ascii="Arial" w:cs="Arial" w:eastAsia="Arial" w:hAnsi="Arial"/>
          <w:sz w:val="17"/>
          <w:szCs w:val="17"/>
          <w:i w:val="1"/>
          <w:iCs w:val="1"/>
          <w:color w:val="auto"/>
        </w:rPr>
        <w:t xml:space="preserve"> Effective Date of FASB Statement No. 157. </w:t>
      </w:r>
      <w:r>
        <w:rPr>
          <w:rFonts w:ascii="Arial" w:cs="Arial" w:eastAsia="Arial" w:hAnsi="Arial"/>
          <w:sz w:val="17"/>
          <w:szCs w:val="17"/>
          <w:color w:val="auto"/>
        </w:rPr>
        <w:t>FSP FAS 157-1 excludes leases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of SFAS No. 157, unless the lease is valued under a transaction covered by Statement of Financial Accounting Standards No. 141(R) (SFAS No. 141). FSP FAS 157-2 delays implementation of SFAS No. 157 for nonfinancial assets and nonfinancial liabilities measured at fair value on a non-recurring basis until fiscal years beginning after November 15, 2008 and interim periods within those fiscal years. Because United does not have any leases which are subject to fair value accounting, and because United already discloses nonfinancial assets measured at fair value on a nonrecurring basis in the financial statements, United does not anticipate that these FSPs will have a material effect on United’s financial position, results of operations, or disclosures.</w:t>
      </w:r>
    </w:p>
    <w:p>
      <w:pPr>
        <w:spacing w:after="0" w:line="15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 xml:space="preserve">In March 2008, the FASB issued Statement of Financial Accounting Standards No. 161 (SFAS No. 161), </w:t>
      </w:r>
      <w:r>
        <w:rPr>
          <w:rFonts w:ascii="Arial" w:cs="Arial" w:eastAsia="Arial" w:hAnsi="Arial"/>
          <w:sz w:val="17"/>
          <w:szCs w:val="17"/>
          <w:i w:val="1"/>
          <w:iCs w:val="1"/>
          <w:color w:val="auto"/>
        </w:rPr>
        <w:t>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Derivative Instruments and Hedging Activities. </w:t>
      </w:r>
      <w:r>
        <w:rPr>
          <w:rFonts w:ascii="Arial" w:cs="Arial" w:eastAsia="Arial" w:hAnsi="Arial"/>
          <w:sz w:val="17"/>
          <w:szCs w:val="17"/>
          <w:color w:val="auto"/>
        </w:rPr>
        <w:t>This statement requires an entity to provide enhanced disclosures about how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why an entity uses derivative instruments, how derivative instruments and related items are accounted for under SFAS 133, </w:t>
      </w:r>
      <w:r>
        <w:rPr>
          <w:rFonts w:ascii="Arial" w:cs="Arial" w:eastAsia="Arial" w:hAnsi="Arial"/>
          <w:sz w:val="17"/>
          <w:szCs w:val="17"/>
          <w:i w:val="1"/>
          <w:iCs w:val="1"/>
          <w:color w:val="auto"/>
        </w:rPr>
        <w:t xml:space="preserve">Accounting for Derivative Instruments and Hedging Activities </w:t>
      </w:r>
      <w:r>
        <w:rPr>
          <w:rFonts w:ascii="Arial" w:cs="Arial" w:eastAsia="Arial" w:hAnsi="Arial"/>
          <w:sz w:val="17"/>
          <w:szCs w:val="17"/>
          <w:color w:val="auto"/>
        </w:rPr>
        <w:t>(“SFAS 133”) and its related interpretations, and how derivative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and related hedged items affect an entity’s financial position, financial performance, and cash flows. This statement is intended to enhance the current disclosure framework in SFAS 133, by requiring the objectives for using derivative instruments be disclosed in terms of underlying risk and accounting designation. This statement becomes effective for fiscal years and interim periods beginning within those years after November 15, 2008. As this statement is related to disclosures only, United does not anticipate that adoption of this standard will have a material effect on United’s financial position or results of operations.</w:t>
      </w:r>
    </w:p>
    <w:p>
      <w:pPr>
        <w:spacing w:after="0" w:line="137"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 xml:space="preserve">In September 2008, the FASB issued FASB Staff Positions FAS 133-1 (FSP FAS 133-1) and FIN 45-4, </w:t>
      </w:r>
      <w:r>
        <w:rPr>
          <w:rFonts w:ascii="Arial" w:cs="Arial" w:eastAsia="Arial" w:hAnsi="Arial"/>
          <w:sz w:val="17"/>
          <w:szCs w:val="17"/>
          <w:i w:val="1"/>
          <w:iCs w:val="1"/>
          <w:color w:val="auto"/>
        </w:rPr>
        <w:t>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Credit Derivatives and Certain Guarantees: An Amendment of FASB Statement No. 133 and FASB Interpretation No. 45</w:t>
      </w:r>
      <w:r>
        <w:rPr>
          <w:rFonts w:ascii="Arial" w:cs="Arial" w:eastAsia="Arial" w:hAnsi="Arial"/>
          <w:sz w:val="17"/>
          <w:szCs w:val="17"/>
          <w:color w:val="auto"/>
        </w:rPr>
        <w:t>; and</w:t>
      </w:r>
      <w:r>
        <w:rPr>
          <w:rFonts w:ascii="Arial" w:cs="Arial" w:eastAsia="Arial" w:hAnsi="Arial"/>
          <w:sz w:val="17"/>
          <w:szCs w:val="17"/>
          <w:i w:val="1"/>
          <w:iCs w:val="1"/>
          <w:color w:val="auto"/>
        </w:rPr>
        <w:t xml:space="preserve"> Clarification of the Effective Date of FASB Statement No. 161</w:t>
      </w:r>
      <w:r>
        <w:rPr>
          <w:rFonts w:ascii="Arial" w:cs="Arial" w:eastAsia="Arial" w:hAnsi="Arial"/>
          <w:sz w:val="17"/>
          <w:szCs w:val="17"/>
          <w:color w:val="auto"/>
        </w:rPr>
        <w:t>. This staff position details the proper disclosure and reporting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credit derivatives for both the party that assumes credit risk (seller) and the party that is protected by the credit derivative (buyer). The disclosures should include the nature, term, reasoning, and events and circumstances that would require the seller to perform under the derivative contract. This FSP is effective for reporting periods ending after November 15, 2008. United is not the buyer or seller on any credit derivatives at this time, and thus United does not anticipate that adoption of this staff position will have a material effect on United’s financial position or results of operations.</w:t>
      </w:r>
    </w:p>
    <w:p>
      <w:pPr>
        <w:spacing w:after="0" w:line="138"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 xml:space="preserve">On October 10, 2008, the FASB issued FASB Staff Position FAS 157-3 (FSP FAS 157-3), </w:t>
      </w:r>
      <w:r>
        <w:rPr>
          <w:rFonts w:ascii="Arial" w:cs="Arial" w:eastAsia="Arial" w:hAnsi="Arial"/>
          <w:sz w:val="16"/>
          <w:szCs w:val="16"/>
          <w:i w:val="1"/>
          <w:iCs w:val="1"/>
          <w:color w:val="auto"/>
        </w:rPr>
        <w:t>Determining the Fair Value of a</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Asset When the Market for That Asset Is Not Active</w:t>
      </w:r>
      <w:r>
        <w:rPr>
          <w:rFonts w:ascii="Arial" w:cs="Arial" w:eastAsia="Arial" w:hAnsi="Arial"/>
          <w:sz w:val="16"/>
          <w:szCs w:val="16"/>
          <w:color w:val="auto"/>
        </w:rPr>
        <w:t>. This staff position addressed concerns among financial entities</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assets trading in markets that were at one time active but have subsequently become inactive. Under FSP FAS 157-3, firms must take into account the facts and circumstances to determine whether the known trades in an inactive market are reflective of orderly transactions that are not forced liquidations or distressed sales. If the firm makes this determination, they can classify the assets as Level 3 of the fair value hierarchy and use an appropriate valuation approach relying to an extent on unobservable inputs, and thus following the appropriate disclosures associated with a recurring Level 3 asset. United’s current portfolio does not include any securities for which FSP FAS 157-3 would apply. Thus, FSP FAS 157-3 is not expected to have a material effect on United’s financial position, results of operations, or disclosures.</w:t>
      </w:r>
    </w:p>
    <w:p>
      <w:pPr>
        <w:spacing w:after="0" w:line="136" w:lineRule="exact"/>
        <w:rPr>
          <w:sz w:val="20"/>
          <w:szCs w:val="20"/>
          <w:color w:val="auto"/>
        </w:rPr>
      </w:pPr>
    </w:p>
    <w:p>
      <w:pPr>
        <w:ind w:left="340" w:right="2459"/>
        <w:spacing w:after="0" w:line="45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This Form 10-Q contains forward-looking statements regarding United Community Banks, Inc. (“United”), including, without limitation, statements relating to United’s expectations with respect to revenue, credit losses, levels of nonperforming assets, expenses, earnings and other measures of financial performance. Words such as “may”, “could”, “would”, “should”, “believes”, “expects”, “anticipates”, “estimates”, “intends”, “plans”, “targets” or similar expressions are intended to identify forward-looking statements. These forward-looking statements are not guarantees of future performance and involve certain risks and uncertainties that are subject to change based on various factors (many of which are beyond United’s control). The following factors, among others, could cause United’s financial performance to differ materially from the expectations expressed in such forward-looking statements:</w:t>
      </w:r>
    </w:p>
    <w:p>
      <w:pPr>
        <w:spacing w:after="0" w:line="152" w:lineRule="exact"/>
        <w:rPr>
          <w:sz w:val="20"/>
          <w:szCs w:val="20"/>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recent operating results may not be indicative of future operating results;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business is subject to the success of the local economies in which we operate;</w:t>
      </w:r>
    </w:p>
    <w:p>
      <w:pPr>
        <w:spacing w:after="0" w:line="157"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concentration of construction and land development loans is subject to unique risks that could adversely affect our earnings;</w:t>
      </w:r>
    </w:p>
    <w:p>
      <w:pPr>
        <w:spacing w:after="0" w:line="102" w:lineRule="exact"/>
        <w:rPr>
          <w:rFonts w:ascii="Arial" w:cs="Arial" w:eastAsia="Arial" w:hAnsi="Arial"/>
          <w:sz w:val="18"/>
          <w:szCs w:val="18"/>
          <w:b w:val="1"/>
          <w:bCs w:val="1"/>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may face risks with respect to future expansion and acquisitions or mergers;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changes in prevailing interest rates may negatively affect our net income and the value of our assets;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if our allowance for loan losses is not sufficient to cover actual loan losses, our earnings would decrease;</w:t>
      </w:r>
    </w:p>
    <w:p>
      <w:pPr>
        <w:sectPr>
          <w:pgSz w:w="11900" w:h="16838" w:orient="portrait"/>
          <w:cols w:equalWidth="0" w:num="1">
            <w:col w:w="10219"/>
          </w:cols>
          <w:pgMar w:left="240" w:top="419" w:right="1440" w:bottom="929"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29"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1040" w:right="559" w:hanging="343"/>
        <w:spacing w:after="0" w:line="277" w:lineRule="auto"/>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we may be subject to losses due to fraudulent and negligent conduct of our loan customers, third party service providers or employees;</w:t>
      </w:r>
    </w:p>
    <w:p>
      <w:pPr>
        <w:spacing w:after="0" w:line="102"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competition from financial institutions and other financial service providers may adversely affect our profitability;</w:t>
      </w:r>
    </w:p>
    <w:p>
      <w:pPr>
        <w:spacing w:after="0" w:line="169" w:lineRule="exact"/>
        <w:rPr>
          <w:rFonts w:ascii="Arial" w:cs="Arial" w:eastAsia="Arial" w:hAnsi="Arial"/>
          <w:sz w:val="17"/>
          <w:szCs w:val="17"/>
          <w:b w:val="1"/>
          <w:bCs w:val="1"/>
          <w:color w:val="auto"/>
        </w:rPr>
      </w:pPr>
    </w:p>
    <w:p>
      <w:pPr>
        <w:ind w:left="1040" w:right="559" w:hanging="343"/>
        <w:spacing w:after="0" w:line="277" w:lineRule="auto"/>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business increases, productivity gains and other investments are lower than expected or do not occur as quickly as anticipated;</w:t>
      </w:r>
    </w:p>
    <w:p>
      <w:pPr>
        <w:spacing w:after="0" w:line="102"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competitive pressures among financial services companies increase significantly;</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success of our business strategy;</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strength of the United States economy in general changes;</w:t>
      </w:r>
    </w:p>
    <w:p>
      <w:pPr>
        <w:spacing w:after="0" w:line="157"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change in trade, monetary and fiscal policies and laws, including interest rate policies of the Board of Governors of the Federal Reserve System;</w:t>
      </w:r>
    </w:p>
    <w:p>
      <w:pPr>
        <w:spacing w:after="0" w:line="102"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inflation or market conditions fluctuate;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conditions in the stock market, the public debt market and other capital markets deteriorate;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financial services laws and regulations change;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technology changes and United fails to adapt to those changes;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consumer spending and saving habits change;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unanticipated regulatory or judicial proceedings occur; and</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United is unsuccessful at managing the risks involved in the foregoing.</w:t>
      </w:r>
    </w:p>
    <w:p>
      <w:pPr>
        <w:spacing w:after="0" w:line="18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The following discussion is intended to provide insight into the results of operations and financial condition of United and its subsidiaries and should be read in conjunction with the consolidated financial statements and accompanying notes.</w:t>
      </w:r>
    </w:p>
    <w:p>
      <w:pPr>
        <w:spacing w:after="0" w:line="10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United is a bank holding company registered with the Federal Reserve under the Bank Holding Company Act of 1956 that was incorporated under the laws of the state of Georgia in 1987 and commenced operations in 1988. At September 30, 2008, United had total consolidated assets of $8.1 billion, total loans of $5.8 billion, total deposits of $6.7 billion and stockholders’ equity of $816.9 million.</w:t>
      </w:r>
    </w:p>
    <w:p>
      <w:pPr>
        <w:spacing w:after="0" w:line="146"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United’s activities are primarily conducted by its wholly owned Georgia banking subsidiary (the “Bank”) and Brintech, Inc., a consulting firm providing professional services to the financial services industry. The Bank operations are conducted under a community bank model that operates 27 “community banks” with local bank presidents and boards in north Georgia, the Atlanta metropolitan statistical area (“MSA”), the Gainesville MSA, coastal Georgia, western North Carolina, and east Tennessee.</w:t>
      </w:r>
    </w:p>
    <w:p>
      <w:pPr>
        <w:spacing w:after="0" w:line="127"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 xml:space="preserve">Several significant events affecting the banking industry occurred during the third quarter of 2008, including the failure or near failure of several large financial institutions and the failure of Fannie Mae and Freddie Mac, two government sponsored enterprises or GSEs. These events led to serious concerns about the safety and soundness of the financial services industry that affected financial markets around the world. In response to the emerging crisis, on October 3, 2008, Congress passed and President Bush signed into law the </w:t>
      </w:r>
      <w:r>
        <w:rPr>
          <w:rFonts w:ascii="Arial" w:cs="Arial" w:eastAsia="Arial" w:hAnsi="Arial"/>
          <w:sz w:val="16"/>
          <w:szCs w:val="16"/>
          <w:i w:val="1"/>
          <w:iCs w:val="1"/>
          <w:color w:val="auto"/>
        </w:rPr>
        <w:t>Emergency Economic Stabilization Act of 2008</w:t>
      </w:r>
      <w:r>
        <w:rPr>
          <w:rFonts w:ascii="Arial" w:cs="Arial" w:eastAsia="Arial" w:hAnsi="Arial"/>
          <w:sz w:val="16"/>
          <w:szCs w:val="16"/>
          <w:color w:val="auto"/>
        </w:rPr>
        <w:t xml:space="preserve"> (The “Act”) which created a $700 billion </w:t>
      </w:r>
      <w:r>
        <w:rPr>
          <w:rFonts w:ascii="Arial" w:cs="Arial" w:eastAsia="Arial" w:hAnsi="Arial"/>
          <w:sz w:val="16"/>
          <w:szCs w:val="16"/>
          <w:i w:val="1"/>
          <w:iCs w:val="1"/>
          <w:color w:val="auto"/>
        </w:rPr>
        <w:t xml:space="preserve">Troubled Assets Relief Program </w:t>
      </w:r>
      <w:r>
        <w:rPr>
          <w:rFonts w:ascii="Arial" w:cs="Arial" w:eastAsia="Arial" w:hAnsi="Arial"/>
          <w:sz w:val="16"/>
          <w:szCs w:val="16"/>
          <w:color w:val="auto"/>
        </w:rPr>
        <w:t>(“TARP”) to purchase illiquid assets of troubled banks. The Act also raised the limits on FDIC</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protection from $100,000 to $250,000 through the end of 2009. On October 14, the U.S. Treasury Department announced a voluntary capital purchase program that would allow the U.S. Treasury to purchase senior preferred shares in qualified financial institutions in an amount between 1% and 3% of the financial institutions’ risk-weighted assets.</w:t>
      </w:r>
    </w:p>
    <w:p>
      <w:pPr>
        <w:spacing w:after="0" w:line="126"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United reported a net operating loss of $39.9 million for the third quarter of 2008, compared with net operating income of $22.5 million for the third quarter of 2007. Diluted operating loss per common share was $.84 for the third quarter of 2008, compared with diluted operating earnings per common share of $.46 for the third quarter of 2007. The loss in the third quarter of 2008 was due to a $76 million provision for loan losses and $10 million in writedowns and expenses on foreclosed properties that reflect the effect of further deterioration in credit conditions in United’s loan portfolio.</w:t>
      </w:r>
    </w:p>
    <w:p>
      <w:pPr>
        <w:spacing w:after="0" w:line="13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United reported a net operating loss of $16.7 million for the nine months ended September 30, 2008, compared with net operating income of $53.8 million for the nine months ended September 30, 2007. Diluted operating loss per common share was $.35 for the nine months ended September 30, 2008, compared with diluted operating earnings per common share of $1.36 for the nine months ended September 30, 2007.</w:t>
      </w:r>
    </w:p>
    <w:p>
      <w:pPr>
        <w:sectPr>
          <w:pgSz w:w="11900" w:h="16838" w:orient="portrait"/>
          <w:cols w:equalWidth="0" w:num="1">
            <w:col w:w="10219"/>
          </w:cols>
          <w:pgMar w:left="240" w:top="419" w:right="1440" w:bottom="1"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Earnings decreased primarily as a result of a higher provision for loan losses related to the increase in charge-offs within the loan portfolio combined with margin compression due to an increase in non-performing assets, competitive deposit pricing and efforts to build liquidity. Housing sales remain at low levels, leaving a surplus of finished housing and lot inventory in our footprint, most notably in the Atlanta MSA. This decline in housing sales negatively affects both the cash flows of our residential construction and land development customers, and the demand for new land development loans.</w:t>
      </w:r>
    </w:p>
    <w:p>
      <w:pPr>
        <w:spacing w:after="0" w:line="14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Nonperforming assets increased to 2.20% of total assets as of September 30, 2008, compared to .77% as of September 30, 2007. This increase is a reflection of the downstream effects of declining home sales in the Atlanta MSA, which itself is indicative of the regional economic slowdown that is occurring in much of the Southeast. To date, the rise in nonperforming assets has been mostly confined to the residential construction and development portfolio and predominantly within the Atlanta MSA.</w:t>
      </w:r>
    </w:p>
    <w:p>
      <w:pPr>
        <w:spacing w:after="0" w:line="148"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Fee revenue decreased $2.5 million, or 16%, from the third quarter of 2007. Although service charges and fees and brokerage fees remained near the same level as the third quarter of 2007, mortgage fees and consulting fees saw declines reflecting the slow housing market and a decline in demand for consulting services in the banking industry associated with earnings pressures. Other fee revenue was down from a year ago, primarily due to weak performance from bank owned life insurance assets and deferred compensation plan assets in the third quarter of 2008.</w:t>
      </w:r>
    </w:p>
    <w:p>
      <w:pPr>
        <w:spacing w:after="0" w:line="13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Operating expenses increased $8.8 million, or 18%, from the third quarter of 2007, primarily due to higher expenses associated with and writedowns on foreclosed real estate properties and higher FDIC insurance premiums.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The accounting and reporting policies of United are in accordance with accounting principles generally accepted in the United States of America (“GAAP”) and conform to general practices within the banking industry. The more critical accounting and reporting policies include United’s accounting for the allowance for loan losses and accounting for intangible assets. In particular, United’s accounting policies related to allowance for loan losses and intangibles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Non-GAAP Performance Measures</w:t>
      </w:r>
    </w:p>
    <w:p>
      <w:pPr>
        <w:spacing w:after="0" w:line="20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presentation of United’s financial results herein include references to operating performance measures, which are measures of performance determined by methods other than GAAP. Management included non-GAAP performance measures because it believes they are useful for evaluating United’s operations and performance over periods of time. Also, United uses operating performance measures in managing and evaluating United’s business and intends to use them in discussions about United’s operations and performance.</w:t>
      </w:r>
    </w:p>
    <w:p>
      <w:pPr>
        <w:spacing w:after="0" w:line="148"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Operating performance measures exclude the effect of a special $15 million fraud related provision for loan losses recorded in the second quarter of 2007 and an additional $3 million provision and $18 million in related charge-offs in the fourth quarter of 2007 involving lot loans in a failed real estate development near Spruce Pine, North Carolina. Management believes that the circumstances leading to the special provision and subsequent charge-offs were isolated, non-recurring events and do not reflect overall trends in United’s performance. Management also believes that these non-GAAP performance measures provide users of United’s financial information with a meaningful measure for assessing United’s financial results and credit trends and comparing financial results to prior periods.</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operating earnings measures to reported earnings measures using GAAP is presented below:</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 — Operating Earnings to GAAP Earnings Reconciliation</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 except per share data)</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2008</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2007</w:t>
            </w:r>
          </w:p>
        </w:tc>
        <w:tc>
          <w:tcPr>
            <w:tcW w:w="5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320" w:type="dxa"/>
            <w:vAlign w:val="bottom"/>
            <w:gridSpan w:val="6"/>
          </w:tcPr>
          <w:p>
            <w:pPr>
              <w:spacing w:after="0"/>
              <w:rPr>
                <w:sz w:val="20"/>
                <w:szCs w:val="20"/>
                <w:color w:val="auto"/>
              </w:rPr>
            </w:pPr>
            <w:r>
              <w:rPr>
                <w:rFonts w:ascii="Arial" w:cs="Arial" w:eastAsia="Arial" w:hAnsi="Arial"/>
                <w:sz w:val="18"/>
                <w:szCs w:val="18"/>
                <w:b w:val="1"/>
                <w:bCs w:val="1"/>
                <w:color w:val="auto"/>
                <w:w w:val="98"/>
              </w:rPr>
              <w:t>For the Nine Months Ended</w:t>
            </w: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Third</w:t>
            </w:r>
          </w:p>
        </w:tc>
        <w:tc>
          <w:tcPr>
            <w:tcW w:w="10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Second</w:t>
            </w:r>
          </w:p>
        </w:tc>
        <w:tc>
          <w:tcPr>
            <w:tcW w:w="1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First</w:t>
            </w:r>
          </w:p>
        </w:tc>
        <w:tc>
          <w:tcPr>
            <w:tcW w:w="320" w:type="dxa"/>
            <w:vAlign w:val="bottom"/>
          </w:tcPr>
          <w:p>
            <w:pPr>
              <w:spacing w:after="0"/>
              <w:rPr>
                <w:sz w:val="18"/>
                <w:szCs w:val="18"/>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Third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10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Quarter</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5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Special provision for</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fraud related loan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425"/>
        </w:trPr>
        <w:tc>
          <w:tcPr>
            <w:tcW w:w="2000" w:type="dxa"/>
            <w:vAlign w:val="bottom"/>
          </w:tcPr>
          <w:p>
            <w:pPr>
              <w:spacing w:after="0"/>
              <w:rPr>
                <w:sz w:val="20"/>
                <w:szCs w:val="20"/>
                <w:color w:val="auto"/>
              </w:rPr>
            </w:pPr>
            <w:r>
              <w:rPr>
                <w:rFonts w:ascii="Arial" w:cs="Arial" w:eastAsia="Arial" w:hAnsi="Arial"/>
                <w:sz w:val="18"/>
                <w:szCs w:val="18"/>
                <w:color w:val="auto"/>
              </w:rPr>
              <w:t>Income tax effect of</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0" w:type="dxa"/>
            <w:vAlign w:val="bottom"/>
          </w:tcPr>
          <w:p>
            <w:pPr>
              <w:ind w:left="200"/>
              <w:spacing w:after="0"/>
              <w:rPr>
                <w:sz w:val="20"/>
                <w:szCs w:val="20"/>
                <w:color w:val="auto"/>
              </w:rPr>
            </w:pPr>
            <w:r>
              <w:rPr>
                <w:rFonts w:ascii="Arial" w:cs="Arial" w:eastAsia="Arial" w:hAnsi="Arial"/>
                <w:sz w:val="18"/>
                <w:szCs w:val="18"/>
                <w:color w:val="auto"/>
              </w:rPr>
              <w:t>special provision</w:t>
            </w: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After-tax effect of</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special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9,165</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200"/>
              <w:spacing w:after="0"/>
              <w:rPr>
                <w:sz w:val="20"/>
                <w:szCs w:val="20"/>
                <w:color w:val="auto"/>
              </w:rPr>
            </w:pPr>
            <w:r>
              <w:rPr>
                <w:rFonts w:ascii="Arial" w:cs="Arial" w:eastAsia="Arial" w:hAnsi="Arial"/>
                <w:sz w:val="18"/>
                <w:szCs w:val="18"/>
                <w:b w:val="1"/>
                <w:bCs w:val="1"/>
                <w:color w:val="auto"/>
              </w:rPr>
              <w:t>Reconciliation</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net income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(39,874)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16,078</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22,536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(16,703)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62,957</w:t>
            </w: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After-tax effect of</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color w:val="auto"/>
              </w:rPr>
              <w:t>special provision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color w:val="auto"/>
              </w:rPr>
              <w:t>merger-related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Pr>
          <w:p>
            <w:pPr>
              <w:ind w:left="200"/>
              <w:spacing w:after="0"/>
              <w:rPr>
                <w:sz w:val="20"/>
                <w:szCs w:val="20"/>
                <w:color w:val="auto"/>
              </w:rPr>
            </w:pPr>
            <w:r>
              <w:rPr>
                <w:rFonts w:ascii="Arial" w:cs="Arial" w:eastAsia="Arial" w:hAnsi="Arial"/>
                <w:sz w:val="18"/>
                <w:szCs w:val="18"/>
                <w:color w:val="auto"/>
              </w:rPr>
              <w:t>charges</w:t>
            </w: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(1,833)</w:t>
            </w:r>
          </w:p>
        </w:tc>
        <w:tc>
          <w:tcPr>
            <w:tcW w:w="1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(9,165)</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(GAAP)</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(39,874)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16,078</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22,536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(16,703)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53,792</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200"/>
              <w:spacing w:after="0"/>
              <w:rPr>
                <w:sz w:val="20"/>
                <w:szCs w:val="20"/>
                <w:color w:val="auto"/>
              </w:rPr>
            </w:pPr>
            <w:r>
              <w:rPr>
                <w:rFonts w:ascii="Arial" w:cs="Arial" w:eastAsia="Arial" w:hAnsi="Arial"/>
                <w:sz w:val="18"/>
                <w:szCs w:val="18"/>
                <w:b w:val="1"/>
                <w:bCs w:val="1"/>
                <w:color w:val="auto"/>
              </w:rPr>
              <w:t>Reconciliation</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Basic operating earnings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Per share effect of</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color w:val="auto"/>
              </w:rPr>
              <w:t>special provision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color w:val="auto"/>
              </w:rPr>
              <w:t>merger-related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Pr>
          <w:p>
            <w:pPr>
              <w:ind w:left="200"/>
              <w:spacing w:after="0"/>
              <w:rPr>
                <w:sz w:val="20"/>
                <w:szCs w:val="20"/>
                <w:color w:val="auto"/>
              </w:rPr>
            </w:pPr>
            <w:r>
              <w:rPr>
                <w:rFonts w:ascii="Arial" w:cs="Arial" w:eastAsia="Arial" w:hAnsi="Arial"/>
                <w:sz w:val="18"/>
                <w:szCs w:val="18"/>
                <w:color w:val="auto"/>
              </w:rPr>
              <w:t>charges</w:t>
            </w: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Basic earnings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(GAAP)</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b w:val="1"/>
                <w:bCs w:val="1"/>
                <w:color w:val="auto"/>
              </w:rPr>
              <w:t>(Loss) Per Share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200"/>
              <w:spacing w:after="0"/>
              <w:rPr>
                <w:sz w:val="20"/>
                <w:szCs w:val="20"/>
                <w:color w:val="auto"/>
              </w:rPr>
            </w:pPr>
            <w:r>
              <w:rPr>
                <w:rFonts w:ascii="Arial" w:cs="Arial" w:eastAsia="Arial" w:hAnsi="Arial"/>
                <w:sz w:val="18"/>
                <w:szCs w:val="18"/>
                <w:b w:val="1"/>
                <w:bCs w:val="1"/>
                <w:color w:val="auto"/>
              </w:rPr>
              <w:t>Reconciliation</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operating</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(loss) per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Per share effect of</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color w:val="auto"/>
              </w:rPr>
              <w:t>special provision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color w:val="auto"/>
              </w:rPr>
              <w:t>merger-related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Pr>
          <w:p>
            <w:pPr>
              <w:ind w:left="200"/>
              <w:spacing w:after="0"/>
              <w:rPr>
                <w:sz w:val="20"/>
                <w:szCs w:val="20"/>
                <w:color w:val="auto"/>
              </w:rPr>
            </w:pPr>
            <w:r>
              <w:rPr>
                <w:rFonts w:ascii="Arial" w:cs="Arial" w:eastAsia="Arial" w:hAnsi="Arial"/>
                <w:sz w:val="18"/>
                <w:szCs w:val="18"/>
                <w:color w:val="auto"/>
              </w:rPr>
              <w:t>charges</w:t>
            </w: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Diluted earnings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(GAAP)</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Provision for Loan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200"/>
              <w:spacing w:after="0"/>
              <w:rPr>
                <w:sz w:val="20"/>
                <w:szCs w:val="20"/>
                <w:color w:val="auto"/>
              </w:rPr>
            </w:pPr>
            <w:r>
              <w:rPr>
                <w:rFonts w:ascii="Arial" w:cs="Arial" w:eastAsia="Arial" w:hAnsi="Arial"/>
                <w:sz w:val="18"/>
                <w:szCs w:val="18"/>
                <w:b w:val="1"/>
                <w:bCs w:val="1"/>
                <w:color w:val="auto"/>
              </w:rPr>
              <w:t>Reconciliation</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provision for</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 losses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15,500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26,500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Special provision for</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color w:val="auto"/>
              </w:rPr>
              <w:t>fraud related loan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Pr>
          <w:p>
            <w:pPr>
              <w:ind w:left="20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Provision for loan</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losses (GAAP)</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15,500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29,500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26,100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Nonperforming Assets</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5925820" cy="113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25820" cy="113030"/>
                    </a:xfrm>
                    <a:prstGeom prst="rect">
                      <a:avLst/>
                    </a:prstGeom>
                    <a:noFill/>
                  </pic:spPr>
                </pic:pic>
              </a:graphicData>
            </a:graphic>
          </wp:anchor>
        </w:drawing>
      </w:r>
    </w:p>
    <w:p>
      <w:pPr>
        <w:sectPr>
          <w:pgSz w:w="11900" w:h="16838" w:orient="portrait"/>
          <w:cols w:equalWidth="0" w:num="1">
            <w:col w:w="10219"/>
          </w:cols>
          <w:pgMar w:left="240" w:top="419" w:right="1440"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174,227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148,219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85,182</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$ 40,956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39,761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174,227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39,761</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excluding fraud-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assets</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Fraud-related loans and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color w:val="auto"/>
              </w:rPr>
              <w:t>OREO included in</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Pr>
          <w:p>
            <w:pPr>
              <w:ind w:left="200"/>
              <w:spacing w:after="0"/>
              <w:rPr>
                <w:sz w:val="20"/>
                <w:szCs w:val="20"/>
                <w:color w:val="auto"/>
              </w:rPr>
            </w:pPr>
            <w:r>
              <w:rPr>
                <w:rFonts w:ascii="Arial" w:cs="Arial" w:eastAsia="Arial" w:hAnsi="Arial"/>
                <w:sz w:val="18"/>
                <w:szCs w:val="18"/>
                <w:color w:val="auto"/>
              </w:rPr>
              <w:t>nonperforming assets</w:t>
            </w:r>
          </w:p>
        </w:tc>
        <w:tc>
          <w:tcPr>
            <w:tcW w:w="8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3,945</w:t>
            </w: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4,682</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5,302</w:t>
            </w:r>
          </w:p>
        </w:tc>
        <w:tc>
          <w:tcPr>
            <w:tcW w:w="12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23,576</w:t>
            </w:r>
          </w:p>
        </w:tc>
        <w:tc>
          <w:tcPr>
            <w:tcW w:w="16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3,477</w:t>
            </w:r>
          </w:p>
        </w:tc>
        <w:tc>
          <w:tcPr>
            <w:tcW w:w="2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23,576</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Nonperforming assets</w:t>
            </w: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(GAAP)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177,704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152,164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89,864</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$ 46,258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63,337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177,704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63,337</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Allowance for Loan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200"/>
              <w:spacing w:after="0"/>
              <w:rPr>
                <w:sz w:val="20"/>
                <w:szCs w:val="20"/>
                <w:color w:val="auto"/>
              </w:rPr>
            </w:pPr>
            <w:r>
              <w:rPr>
                <w:rFonts w:ascii="Arial" w:cs="Arial" w:eastAsia="Arial" w:hAnsi="Arial"/>
                <w:sz w:val="18"/>
                <w:szCs w:val="18"/>
                <w:b w:val="1"/>
                <w:bCs w:val="1"/>
                <w:color w:val="auto"/>
              </w:rPr>
              <w:t>Reconciliation</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loan</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excluding</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 fraud-related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111,299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91,035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89,848</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$ 89,423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75,935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111,299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75,935</w:t>
            </w: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Fraud-related allowance</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0" w:type="dxa"/>
            <w:vAlign w:val="bottom"/>
          </w:tcPr>
          <w:p>
            <w:pPr>
              <w:ind w:left="200"/>
              <w:spacing w:after="0"/>
              <w:rPr>
                <w:sz w:val="20"/>
                <w:szCs w:val="20"/>
                <w:color w:val="auto"/>
              </w:rPr>
            </w:pPr>
            <w:r>
              <w:rPr>
                <w:rFonts w:ascii="Arial" w:cs="Arial" w:eastAsia="Arial" w:hAnsi="Arial"/>
                <w:sz w:val="18"/>
                <w:szCs w:val="18"/>
                <w:color w:val="auto"/>
              </w:rPr>
              <w:t>for loan losses</w:t>
            </w:r>
          </w:p>
        </w:tc>
        <w:tc>
          <w:tcPr>
            <w:tcW w:w="8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15,000</w:t>
            </w:r>
          </w:p>
        </w:tc>
        <w:tc>
          <w:tcPr>
            <w:tcW w:w="16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Allowance for loan</w:t>
            </w: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losses (GAAP)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111,299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91,035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89,848</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$ 89,423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90,935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111,299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90,935</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Net Charge Offs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200"/>
              <w:spacing w:after="0"/>
              <w:rPr>
                <w:sz w:val="20"/>
                <w:szCs w:val="20"/>
                <w:color w:val="auto"/>
              </w:rPr>
            </w:pPr>
            <w:r>
              <w:rPr>
                <w:rFonts w:ascii="Arial" w:cs="Arial" w:eastAsia="Arial" w:hAnsi="Arial"/>
                <w:sz w:val="18"/>
                <w:szCs w:val="18"/>
                <w:b w:val="1"/>
                <w:bCs w:val="1"/>
                <w:color w:val="auto"/>
              </w:rPr>
              <w:t>Reconciliation</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charge offs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excluding charge off</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fraud-related loans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55,736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7,075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$ 13,012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77,124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8,822</w:t>
            </w: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Fraud-related loans</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0" w:type="dxa"/>
            <w:vAlign w:val="bottom"/>
          </w:tcPr>
          <w:p>
            <w:pPr>
              <w:ind w:left="200"/>
              <w:spacing w:after="0"/>
              <w:rPr>
                <w:sz w:val="20"/>
                <w:szCs w:val="20"/>
                <w:color w:val="auto"/>
              </w:rPr>
            </w:pPr>
            <w:r>
              <w:rPr>
                <w:rFonts w:ascii="Arial" w:cs="Arial" w:eastAsia="Arial" w:hAnsi="Arial"/>
                <w:sz w:val="18"/>
                <w:szCs w:val="18"/>
                <w:color w:val="auto"/>
              </w:rPr>
              <w:t>charged off</w:t>
            </w:r>
          </w:p>
        </w:tc>
        <w:tc>
          <w:tcPr>
            <w:tcW w:w="8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18,000</w:t>
            </w:r>
          </w:p>
        </w:tc>
        <w:tc>
          <w:tcPr>
            <w:tcW w:w="12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charge offs</w:t>
            </w: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(GAAP)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55,736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7,075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$ 31,012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77,124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8,822</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Allowance for Loan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b w:val="1"/>
                <w:bCs w:val="1"/>
                <w:color w:val="auto"/>
              </w:rPr>
              <w:t>Losses to Loans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200"/>
              <w:spacing w:after="0"/>
              <w:rPr>
                <w:sz w:val="20"/>
                <w:szCs w:val="20"/>
                <w:color w:val="auto"/>
              </w:rPr>
            </w:pPr>
            <w:r>
              <w:rPr>
                <w:rFonts w:ascii="Arial" w:cs="Arial" w:eastAsia="Arial" w:hAnsi="Arial"/>
                <w:sz w:val="18"/>
                <w:szCs w:val="18"/>
                <w:b w:val="1"/>
                <w:bCs w:val="1"/>
                <w:color w:val="auto"/>
              </w:rPr>
              <w:t>Ratio Reconciliation</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loan</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to loans ratio</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excluding fraud-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allowance</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Portion of allowance</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color w:val="auto"/>
              </w:rPr>
              <w:t>assigned to fraud-</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Pr>
          <w:p>
            <w:pPr>
              <w:ind w:left="200"/>
              <w:spacing w:after="0"/>
              <w:rPr>
                <w:sz w:val="20"/>
                <w:szCs w:val="20"/>
                <w:color w:val="auto"/>
              </w:rPr>
            </w:pPr>
            <w:r>
              <w:rPr>
                <w:rFonts w:ascii="Arial" w:cs="Arial" w:eastAsia="Arial" w:hAnsi="Arial"/>
                <w:sz w:val="18"/>
                <w:szCs w:val="18"/>
                <w:color w:val="auto"/>
              </w:rPr>
              <w:t>related loans</w:t>
            </w:r>
          </w:p>
        </w:tc>
        <w:tc>
          <w:tcPr>
            <w:tcW w:w="8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Allowance for loan</w:t>
            </w: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losses to loans ratio</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(GAAP)</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Nonperforming Assets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b w:val="1"/>
                <w:bCs w:val="1"/>
                <w:color w:val="auto"/>
                <w:w w:val="99"/>
              </w:rPr>
              <w:t>to Total Assets Ratio</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200"/>
              <w:spacing w:after="0"/>
              <w:rPr>
                <w:sz w:val="20"/>
                <w:szCs w:val="20"/>
                <w:color w:val="auto"/>
              </w:rPr>
            </w:pPr>
            <w:r>
              <w:rPr>
                <w:rFonts w:ascii="Arial" w:cs="Arial" w:eastAsia="Arial" w:hAnsi="Arial"/>
                <w:sz w:val="18"/>
                <w:szCs w:val="18"/>
                <w:b w:val="1"/>
                <w:bCs w:val="1"/>
                <w:color w:val="auto"/>
              </w:rPr>
              <w:t>Reconciliation</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ratio</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excluding fraud-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assets</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Fraud-related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0" w:type="dxa"/>
            <w:vAlign w:val="bottom"/>
          </w:tcPr>
          <w:p>
            <w:pPr>
              <w:ind w:left="200"/>
              <w:spacing w:after="0"/>
              <w:rPr>
                <w:sz w:val="20"/>
                <w:szCs w:val="20"/>
                <w:color w:val="auto"/>
              </w:rPr>
            </w:pPr>
            <w:r>
              <w:rPr>
                <w:rFonts w:ascii="Arial" w:cs="Arial" w:eastAsia="Arial" w:hAnsi="Arial"/>
                <w:sz w:val="18"/>
                <w:szCs w:val="18"/>
                <w:color w:val="auto"/>
              </w:rPr>
              <w:t>nonperforming assets</w:t>
            </w:r>
          </w:p>
        </w:tc>
        <w:tc>
          <w:tcPr>
            <w:tcW w:w="8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Nonperforming assets</w:t>
            </w: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 total assets ratio</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(GAAP)</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Net Charge Offs to</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b w:val="1"/>
                <w:bCs w:val="1"/>
                <w:color w:val="auto"/>
                <w:w w:val="99"/>
              </w:rPr>
              <w:t>Average Loans Ratio</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200"/>
              <w:spacing w:after="0"/>
              <w:rPr>
                <w:sz w:val="20"/>
                <w:szCs w:val="20"/>
                <w:color w:val="auto"/>
              </w:rPr>
            </w:pPr>
            <w:r>
              <w:rPr>
                <w:rFonts w:ascii="Arial" w:cs="Arial" w:eastAsia="Arial" w:hAnsi="Arial"/>
                <w:sz w:val="18"/>
                <w:szCs w:val="18"/>
                <w:b w:val="1"/>
                <w:bCs w:val="1"/>
                <w:color w:val="auto"/>
              </w:rPr>
              <w:t>Reconciliation</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charge offs to</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loans ratio</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excluding fraud-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loans</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Charge offs of fraud-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0" w:type="dxa"/>
            <w:vAlign w:val="bottom"/>
          </w:tcPr>
          <w:p>
            <w:pPr>
              <w:ind w:left="200"/>
              <w:spacing w:after="0"/>
              <w:rPr>
                <w:sz w:val="20"/>
                <w:szCs w:val="20"/>
                <w:color w:val="auto"/>
              </w:rPr>
            </w:pPr>
            <w:r>
              <w:rPr>
                <w:rFonts w:ascii="Arial" w:cs="Arial" w:eastAsia="Arial" w:hAnsi="Arial"/>
                <w:sz w:val="18"/>
                <w:szCs w:val="18"/>
                <w:color w:val="auto"/>
              </w:rPr>
              <w:t>related loans</w:t>
            </w:r>
          </w:p>
        </w:tc>
        <w:tc>
          <w:tcPr>
            <w:tcW w:w="8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charge offs to</w:t>
            </w: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average loans ratio</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(GAAP)</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4" w:right="1440" w:bottom="0" w:gutter="0" w:footer="0" w:header="0"/>
        </w:sectPr>
      </w:pPr>
    </w:p>
    <w:p>
      <w:pPr>
        <w:spacing w:after="0" w:line="366"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879"/>
          </w:cols>
          <w:pgMar w:left="580" w:top="134" w:right="1440" w:bottom="0" w:gutter="0" w:footer="0" w:header="0"/>
          <w:type w:val="continuous"/>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2 — Financial Highlights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Selected Financial Information</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2008</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vMerge w:val="restart"/>
          </w:tcPr>
          <w:p>
            <w:pPr>
              <w:jc w:val="right"/>
              <w:ind w:right="13"/>
              <w:spacing w:after="0"/>
              <w:rPr>
                <w:sz w:val="20"/>
                <w:szCs w:val="20"/>
                <w:color w:val="auto"/>
              </w:rPr>
            </w:pPr>
            <w:r>
              <w:rPr>
                <w:rFonts w:ascii="Arial" w:cs="Arial" w:eastAsia="Arial" w:hAnsi="Arial"/>
                <w:sz w:val="13"/>
                <w:szCs w:val="13"/>
                <w:b w:val="1"/>
                <w:bCs w:val="1"/>
                <w:color w:val="auto"/>
              </w:rPr>
              <w:t>2007</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Third</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93"/>
              </w:rPr>
              <w:t>Quarter</w:t>
            </w:r>
          </w:p>
        </w:tc>
        <w:tc>
          <w:tcPr>
            <w:tcW w:w="80" w:type="dxa"/>
            <w:vAlign w:val="bottom"/>
          </w:tcPr>
          <w:p>
            <w:pPr>
              <w:spacing w:after="0"/>
              <w:rPr>
                <w:sz w:val="12"/>
                <w:szCs w:val="12"/>
                <w:color w:val="auto"/>
              </w:rPr>
            </w:pPr>
          </w:p>
        </w:tc>
        <w:tc>
          <w:tcPr>
            <w:tcW w:w="1600" w:type="dxa"/>
            <w:vAlign w:val="bottom"/>
            <w:gridSpan w:val="5"/>
          </w:tcPr>
          <w:p>
            <w:pPr>
              <w:jc w:val="right"/>
              <w:ind w:right="620"/>
              <w:spacing w:after="0" w:line="140" w:lineRule="exact"/>
              <w:rPr>
                <w:sz w:val="20"/>
                <w:szCs w:val="20"/>
                <w:color w:val="auto"/>
              </w:rPr>
            </w:pPr>
            <w:r>
              <w:rPr>
                <w:rFonts w:ascii="Arial" w:cs="Arial" w:eastAsia="Arial" w:hAnsi="Arial"/>
                <w:sz w:val="13"/>
                <w:szCs w:val="13"/>
                <w:b w:val="1"/>
                <w:bCs w:val="1"/>
                <w:color w:val="auto"/>
              </w:rPr>
              <w:t>For the Nine</w:t>
            </w:r>
          </w:p>
        </w:tc>
        <w:tc>
          <w:tcPr>
            <w:tcW w:w="680" w:type="dxa"/>
            <w:vAlign w:val="bottom"/>
            <w:gridSpan w:val="2"/>
          </w:tcPr>
          <w:p>
            <w:pPr>
              <w:jc w:val="right"/>
              <w:ind w:right="280"/>
              <w:spacing w:after="0" w:line="140" w:lineRule="exact"/>
              <w:rPr>
                <w:sz w:val="20"/>
                <w:szCs w:val="20"/>
                <w:color w:val="auto"/>
              </w:rPr>
            </w:pPr>
            <w:r>
              <w:rPr>
                <w:rFonts w:ascii="Arial" w:cs="Arial" w:eastAsia="Arial" w:hAnsi="Arial"/>
                <w:sz w:val="13"/>
                <w:szCs w:val="13"/>
                <w:b w:val="1"/>
                <w:bCs w:val="1"/>
                <w:color w:val="auto"/>
              </w:rPr>
              <w:t>YTD</w:t>
            </w:r>
          </w:p>
        </w:tc>
        <w:tc>
          <w:tcPr>
            <w:tcW w:w="0" w:type="dxa"/>
            <w:vAlign w:val="bottom"/>
          </w:tcPr>
          <w:p>
            <w:pPr>
              <w:spacing w:after="0"/>
              <w:rPr>
                <w:sz w:val="1"/>
                <w:szCs w:val="1"/>
                <w:color w:val="auto"/>
              </w:rPr>
            </w:pPr>
          </w:p>
        </w:tc>
      </w:tr>
      <w:tr>
        <w:trPr>
          <w:trHeight w:val="129"/>
        </w:trPr>
        <w:tc>
          <w:tcPr>
            <w:tcW w:w="2020" w:type="dxa"/>
            <w:vAlign w:val="bottom"/>
            <w:gridSpan w:val="2"/>
          </w:tcPr>
          <w:p>
            <w:pPr>
              <w:spacing w:after="0" w:line="129" w:lineRule="exact"/>
              <w:rPr>
                <w:sz w:val="20"/>
                <w:szCs w:val="20"/>
                <w:color w:val="auto"/>
              </w:rPr>
            </w:pPr>
            <w:r>
              <w:rPr>
                <w:rFonts w:ascii="Arial" w:cs="Arial" w:eastAsia="Arial" w:hAnsi="Arial"/>
                <w:sz w:val="13"/>
                <w:szCs w:val="13"/>
                <w:i w:val="1"/>
                <w:iCs w:val="1"/>
                <w:color w:val="auto"/>
              </w:rPr>
              <w:t>(in thousands, except per share</w:t>
            </w:r>
          </w:p>
        </w:tc>
        <w:tc>
          <w:tcPr>
            <w:tcW w:w="60" w:type="dxa"/>
            <w:vAlign w:val="bottom"/>
          </w:tcPr>
          <w:p>
            <w:pPr>
              <w:spacing w:after="0"/>
              <w:rPr>
                <w:sz w:val="11"/>
                <w:szCs w:val="11"/>
                <w:color w:val="auto"/>
              </w:rPr>
            </w:pPr>
          </w:p>
        </w:tc>
        <w:tc>
          <w:tcPr>
            <w:tcW w:w="740" w:type="dxa"/>
            <w:vAlign w:val="bottom"/>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rPr>
              <w:t>Third</w:t>
            </w:r>
          </w:p>
        </w:tc>
        <w:tc>
          <w:tcPr>
            <w:tcW w:w="80" w:type="dxa"/>
            <w:vAlign w:val="bottom"/>
          </w:tcPr>
          <w:p>
            <w:pPr>
              <w:spacing w:after="0"/>
              <w:rPr>
                <w:sz w:val="11"/>
                <w:szCs w:val="11"/>
                <w:color w:val="auto"/>
              </w:rPr>
            </w:pPr>
          </w:p>
        </w:tc>
        <w:tc>
          <w:tcPr>
            <w:tcW w:w="760" w:type="dxa"/>
            <w:vAlign w:val="bottom"/>
            <w:gridSpan w:val="2"/>
          </w:tcPr>
          <w:p>
            <w:pPr>
              <w:jc w:val="center"/>
              <w:ind w:right="300"/>
              <w:spacing w:after="0" w:line="129" w:lineRule="exact"/>
              <w:rPr>
                <w:sz w:val="20"/>
                <w:szCs w:val="20"/>
                <w:color w:val="auto"/>
              </w:rPr>
            </w:pPr>
            <w:r>
              <w:rPr>
                <w:rFonts w:ascii="Arial" w:cs="Arial" w:eastAsia="Arial" w:hAnsi="Arial"/>
                <w:sz w:val="13"/>
                <w:szCs w:val="13"/>
                <w:b w:val="1"/>
                <w:bCs w:val="1"/>
                <w:color w:val="auto"/>
                <w:w w:val="80"/>
              </w:rPr>
              <w:t>Second</w:t>
            </w:r>
          </w:p>
        </w:tc>
        <w:tc>
          <w:tcPr>
            <w:tcW w:w="6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First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w w:val="97"/>
              </w:rPr>
              <w:t>Fourth</w:t>
            </w:r>
          </w:p>
        </w:tc>
        <w:tc>
          <w:tcPr>
            <w:tcW w:w="80" w:type="dxa"/>
            <w:vAlign w:val="bottom"/>
          </w:tcPr>
          <w:p>
            <w:pPr>
              <w:spacing w:after="0"/>
              <w:rPr>
                <w:sz w:val="11"/>
                <w:szCs w:val="11"/>
                <w:color w:val="auto"/>
              </w:rPr>
            </w:pPr>
          </w:p>
        </w:tc>
        <w:tc>
          <w:tcPr>
            <w:tcW w:w="52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rPr>
              <w:t>Third</w:t>
            </w:r>
          </w:p>
        </w:tc>
        <w:tc>
          <w:tcPr>
            <w:tcW w:w="240" w:type="dxa"/>
            <w:vAlign w:val="bottom"/>
          </w:tcPr>
          <w:p>
            <w:pPr>
              <w:spacing w:after="0"/>
              <w:rPr>
                <w:sz w:val="11"/>
                <w:szCs w:val="11"/>
                <w:color w:val="auto"/>
              </w:rPr>
            </w:pPr>
          </w:p>
        </w:tc>
        <w:tc>
          <w:tcPr>
            <w:tcW w:w="820" w:type="dxa"/>
            <w:vAlign w:val="bottom"/>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w w:val="83"/>
              </w:rPr>
              <w:t>2008-2007</w:t>
            </w:r>
          </w:p>
        </w:tc>
        <w:tc>
          <w:tcPr>
            <w:tcW w:w="80" w:type="dxa"/>
            <w:vAlign w:val="bottom"/>
          </w:tcPr>
          <w:p>
            <w:pPr>
              <w:spacing w:after="0"/>
              <w:rPr>
                <w:sz w:val="11"/>
                <w:szCs w:val="11"/>
                <w:color w:val="auto"/>
              </w:rPr>
            </w:pPr>
          </w:p>
        </w:tc>
        <w:tc>
          <w:tcPr>
            <w:tcW w:w="1600" w:type="dxa"/>
            <w:vAlign w:val="bottom"/>
            <w:gridSpan w:val="5"/>
          </w:tcPr>
          <w:p>
            <w:pPr>
              <w:jc w:val="right"/>
              <w:ind w:right="560"/>
              <w:spacing w:after="0" w:line="129" w:lineRule="exact"/>
              <w:rPr>
                <w:sz w:val="20"/>
                <w:szCs w:val="20"/>
                <w:color w:val="auto"/>
              </w:rPr>
            </w:pPr>
            <w:r>
              <w:rPr>
                <w:rFonts w:ascii="Arial" w:cs="Arial" w:eastAsia="Arial" w:hAnsi="Arial"/>
                <w:sz w:val="13"/>
                <w:szCs w:val="13"/>
                <w:b w:val="1"/>
                <w:bCs w:val="1"/>
                <w:color w:val="auto"/>
              </w:rPr>
              <w:t>Months Ended</w:t>
            </w:r>
          </w:p>
        </w:tc>
        <w:tc>
          <w:tcPr>
            <w:tcW w:w="680" w:type="dxa"/>
            <w:vAlign w:val="bottom"/>
            <w:gridSpan w:val="2"/>
          </w:tcPr>
          <w:p>
            <w:pPr>
              <w:jc w:val="right"/>
              <w:ind w:right="140"/>
              <w:spacing w:after="0" w:line="129" w:lineRule="exact"/>
              <w:rPr>
                <w:sz w:val="20"/>
                <w:szCs w:val="20"/>
                <w:color w:val="auto"/>
              </w:rPr>
            </w:pPr>
            <w:r>
              <w:rPr>
                <w:rFonts w:ascii="Arial" w:cs="Arial" w:eastAsia="Arial" w:hAnsi="Arial"/>
                <w:sz w:val="13"/>
                <w:szCs w:val="13"/>
                <w:b w:val="1"/>
                <w:bCs w:val="1"/>
                <w:color w:val="auto"/>
                <w:w w:val="83"/>
              </w:rPr>
              <w:t>2008-2007</w:t>
            </w:r>
          </w:p>
        </w:tc>
        <w:tc>
          <w:tcPr>
            <w:tcW w:w="0" w:type="dxa"/>
            <w:vAlign w:val="bottom"/>
          </w:tcPr>
          <w:p>
            <w:pPr>
              <w:spacing w:after="0"/>
              <w:rPr>
                <w:sz w:val="1"/>
                <w:szCs w:val="1"/>
                <w:color w:val="auto"/>
              </w:rPr>
            </w:pPr>
          </w:p>
        </w:tc>
      </w:tr>
      <w:tr>
        <w:trPr>
          <w:trHeight w:val="129"/>
        </w:trPr>
        <w:tc>
          <w:tcPr>
            <w:tcW w:w="19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i w:val="1"/>
                <w:iCs w:val="1"/>
                <w:color w:val="auto"/>
              </w:rPr>
              <w:t>data; taxable equivalent)</w:t>
            </w: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93"/>
              </w:rPr>
              <w:t>Quarter</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17"/>
              <w:spacing w:after="0" w:line="129" w:lineRule="exact"/>
              <w:rPr>
                <w:sz w:val="20"/>
                <w:szCs w:val="20"/>
                <w:color w:val="auto"/>
              </w:rPr>
            </w:pPr>
            <w:r>
              <w:rPr>
                <w:rFonts w:ascii="Arial" w:cs="Arial" w:eastAsia="Arial" w:hAnsi="Arial"/>
                <w:sz w:val="13"/>
                <w:szCs w:val="13"/>
                <w:b w:val="1"/>
                <w:bCs w:val="1"/>
                <w:color w:val="auto"/>
                <w:w w:val="93"/>
              </w:rPr>
              <w:t>Quarter</w:t>
            </w: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3"/>
              </w:rPr>
              <w:t>Quarter</w:t>
            </w: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93"/>
              </w:rPr>
              <w:t>Quarter</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9"/>
              </w:rPr>
              <w:t>Quarter</w:t>
            </w:r>
          </w:p>
        </w:tc>
        <w:tc>
          <w:tcPr>
            <w:tcW w:w="240" w:type="dxa"/>
            <w:vAlign w:val="bottom"/>
          </w:tcPr>
          <w:p>
            <w:pPr>
              <w:spacing w:after="0"/>
              <w:rPr>
                <w:sz w:val="11"/>
                <w:szCs w:val="11"/>
                <w:color w:val="auto"/>
              </w:rPr>
            </w:pPr>
          </w:p>
        </w:tc>
        <w:tc>
          <w:tcPr>
            <w:tcW w:w="5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8"/>
              </w:rPr>
              <w:t>Change</w:t>
            </w:r>
          </w:p>
        </w:tc>
        <w:tc>
          <w:tcPr>
            <w:tcW w:w="2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2008</w:t>
            </w: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2007</w:t>
            </w:r>
          </w:p>
        </w:tc>
        <w:tc>
          <w:tcPr>
            <w:tcW w:w="240" w:type="dxa"/>
            <w:vAlign w:val="bottom"/>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6"/>
              </w:rPr>
              <w:t>Change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INCOME SUMMARY</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line="135" w:lineRule="exact"/>
              <w:rPr>
                <w:sz w:val="20"/>
                <w:szCs w:val="20"/>
                <w:color w:val="auto"/>
              </w:rPr>
            </w:pPr>
            <w:r>
              <w:rPr>
                <w:rFonts w:ascii="Arial" w:cs="Arial" w:eastAsia="Arial" w:hAnsi="Arial"/>
                <w:sz w:val="13"/>
                <w:szCs w:val="13"/>
                <w:color w:val="auto"/>
              </w:rPr>
              <w:t>Interest revenue</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112,510</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116,984</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129,041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140,768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144,884</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358,535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410,150</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Interest expense</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53,719</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55,231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62,754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71,038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73,203</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171,704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205,396</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20" w:type="dxa"/>
            <w:vAlign w:val="bottom"/>
            <w:gridSpan w:val="2"/>
          </w:tcPr>
          <w:p>
            <w:pPr>
              <w:ind w:left="400"/>
              <w:spacing w:after="0" w:line="143" w:lineRule="exact"/>
              <w:rPr>
                <w:sz w:val="20"/>
                <w:szCs w:val="20"/>
                <w:color w:val="auto"/>
              </w:rPr>
            </w:pPr>
            <w:r>
              <w:rPr>
                <w:rFonts w:ascii="Arial" w:cs="Arial" w:eastAsia="Arial" w:hAnsi="Arial"/>
                <w:sz w:val="13"/>
                <w:szCs w:val="13"/>
                <w:color w:val="auto"/>
              </w:rPr>
              <w:t>Net interest revenue</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58,791</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61,753</w:t>
            </w: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66,287</w:t>
            </w: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69,730</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71,681</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(18)%</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186,831</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204,754</w:t>
            </w:r>
          </w:p>
        </w:tc>
        <w:tc>
          <w:tcPr>
            <w:tcW w:w="240" w:type="dxa"/>
            <w:vAlign w:val="bottom"/>
          </w:tcPr>
          <w:p>
            <w:pPr>
              <w:spacing w:after="0"/>
              <w:rPr>
                <w:sz w:val="12"/>
                <w:szCs w:val="12"/>
                <w:color w:val="auto"/>
              </w:rPr>
            </w:pPr>
          </w:p>
        </w:tc>
        <w:tc>
          <w:tcPr>
            <w:tcW w:w="6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Provision for loan losses </w:t>
            </w:r>
            <w:r>
              <w:rPr>
                <w:rFonts w:ascii="Arial" w:cs="Arial" w:eastAsia="Arial" w:hAnsi="Arial"/>
                <w:sz w:val="10"/>
                <w:szCs w:val="10"/>
                <w:color w:val="auto"/>
              </w:rPr>
              <w:t>(1)</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76,000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15,500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7,500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26,500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3,700</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99,000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11,100</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line="135" w:lineRule="exact"/>
              <w:rPr>
                <w:sz w:val="20"/>
                <w:szCs w:val="20"/>
                <w:color w:val="auto"/>
              </w:rPr>
            </w:pPr>
            <w:r>
              <w:rPr>
                <w:rFonts w:ascii="Arial" w:cs="Arial" w:eastAsia="Arial" w:hAnsi="Arial"/>
                <w:sz w:val="13"/>
                <w:szCs w:val="13"/>
                <w:color w:val="auto"/>
              </w:rPr>
              <w:t>Fee revenue</w:t>
            </w: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13,121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15,105</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14,197</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16,100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15,615</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42,423</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46,551</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Total operating revenue</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(4,088)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61,358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72,984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59,330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83,596</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130,254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240,205</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line="135" w:lineRule="exact"/>
              <w:rPr>
                <w:sz w:val="20"/>
                <w:szCs w:val="20"/>
                <w:color w:val="auto"/>
              </w:rPr>
            </w:pPr>
            <w:r>
              <w:rPr>
                <w:rFonts w:ascii="Arial" w:cs="Arial" w:eastAsia="Arial" w:hAnsi="Arial"/>
                <w:sz w:val="13"/>
                <w:szCs w:val="13"/>
                <w:color w:val="auto"/>
              </w:rPr>
              <w:t>Operating expenses</w:t>
            </w: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56,970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49,761</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47,529</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49,336</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48,182</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154,260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140,725</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Income (loss) before taxes</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(61,058)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11,597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25,455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9,994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35,414</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(272)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(24,006)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99,480</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line="135" w:lineRule="exact"/>
              <w:rPr>
                <w:sz w:val="20"/>
                <w:szCs w:val="20"/>
                <w:color w:val="auto"/>
              </w:rPr>
            </w:pPr>
            <w:r>
              <w:rPr>
                <w:rFonts w:ascii="Arial" w:cs="Arial" w:eastAsia="Arial" w:hAnsi="Arial"/>
                <w:sz w:val="13"/>
                <w:szCs w:val="13"/>
                <w:color w:val="auto"/>
              </w:rPr>
              <w:t>Income tax expense (benefit)</w:t>
            </w: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(21,184)</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4,504</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9,377</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3,960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12,878</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(7,303)</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36,523</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Net operating income (loss)</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(39,874)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7,093</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16,078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6,034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22,536</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(277)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(16,703)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62,957</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Fraud loss provision, net of tax </w:t>
            </w:r>
            <w:r>
              <w:rPr>
                <w:rFonts w:ascii="Arial" w:cs="Arial" w:eastAsia="Arial" w:hAnsi="Arial"/>
                <w:sz w:val="10"/>
                <w:szCs w:val="10"/>
                <w:color w:val="auto"/>
              </w:rPr>
              <w:t>(1)</w:t>
            </w: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1,833</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9,165</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Net income (loss)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(39,874)</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7,093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16,078</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4,201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22,536</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(277)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(16,703)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53,792</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20"/>
        </w:trPr>
        <w:tc>
          <w:tcPr>
            <w:tcW w:w="20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OPERATING PERFORMANCE </w:t>
            </w:r>
            <w:r>
              <w:rPr>
                <w:rFonts w:ascii="Arial" w:cs="Arial" w:eastAsia="Arial" w:hAnsi="Arial"/>
                <w:sz w:val="10"/>
                <w:szCs w:val="10"/>
                <w:b w:val="1"/>
                <w:bCs w:val="1"/>
                <w:color w:val="auto"/>
              </w:rPr>
              <w:t>(1)</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2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rPr>
              <w:t>Earnings (loss) per common</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share: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Basic</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(.84)</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.34</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.47</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1.38</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Diluted</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.46</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(283)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1.36</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35"/>
        </w:trPr>
        <w:tc>
          <w:tcPr>
            <w:tcW w:w="202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97"/>
              </w:rPr>
              <w:t xml:space="preserve">Return on tangible equity </w:t>
            </w:r>
            <w:r>
              <w:rPr>
                <w:rFonts w:ascii="Arial" w:cs="Arial" w:eastAsia="Arial" w:hAnsi="Arial"/>
                <w:sz w:val="10"/>
                <w:szCs w:val="10"/>
                <w:color w:val="auto"/>
                <w:w w:val="97"/>
              </w:rPr>
              <w:t>(2)(3)(4)</w:t>
            </w: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(30.43)</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5.86</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13.16</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5.06</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17.54</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(3.99)</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17.42</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 xml:space="preserve">Return on assets </w:t>
            </w:r>
            <w:r>
              <w:rPr>
                <w:rFonts w:ascii="Arial" w:cs="Arial" w:eastAsia="Arial" w:hAnsi="Arial"/>
                <w:sz w:val="10"/>
                <w:szCs w:val="10"/>
                <w:color w:val="auto"/>
              </w:rPr>
              <w:t>(4)</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(1.95)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1.11</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1.11</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20" w:type="dxa"/>
            <w:vAlign w:val="bottom"/>
            <w:gridSpan w:val="2"/>
          </w:tcPr>
          <w:p>
            <w:pPr>
              <w:ind w:left="200"/>
              <w:spacing w:after="0"/>
              <w:rPr>
                <w:sz w:val="20"/>
                <w:szCs w:val="20"/>
                <w:color w:val="auto"/>
              </w:rPr>
            </w:pPr>
            <w:r>
              <w:rPr>
                <w:rFonts w:ascii="Arial" w:cs="Arial" w:eastAsia="Arial" w:hAnsi="Arial"/>
                <w:sz w:val="13"/>
                <w:szCs w:val="13"/>
                <w:color w:val="auto"/>
              </w:rPr>
              <w:t>Dividend payout ratio</w:t>
            </w:r>
          </w:p>
        </w:tc>
        <w:tc>
          <w:tcPr>
            <w:tcW w:w="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(10.71)</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60.00</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26.47</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69.23</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19.15</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(77.14)</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19.57</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2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GAAP PERFORMANCE</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2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MEASURES</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Per common share:</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Basic (loss) earnings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.34</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(279)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1.18</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35"/>
        </w:trPr>
        <w:tc>
          <w:tcPr>
            <w:tcW w:w="202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Diluted (loss) earnings</w:t>
            </w: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(.84)</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.34</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.09</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.46</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(283)</w:t>
            </w: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1.16</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21"/>
        </w:trPr>
        <w:tc>
          <w:tcPr>
            <w:tcW w:w="2020" w:type="dxa"/>
            <w:vAlign w:val="bottom"/>
            <w:gridSpan w:val="2"/>
            <w:shd w:val="clear" w:color="auto" w:fill="CCEEFF"/>
          </w:tcPr>
          <w:p>
            <w:pPr>
              <w:ind w:left="400"/>
              <w:spacing w:after="0" w:line="121" w:lineRule="exact"/>
              <w:rPr>
                <w:sz w:val="20"/>
                <w:szCs w:val="20"/>
                <w:color w:val="auto"/>
              </w:rPr>
            </w:pPr>
            <w:r>
              <w:rPr>
                <w:rFonts w:ascii="Arial" w:cs="Arial" w:eastAsia="Arial" w:hAnsi="Arial"/>
                <w:sz w:val="13"/>
                <w:szCs w:val="13"/>
                <w:color w:val="auto"/>
              </w:rPr>
              <w:t>Cash / stock dividends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declared</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.09</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.09</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.09</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02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Book value</w:t>
            </w:r>
          </w:p>
        </w:tc>
        <w:tc>
          <w:tcPr>
            <w:tcW w:w="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17.12</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17.75</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18.50</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17.70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17.51</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17.12</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17.51</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 xml:space="preserve">Tangible book value </w:t>
            </w:r>
            <w:r>
              <w:rPr>
                <w:rFonts w:ascii="Arial" w:cs="Arial" w:eastAsia="Arial" w:hAnsi="Arial"/>
                <w:sz w:val="10"/>
                <w:szCs w:val="10"/>
                <w:color w:val="auto"/>
              </w:rPr>
              <w:t>(3)</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10.48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11.03</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11.76</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10.92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10.81</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10.48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10.81</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2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Key performance ratios:</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 xml:space="preserve">Return on equity </w:t>
            </w:r>
            <w:r>
              <w:rPr>
                <w:rFonts w:ascii="Arial" w:cs="Arial" w:eastAsia="Arial" w:hAnsi="Arial"/>
                <w:sz w:val="10"/>
                <w:szCs w:val="10"/>
                <w:color w:val="auto"/>
              </w:rPr>
              <w:t>(2)(4)</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(19.07)%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7.85%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2.01%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10.66%</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(2.69)%</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10.04%</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Return on assets</w:t>
            </w: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(1.95)</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.34</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.78</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1.11</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.95</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10"/>
                <w:szCs w:val="10"/>
                <w:color w:val="auto"/>
              </w:rPr>
              <w:t>(4)</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3.17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3.32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3.55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3.73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3.89</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3.35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3.94</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Efficiency ratio</w:t>
            </w:r>
          </w:p>
        </w:tc>
        <w:tc>
          <w:tcPr>
            <w:tcW w:w="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79.35</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65.05</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59.05</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57.67</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55.34</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67.43</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56.14</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Dividend payout ratio</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(10.71)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60.00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26.47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19.15</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(77.14)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22.88</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Equity to assets</w:t>
            </w:r>
          </w:p>
        </w:tc>
        <w:tc>
          <w:tcPr>
            <w:tcW w:w="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10.28</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10.33</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10.30</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10.20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10.32</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10.30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9.39</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 xml:space="preserve">Tangible equity to assets </w:t>
            </w:r>
            <w:r>
              <w:rPr>
                <w:rFonts w:ascii="Arial" w:cs="Arial" w:eastAsia="Arial" w:hAnsi="Arial"/>
                <w:sz w:val="10"/>
                <w:szCs w:val="10"/>
                <w:color w:val="auto"/>
              </w:rPr>
              <w:t>(3)</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6.65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6.77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6.73</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6.65</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6.72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6.65</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ASSET QUALITY</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Allowance for loan losses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111,299</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91,035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89,848</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89,423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90,935</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111,299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90,935</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 xml:space="preserve">Net charge-offs </w:t>
            </w:r>
            <w:r>
              <w:rPr>
                <w:rFonts w:ascii="Arial" w:cs="Arial" w:eastAsia="Arial" w:hAnsi="Arial"/>
                <w:sz w:val="10"/>
                <w:szCs w:val="10"/>
                <w:color w:val="auto"/>
              </w:rPr>
              <w:t>(1)</w:t>
            </w:r>
          </w:p>
        </w:tc>
        <w:tc>
          <w:tcPr>
            <w:tcW w:w="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55,736</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14,313</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7,075</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13,012</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5,236</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77,124</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8,822</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Non-performing loans</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139,266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123,786</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67,728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28,219</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46,783</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139,266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46,783</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OREO</w:t>
            </w: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38,438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28,378</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22,136</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18,039</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16,554</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38,438</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16,554</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w w:val="98"/>
              </w:rPr>
              <w:t>Total non-performing assets</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177,704</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152,164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89,864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46,258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63,337</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177,704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63,337</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20" w:type="dxa"/>
            <w:vAlign w:val="bottom"/>
            <w:gridSpan w:val="2"/>
          </w:tcPr>
          <w:p>
            <w:pPr>
              <w:ind w:left="200"/>
              <w:spacing w:after="0" w:line="126" w:lineRule="exact"/>
              <w:rPr>
                <w:sz w:val="20"/>
                <w:szCs w:val="20"/>
                <w:color w:val="auto"/>
              </w:rPr>
            </w:pPr>
            <w:r>
              <w:rPr>
                <w:rFonts w:ascii="Arial" w:cs="Arial" w:eastAsia="Arial" w:hAnsi="Arial"/>
                <w:sz w:val="13"/>
                <w:szCs w:val="13"/>
                <w:color w:val="auto"/>
                <w:w w:val="91"/>
              </w:rPr>
              <w:t>Allowance for loan losses to loans</w:t>
            </w:r>
          </w:p>
        </w:tc>
        <w:tc>
          <w:tcPr>
            <w:tcW w:w="6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1.91%</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1.53%</w:t>
            </w:r>
          </w:p>
        </w:tc>
        <w:tc>
          <w:tcPr>
            <w:tcW w:w="6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1.51%</w:t>
            </w:r>
          </w:p>
        </w:tc>
        <w:tc>
          <w:tcPr>
            <w:tcW w:w="6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1.51%</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1.28%</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1.91%</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1.28%</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940" w:type="dxa"/>
            <w:vAlign w:val="bottom"/>
          </w:tcPr>
          <w:p>
            <w:pPr>
              <w:ind w:left="400"/>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2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rPr>
              <w:t>Net charge-offs to average</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 xml:space="preserve">loans </w:t>
            </w:r>
            <w:r>
              <w:rPr>
                <w:rFonts w:ascii="Arial" w:cs="Arial" w:eastAsia="Arial" w:hAnsi="Arial"/>
                <w:sz w:val="10"/>
                <w:szCs w:val="10"/>
                <w:color w:val="auto"/>
              </w:rPr>
              <w:t>(1)(4)</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3.77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.97</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.35</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1.74</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20" w:type="dxa"/>
            <w:vAlign w:val="bottom"/>
            <w:gridSpan w:val="2"/>
          </w:tcPr>
          <w:p>
            <w:pPr>
              <w:ind w:left="200"/>
              <w:spacing w:after="0" w:line="121" w:lineRule="exact"/>
              <w:rPr>
                <w:sz w:val="20"/>
                <w:szCs w:val="20"/>
                <w:color w:val="auto"/>
              </w:rPr>
            </w:pPr>
            <w:r>
              <w:rPr>
                <w:rFonts w:ascii="Arial" w:cs="Arial" w:eastAsia="Arial" w:hAnsi="Arial"/>
                <w:sz w:val="13"/>
                <w:szCs w:val="13"/>
                <w:color w:val="auto"/>
                <w:w w:val="99"/>
              </w:rPr>
              <w:t>Non-performing assets to loans</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gridSpan w:val="2"/>
          </w:tcPr>
          <w:p>
            <w:pPr>
              <w:ind w:left="400"/>
              <w:spacing w:after="0"/>
              <w:rPr>
                <w:sz w:val="20"/>
                <w:szCs w:val="20"/>
                <w:color w:val="auto"/>
              </w:rPr>
            </w:pPr>
            <w:r>
              <w:rPr>
                <w:rFonts w:ascii="Arial" w:cs="Arial" w:eastAsia="Arial" w:hAnsi="Arial"/>
                <w:sz w:val="13"/>
                <w:szCs w:val="13"/>
                <w:color w:val="auto"/>
              </w:rPr>
              <w:t>and OREO</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3.03</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2.55</w:t>
            </w:r>
          </w:p>
        </w:tc>
        <w:tc>
          <w:tcPr>
            <w:tcW w:w="6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1.50</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1.06</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3.03</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1.06</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2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rPr>
              <w:t>Non-performing assets to total</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assets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2.20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1.84</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1.07</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.77</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2.20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.77</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AVERAGE BALANCES</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Loans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89"/>
              </w:rPr>
              <w:t>5,889,168</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5,933,143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5,958,296</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9"/>
              </w:rPr>
              <w:t>5,940,230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5,966,933</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5,926,731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5,665,314</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2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Investment securities</w:t>
            </w:r>
          </w:p>
        </w:tc>
        <w:tc>
          <w:tcPr>
            <w:tcW w:w="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89"/>
              </w:rPr>
              <w:t>1,454,740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1,507,240</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1,485,515</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9"/>
              </w:rPr>
              <w:t>1,404,796</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1,308,192</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1,482,397</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1,235,183</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Earning assets</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89"/>
              </w:rPr>
              <w:t>7,384,287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7,478,018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7,491,480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9"/>
              </w:rPr>
              <w:t>7,424,992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7,332,492</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7,451,017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6,951,573</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202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Total assets</w:t>
            </w:r>
          </w:p>
        </w:tc>
        <w:tc>
          <w:tcPr>
            <w:tcW w:w="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89"/>
              </w:rPr>
              <w:t>8,146,880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8,295,748</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8,305,621</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9"/>
              </w:rPr>
              <w:t>8,210,120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8,083,739</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8,249,042</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7,568,910</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Deposits</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89"/>
              </w:rPr>
              <w:t>6,597,339</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6,461,361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6,051,069</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9"/>
              </w:rPr>
              <w:t>6,151,476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6,246,319</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6,370,753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5,987,225</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2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Shareholders’ equity</w:t>
            </w:r>
          </w:p>
        </w:tc>
        <w:tc>
          <w:tcPr>
            <w:tcW w:w="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837,487</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856,727</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855,659</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837,195</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834,094</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849,912</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710,950</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shares — basic</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47,304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47,060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46,966</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47,203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48,348</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47,111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45,452</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20" w:type="dxa"/>
            <w:vAlign w:val="bottom"/>
            <w:gridSpan w:val="2"/>
          </w:tcPr>
          <w:p>
            <w:pPr>
              <w:ind w:left="200"/>
              <w:spacing w:after="0"/>
              <w:rPr>
                <w:sz w:val="20"/>
                <w:szCs w:val="20"/>
                <w:color w:val="auto"/>
              </w:rPr>
            </w:pPr>
            <w:r>
              <w:rPr>
                <w:rFonts w:ascii="Arial" w:cs="Arial" w:eastAsia="Arial" w:hAnsi="Arial"/>
                <w:sz w:val="13"/>
                <w:szCs w:val="13"/>
                <w:color w:val="auto"/>
              </w:rPr>
              <w:t>Common shares — diluted</w:t>
            </w:r>
          </w:p>
        </w:tc>
        <w:tc>
          <w:tcPr>
            <w:tcW w:w="6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47,304</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47,249</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47,272</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47,652</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48,977</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47,111</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46,235</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AT PERIOD END</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Loans</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89"/>
              </w:rPr>
              <w:t>5,829,937</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5,933,141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5,967,839</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9"/>
              </w:rPr>
              <w:t>5,929,263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5,952,749</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5,829,937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5,952,749</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Investment securities</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89"/>
              </w:rPr>
              <w:t>1,400,827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1,430,588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1,508,402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9"/>
              </w:rPr>
              <w:t>1,356,846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1,296,826</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1,400,827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1,296,826</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35"/>
        </w:trPr>
        <w:tc>
          <w:tcPr>
            <w:tcW w:w="202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Total assets</w:t>
            </w:r>
          </w:p>
        </w:tc>
        <w:tc>
          <w:tcPr>
            <w:tcW w:w="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89"/>
              </w:rPr>
              <w:t>8,072,543</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8,264,051</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8,386,255</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9"/>
              </w:rPr>
              <w:t>8,207,302</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8,180,600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8,072,543</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8,180,600</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Deposits</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89"/>
              </w:rPr>
              <w:t>6,689,335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6,696,456</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6,175,769</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9"/>
              </w:rPr>
              <w:t>6,075,951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6,154,308</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6,689,335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6,154,308</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5"/>
        </w:trPr>
        <w:tc>
          <w:tcPr>
            <w:tcW w:w="202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Shareholders’ equity</w:t>
            </w:r>
          </w:p>
        </w:tc>
        <w:tc>
          <w:tcPr>
            <w:tcW w:w="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816,880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837,890</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871,452</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831,902</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833,761</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816,880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833,761</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shares outstanding</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47,596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47,096</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47,004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46,903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47,542</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47,596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47,542</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80" w:right="559" w:hanging="348"/>
        <w:spacing w:after="0" w:line="26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effect of special $15 million fraud related provision for loan losses recorded in the second quarter of 2007, an additional $3 million provision in the fourth quarter of 2007, and $18 million of related loan charge-offs recorded in the fourth quarter of 2007.</w:t>
      </w:r>
    </w:p>
    <w:p>
      <w:pPr>
        <w:spacing w:after="0" w:line="32" w:lineRule="exact"/>
        <w:rPr>
          <w:rFonts w:ascii="Arial" w:cs="Arial" w:eastAsia="Arial" w:hAnsi="Arial"/>
          <w:sz w:val="18"/>
          <w:szCs w:val="18"/>
          <w:color w:val="auto"/>
        </w:rPr>
      </w:pPr>
    </w:p>
    <w:p>
      <w:pPr>
        <w:ind w:left="680" w:right="559" w:hanging="348"/>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available to common shareholders, which excludes preferred stock dividends, divided by average realized common equity, which excludes accumulated other comprehensive income (loss).</w:t>
      </w:r>
    </w:p>
    <w:p>
      <w:pPr>
        <w:spacing w:after="0" w:line="21"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effect of acquisition related intangibles and associated amortization.</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Annualized.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Net operating loss was $39.9 million for the third quarter of 2008, compared to net operating income of $22.5 million for the same period in 2007. Diluted operating loss per share was $.84 for the third quarter of 2008, compared to diluted operating earnings per share of $.46 for the third quarter of 2007.</w:t>
      </w:r>
    </w:p>
    <w:p>
      <w:pPr>
        <w:spacing w:after="0" w:line="141"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Net operating loss was $16.7 million for the nine months ended September 30, 2008, compared to net operating income of $63.0 million for the same period in 2007. Diluted operating loss per share was $.35 for the nine months ended September 30, 2008, compared to diluted operating earnings per share of $1.36 for the nine months ended September 30, 2007.</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202"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Net interest revenue for the three months ended September 30, 2008 was $58.8 million, down $12.9 million, or 18%, from last year. Average loans decreased $77.8 million, or 1%, from the third quarter last year. Overall, United’s loan portfolio decreased slightly, which was a result of the slowdown in the housing market, particularly in the Atlanta MSA where period end loans decreased $256.6 million from September 30, 2007. Much of the decrease was intentional as management sought to rebalance the loan portfolio by reducing the concentration of residential construction loans, particularly in the Atlanta MSA where the housing market has been under considerable stress. In contrast, period-end loans in north Georgia increased $40.5 million, coastal Georgia increased $55.8 million, the Gainesville MSA increased $31.8 million, east Tennessee increased $23.9 million and western North Carolina decreased $18.2 million.</w:t>
      </w:r>
    </w:p>
    <w:p>
      <w:pPr>
        <w:spacing w:after="0" w:line="12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Average interest-earning assets for the third quarter 2008 increased $51.8 million, or 1%, over the same period in 2007. These increases in interest-earning assets were more than funded by interest-bearing sources, resulting in increases in average interest-bearing liabilities of $125.6 million compared to the same period in 2007. The increase in interest-bearing liabilities was primarily the result of an increase in interest-bearing deposits.</w:t>
      </w:r>
    </w:p>
    <w:p>
      <w:pPr>
        <w:spacing w:after="0" w:line="146"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defined as net interest revenue as a percent of average total interest-earning assets and takes into account the positive effect of investing non-interest-bearing deposits and capital.</w:t>
      </w:r>
    </w:p>
    <w:p>
      <w:pPr>
        <w:spacing w:after="0" w:line="13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For the three months ended September 30, 2008 and 2007, the net interest spread was 2.82% and 3.34%, respectively, while the net interest margin was 3.17% and 3.89%, respectively. The compression of the spread and margin was primarily the result of a rise in non-performing assets and increased deposit pricing resulting from increased competition for deposits due to liquidity pressures affecting the banking industry as a whole. The compression of the spread and margin was also due to the 325 basis point lowering of the prime rate initiated by actions of the Federal Reserve beginning in September 2007 and the resulting repricing of our interest earning assets faster than our interest-bearing liabilities. Also contributing to the lower spread and net interest margin was a shift in earning-asset mix from loans to investment securities. With the additional 100 basis point lowering of the prime rate initiated by the Federal Reserve on October 8, 2008 and October 29, 2008, management expects the spread and margin to further compress.</w:t>
      </w:r>
    </w:p>
    <w:p>
      <w:pPr>
        <w:spacing w:after="0" w:line="141"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The average yield on interest-earning assets for the third quarter of 2008 was 6.07%, compared with 7.85% in the third quarter of 2007. Loan yields were down 214 basis points compared with the third quarter of 2007, primarily due to the 325 basis point decrease in the prime rate since September 2007 and an increase in non-performing assets.</w:t>
      </w:r>
    </w:p>
    <w:p>
      <w:pPr>
        <w:spacing w:after="0" w:line="12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average cost of interest-bearing liabilities for the third quarter was 3.25% compared to 4.51% from the same period of 2007. Even as the cost of borrowed funds decreased 209 basis points compared with the second quarter of 2007, the cost of interest-bearing deposits only decreased 111 basis points in the same timeframe. Deposit pricing decreased less than borrowed funds because at the same time index interest rates were dropping, increasing competition for deposits kept deposit pricing at higher levels in relation to the cost to borrow funds.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September 30, 2008 and 2007.</w:t>
      </w:r>
    </w:p>
    <w:p>
      <w:pPr>
        <w:spacing w:after="0" w:line="139" w:lineRule="exact"/>
        <w:rPr>
          <w:sz w:val="20"/>
          <w:szCs w:val="20"/>
          <w:color w:val="auto"/>
        </w:rPr>
      </w:pPr>
    </w:p>
    <w:p>
      <w:pPr>
        <w:ind w:left="340" w:right="4199"/>
        <w:spacing w:after="0" w:line="477" w:lineRule="auto"/>
        <w:rPr>
          <w:sz w:val="20"/>
          <w:szCs w:val="20"/>
          <w:color w:val="auto"/>
        </w:rPr>
      </w:pPr>
      <w:r>
        <w:rPr>
          <w:rFonts w:ascii="Arial" w:cs="Arial" w:eastAsia="Arial" w:hAnsi="Arial"/>
          <w:sz w:val="18"/>
          <w:szCs w:val="18"/>
          <w:b w:val="1"/>
          <w:bCs w:val="1"/>
          <w:color w:val="auto"/>
        </w:rPr>
        <w:t xml:space="preserve">Table 3 — Average Consolidated Balance Sheets and Net Interest Analysis </w:t>
      </w:r>
      <w:r>
        <w:rPr>
          <w:rFonts w:ascii="Arial" w:cs="Arial" w:eastAsia="Arial" w:hAnsi="Arial"/>
          <w:sz w:val="18"/>
          <w:szCs w:val="18"/>
          <w:color w:val="auto"/>
        </w:rPr>
        <w:t>For the Three Months Ended September 30,</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2008</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2007</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Avg.</w:t>
            </w:r>
          </w:p>
        </w:tc>
        <w:tc>
          <w:tcPr>
            <w:tcW w:w="380" w:type="dxa"/>
            <w:vAlign w:val="bottom"/>
          </w:tcPr>
          <w:p>
            <w:pPr>
              <w:spacing w:after="0"/>
              <w:rPr>
                <w:sz w:val="16"/>
                <w:szCs w:val="16"/>
                <w:color w:val="auto"/>
              </w:rPr>
            </w:pPr>
          </w:p>
        </w:tc>
        <w:tc>
          <w:tcPr>
            <w:tcW w:w="11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(dollars in thousands, taxable equivalent)</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0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Rate</w:t>
            </w: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30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00" w:type="dxa"/>
            <w:vAlign w:val="bottom"/>
          </w:tcPr>
          <w:p>
            <w:pPr>
              <w:spacing w:after="0"/>
              <w:rPr>
                <w:sz w:val="20"/>
                <w:szCs w:val="20"/>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$5,889,168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93,270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$5,966,933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126,992</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8.44%</w:t>
            </w: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1,422,321</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18,258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5.13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1,266,609</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16,637</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704</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2"/>
        </w:trPr>
        <w:tc>
          <w:tcPr>
            <w:tcW w:w="32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Federal funds sold and other interest-</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earning assets</w:t>
            </w:r>
          </w:p>
        </w:tc>
        <w:tc>
          <w:tcPr>
            <w:tcW w:w="820" w:type="dxa"/>
            <w:vAlign w:val="bottom"/>
          </w:tcPr>
          <w:p>
            <w:pPr>
              <w:jc w:val="right"/>
              <w:spacing w:after="0"/>
              <w:rPr>
                <w:sz w:val="20"/>
                <w:szCs w:val="20"/>
                <w:color w:val="auto"/>
              </w:rPr>
            </w:pPr>
            <w:r>
              <w:rPr>
                <w:rFonts w:ascii="Arial" w:cs="Arial" w:eastAsia="Arial" w:hAnsi="Arial"/>
                <w:sz w:val="18"/>
                <w:szCs w:val="18"/>
                <w:color w:val="auto"/>
              </w:rPr>
              <w:t>40,379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409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4.05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57,367</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551</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interest-earning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7,384,287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112,510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7,332,492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144,884</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(93,687)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(93,832)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111,741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141,536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180,825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173,605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563,714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529,938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8,146,880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8,083,739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$1,463,744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$1,431,168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12,046</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421,626</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2,296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2.17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496,005</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5,002</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182,525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201,031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553</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Time less than $100,000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1,779,550</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17,812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3.98</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1,624,698</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20,151</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1,530,719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15,825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1,391,139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18,192</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Brokered</w:t>
            </w:r>
          </w:p>
        </w:tc>
        <w:tc>
          <w:tcPr>
            <w:tcW w:w="820" w:type="dxa"/>
            <w:vAlign w:val="bottom"/>
          </w:tcPr>
          <w:p>
            <w:pPr>
              <w:jc w:val="right"/>
              <w:spacing w:after="0"/>
              <w:rPr>
                <w:sz w:val="20"/>
                <w:szCs w:val="20"/>
                <w:color w:val="auto"/>
              </w:rPr>
            </w:pPr>
            <w:r>
              <w:rPr>
                <w:rFonts w:ascii="Arial" w:cs="Arial" w:eastAsia="Arial" w:hAnsi="Arial"/>
                <w:sz w:val="18"/>
                <w:szCs w:val="18"/>
                <w:color w:val="auto"/>
              </w:rPr>
              <w:t>530,705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5,407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4.05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358,614</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4,519</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5,908,869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48,271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5,502,655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60,463</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425"/>
        </w:trPr>
        <w:tc>
          <w:tcPr>
            <w:tcW w:w="3200" w:type="dxa"/>
            <w:vAlign w:val="bottom"/>
            <w:gridSpan w:val="2"/>
          </w:tcPr>
          <w:p>
            <w:pPr>
              <w:ind w:left="400"/>
              <w:spacing w:after="0"/>
              <w:rPr>
                <w:sz w:val="20"/>
                <w:szCs w:val="20"/>
                <w:color w:val="auto"/>
              </w:rPr>
            </w:pPr>
            <w:r>
              <w:rPr>
                <w:rFonts w:ascii="Arial" w:cs="Arial" w:eastAsia="Arial" w:hAnsi="Arial"/>
                <w:sz w:val="18"/>
                <w:szCs w:val="18"/>
                <w:color w:val="auto"/>
                <w:w w:val="99"/>
              </w:rPr>
              <w:t>Federal funds purchased and other</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600"/>
              <w:spacing w:after="0"/>
              <w:rPr>
                <w:sz w:val="20"/>
                <w:szCs w:val="20"/>
                <w:color w:val="auto"/>
              </w:rPr>
            </w:pPr>
            <w:r>
              <w:rPr>
                <w:rFonts w:ascii="Arial" w:cs="Arial" w:eastAsia="Arial" w:hAnsi="Arial"/>
                <w:sz w:val="18"/>
                <w:szCs w:val="18"/>
                <w:color w:val="auto"/>
              </w:rPr>
              <w:t>borrowings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256,742</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1,116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1.73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348,472</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4,738</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Federal Home Loan Bank advances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286,540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474,555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5,902</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Long-term debt</w:t>
            </w:r>
          </w:p>
        </w:tc>
        <w:tc>
          <w:tcPr>
            <w:tcW w:w="820" w:type="dxa"/>
            <w:vAlign w:val="bottom"/>
          </w:tcPr>
          <w:p>
            <w:pPr>
              <w:jc w:val="right"/>
              <w:spacing w:after="0"/>
              <w:rPr>
                <w:sz w:val="20"/>
                <w:szCs w:val="20"/>
                <w:color w:val="auto"/>
              </w:rPr>
            </w:pPr>
            <w:r>
              <w:rPr>
                <w:rFonts w:ascii="Arial" w:cs="Arial" w:eastAsia="Arial" w:hAnsi="Arial"/>
                <w:sz w:val="18"/>
                <w:szCs w:val="18"/>
                <w:color w:val="auto"/>
              </w:rPr>
              <w:t>118,756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2,227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7.46</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119,596</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2,100</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5,448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942,623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12,740</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421"/>
        </w:trPr>
        <w:tc>
          <w:tcPr>
            <w:tcW w:w="320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interest-bearing</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6,570,907</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53,719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3.25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6,445,278</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73,203</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Non-interest-bearing deposits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688,470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743,664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50,016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60,703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7,309,393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7,249,645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837,487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834,094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0" w:type="dxa"/>
            <w:vAlign w:val="bottom"/>
            <w:gridSpan w:val="2"/>
          </w:tcPr>
          <w:p>
            <w:pPr>
              <w:ind w:left="600"/>
              <w:spacing w:after="0" w:line="205" w:lineRule="exact"/>
              <w:rPr>
                <w:sz w:val="20"/>
                <w:szCs w:val="20"/>
                <w:color w:val="auto"/>
              </w:rPr>
            </w:pPr>
            <w:r>
              <w:rPr>
                <w:rFonts w:ascii="Arial" w:cs="Arial" w:eastAsia="Arial" w:hAnsi="Arial"/>
                <w:sz w:val="18"/>
                <w:szCs w:val="18"/>
                <w:b w:val="1"/>
                <w:bCs w:val="1"/>
                <w:color w:val="auto"/>
              </w:rPr>
              <w:t>Total liabilities and</w:t>
            </w: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shareholders’ equity</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8,146,880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8,083,739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58,791</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71,681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2.82%</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vMerge w:val="restart"/>
          </w:tcPr>
          <w:p>
            <w:pPr>
              <w:ind w:left="340"/>
              <w:spacing w:after="0"/>
              <w:rPr>
                <w:sz w:val="20"/>
                <w:szCs w:val="20"/>
                <w:color w:val="auto"/>
              </w:rPr>
            </w:pPr>
            <w:r>
              <w:rPr>
                <w:rFonts w:ascii="Arial" w:cs="Arial" w:eastAsia="Arial" w:hAnsi="Arial"/>
                <w:sz w:val="18"/>
                <w:szCs w:val="18"/>
                <w:color w:val="auto"/>
                <w:w w:val="90"/>
              </w:rPr>
              <w:t>3.34%</w:t>
            </w: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3.89%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64"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32" w:lineRule="exact"/>
        <w:rPr>
          <w:rFonts w:ascii="Arial" w:cs="Arial" w:eastAsia="Arial" w:hAnsi="Arial"/>
          <w:sz w:val="18"/>
          <w:szCs w:val="18"/>
          <w:color w:val="auto"/>
        </w:rPr>
      </w:pPr>
    </w:p>
    <w:p>
      <w:pPr>
        <w:ind w:left="680" w:hanging="348"/>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Included in the average balance of loans outstanding are loans where the accrual of interest has been discontinued.</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losses of $11.7 million in 2008 and $13.3 million in 2007 are included in other assets for purposes of this presentation.</w:t>
      </w:r>
    </w:p>
    <w:p>
      <w:pPr>
        <w:spacing w:after="0" w:line="21" w:lineRule="exact"/>
        <w:rPr>
          <w:rFonts w:ascii="Arial" w:cs="Arial" w:eastAsia="Arial" w:hAnsi="Arial"/>
          <w:sz w:val="18"/>
          <w:szCs w:val="18"/>
          <w:color w:val="auto"/>
        </w:rPr>
      </w:pPr>
    </w:p>
    <w:p>
      <w:pPr>
        <w:ind w:left="680" w:hanging="34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0219"/>
          </w:cols>
          <w:pgMar w:left="240" w:top="419" w:right="1440" w:bottom="352"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352"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nine months ended September 30, 2008 and 2007.</w:t>
      </w:r>
    </w:p>
    <w:p>
      <w:pPr>
        <w:spacing w:after="0" w:line="139" w:lineRule="exact"/>
        <w:rPr>
          <w:sz w:val="20"/>
          <w:szCs w:val="20"/>
          <w:color w:val="auto"/>
        </w:rPr>
      </w:pPr>
    </w:p>
    <w:p>
      <w:pPr>
        <w:ind w:left="340" w:right="4199"/>
        <w:spacing w:after="0" w:line="477" w:lineRule="auto"/>
        <w:rPr>
          <w:sz w:val="20"/>
          <w:szCs w:val="20"/>
          <w:color w:val="auto"/>
        </w:rPr>
      </w:pPr>
      <w:r>
        <w:rPr>
          <w:rFonts w:ascii="Arial" w:cs="Arial" w:eastAsia="Arial" w:hAnsi="Arial"/>
          <w:sz w:val="18"/>
          <w:szCs w:val="18"/>
          <w:b w:val="1"/>
          <w:bCs w:val="1"/>
          <w:color w:val="auto"/>
        </w:rPr>
        <w:t xml:space="preserve">Table 4 — Average Consolidated Balance Sheets and Net Interest Analysis </w:t>
      </w:r>
      <w:r>
        <w:rPr>
          <w:rFonts w:ascii="Arial" w:cs="Arial" w:eastAsia="Arial" w:hAnsi="Arial"/>
          <w:sz w:val="18"/>
          <w:szCs w:val="18"/>
          <w:color w:val="auto"/>
        </w:rPr>
        <w:t>For the Nine Months Ended September 30,</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2008</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2007</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Avg.</w:t>
            </w:r>
          </w:p>
        </w:tc>
        <w:tc>
          <w:tcPr>
            <w:tcW w:w="380" w:type="dxa"/>
            <w:vAlign w:val="bottom"/>
          </w:tcPr>
          <w:p>
            <w:pPr>
              <w:spacing w:after="0"/>
              <w:rPr>
                <w:sz w:val="16"/>
                <w:szCs w:val="16"/>
                <w:color w:val="auto"/>
              </w:rPr>
            </w:pPr>
          </w:p>
        </w:tc>
        <w:tc>
          <w:tcPr>
            <w:tcW w:w="11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(dollars in thousands, taxable equivalent)</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0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Rate</w:t>
            </w: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30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00" w:type="dxa"/>
            <w:vAlign w:val="bottom"/>
          </w:tcPr>
          <w:p>
            <w:pPr>
              <w:spacing w:after="0"/>
              <w:rPr>
                <w:sz w:val="20"/>
                <w:szCs w:val="20"/>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$5,926,731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299,601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$5,665,314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360,430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1,447,409</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55,765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5.14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1,192,815</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46,081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42,368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2"/>
        </w:trPr>
        <w:tc>
          <w:tcPr>
            <w:tcW w:w="32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Federal funds sold and other interest-</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earning assets</w:t>
            </w:r>
          </w:p>
        </w:tc>
        <w:tc>
          <w:tcPr>
            <w:tcW w:w="820" w:type="dxa"/>
            <w:vAlign w:val="bottom"/>
          </w:tcPr>
          <w:p>
            <w:pPr>
              <w:jc w:val="right"/>
              <w:spacing w:after="0"/>
              <w:rPr>
                <w:sz w:val="20"/>
                <w:szCs w:val="20"/>
                <w:color w:val="auto"/>
              </w:rPr>
            </w:pPr>
            <w:r>
              <w:rPr>
                <w:rFonts w:ascii="Arial" w:cs="Arial" w:eastAsia="Arial" w:hAnsi="Arial"/>
                <w:sz w:val="18"/>
                <w:szCs w:val="18"/>
                <w:color w:val="auto"/>
              </w:rPr>
              <w:t>41,889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1,292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4.11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51,076</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1,479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interest-earning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7,451,017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358,534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6,951,573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410,150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(93,165)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(78,541)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136,920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130,816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181,210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159,674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573,060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405,388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8,249,042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7,568,910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$1,476,998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22,581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$1,378,200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34,143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427,676</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7,519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2.35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371,716</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11,082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184,713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187,693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Time less than $100,000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1,659,308</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53,320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4.29</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1,631,243</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59,925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1,460,277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48,330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1,383,004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54,000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Brokered</w:t>
            </w:r>
          </w:p>
        </w:tc>
        <w:tc>
          <w:tcPr>
            <w:tcW w:w="820" w:type="dxa"/>
            <w:vAlign w:val="bottom"/>
          </w:tcPr>
          <w:p>
            <w:pPr>
              <w:jc w:val="right"/>
              <w:spacing w:after="0"/>
              <w:rPr>
                <w:sz w:val="20"/>
                <w:szCs w:val="20"/>
                <w:color w:val="auto"/>
              </w:rPr>
            </w:pPr>
            <w:r>
              <w:rPr>
                <w:rFonts w:ascii="Arial" w:cs="Arial" w:eastAsia="Arial" w:hAnsi="Arial"/>
                <w:sz w:val="18"/>
                <w:szCs w:val="18"/>
                <w:color w:val="auto"/>
              </w:rPr>
              <w:t>480,166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15,106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4.20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342,162</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12,541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5,689,138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147,416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5,294,018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172,927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425"/>
        </w:trPr>
        <w:tc>
          <w:tcPr>
            <w:tcW w:w="3200" w:type="dxa"/>
            <w:vAlign w:val="bottom"/>
            <w:gridSpan w:val="2"/>
          </w:tcPr>
          <w:p>
            <w:pPr>
              <w:ind w:left="400"/>
              <w:spacing w:after="0"/>
              <w:rPr>
                <w:sz w:val="20"/>
                <w:szCs w:val="20"/>
                <w:color w:val="auto"/>
              </w:rPr>
            </w:pPr>
            <w:r>
              <w:rPr>
                <w:rFonts w:ascii="Arial" w:cs="Arial" w:eastAsia="Arial" w:hAnsi="Arial"/>
                <w:sz w:val="18"/>
                <w:szCs w:val="18"/>
                <w:color w:val="auto"/>
                <w:w w:val="99"/>
              </w:rPr>
              <w:t>Federal funds purchased and other</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600"/>
              <w:spacing w:after="0"/>
              <w:rPr>
                <w:sz w:val="20"/>
                <w:szCs w:val="20"/>
                <w:color w:val="auto"/>
              </w:rPr>
            </w:pPr>
            <w:r>
              <w:rPr>
                <w:rFonts w:ascii="Arial" w:cs="Arial" w:eastAsia="Arial" w:hAnsi="Arial"/>
                <w:sz w:val="18"/>
                <w:szCs w:val="18"/>
                <w:color w:val="auto"/>
              </w:rPr>
              <w:t>borrowings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396,798</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7,254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2.44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255,115</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10,226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Federal Home Loan Bank advances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452,826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10,668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430,151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15,738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Long-term debt</w:t>
            </w:r>
          </w:p>
        </w:tc>
        <w:tc>
          <w:tcPr>
            <w:tcW w:w="820" w:type="dxa"/>
            <w:vAlign w:val="bottom"/>
          </w:tcPr>
          <w:p>
            <w:pPr>
              <w:jc w:val="right"/>
              <w:spacing w:after="0"/>
              <w:rPr>
                <w:sz w:val="20"/>
                <w:szCs w:val="20"/>
                <w:color w:val="auto"/>
              </w:rPr>
            </w:pPr>
            <w:r>
              <w:rPr>
                <w:rFonts w:ascii="Arial" w:cs="Arial" w:eastAsia="Arial" w:hAnsi="Arial"/>
                <w:sz w:val="18"/>
                <w:szCs w:val="18"/>
                <w:color w:val="auto"/>
              </w:rPr>
              <w:t>111,607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6,366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7.62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115,390</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6,505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24,288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800,656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32,469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421"/>
        </w:trPr>
        <w:tc>
          <w:tcPr>
            <w:tcW w:w="320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interest-bearing</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6,650,369</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171,704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3.45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6,094,674</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205,396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Non-interest-bearing deposits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681,615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693,207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67,146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70,079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7,399,130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6,857,960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849,912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710,950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0" w:type="dxa"/>
            <w:vAlign w:val="bottom"/>
            <w:gridSpan w:val="2"/>
          </w:tcPr>
          <w:p>
            <w:pPr>
              <w:ind w:left="600"/>
              <w:spacing w:after="0" w:line="205" w:lineRule="exact"/>
              <w:rPr>
                <w:sz w:val="20"/>
                <w:szCs w:val="20"/>
                <w:color w:val="auto"/>
              </w:rPr>
            </w:pPr>
            <w:r>
              <w:rPr>
                <w:rFonts w:ascii="Arial" w:cs="Arial" w:eastAsia="Arial" w:hAnsi="Arial"/>
                <w:sz w:val="18"/>
                <w:szCs w:val="18"/>
                <w:b w:val="1"/>
                <w:bCs w:val="1"/>
                <w:color w:val="auto"/>
              </w:rPr>
              <w:t>Total liabilities and</w:t>
            </w: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shareholders’ equity</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8,249,042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7,568,910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186,830</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204,754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2.98%</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6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32" w:lineRule="exact"/>
        <w:rPr>
          <w:rFonts w:ascii="Arial" w:cs="Arial" w:eastAsia="Arial" w:hAnsi="Arial"/>
          <w:sz w:val="18"/>
          <w:szCs w:val="18"/>
          <w:color w:val="auto"/>
        </w:rPr>
      </w:pPr>
    </w:p>
    <w:p>
      <w:pPr>
        <w:ind w:left="680" w:hanging="348"/>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Included in the average balance of loans outstanding are loans where the accrual of interest has been discontinued.</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gains of $5.7 million in 2008 and pretax unrealized losses of $10.4 million in 2007 are included in other assets for purposes of this presentation.</w:t>
      </w:r>
    </w:p>
    <w:p>
      <w:pPr>
        <w:spacing w:after="0" w:line="21" w:lineRule="exact"/>
        <w:rPr>
          <w:rFonts w:ascii="Arial" w:cs="Arial" w:eastAsia="Arial" w:hAnsi="Arial"/>
          <w:sz w:val="18"/>
          <w:szCs w:val="18"/>
          <w:color w:val="auto"/>
        </w:rPr>
      </w:pPr>
    </w:p>
    <w:p>
      <w:pPr>
        <w:ind w:left="680" w:hanging="34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0219"/>
          </w:cols>
          <w:pgMar w:left="240" w:top="419" w:right="1440" w:bottom="136"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36"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5 — Change in Interest Revenue and Expense on a Taxable Equivalent Basis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700" w:type="dxa"/>
            <w:vAlign w:val="bottom"/>
          </w:tcPr>
          <w:p>
            <w:pPr>
              <w:spacing w:after="0"/>
              <w:rPr>
                <w:sz w:val="24"/>
                <w:szCs w:val="24"/>
                <w:color w:val="auto"/>
              </w:rPr>
            </w:pPr>
          </w:p>
        </w:tc>
        <w:tc>
          <w:tcPr>
            <w:tcW w:w="3480" w:type="dxa"/>
            <w:vAlign w:val="bottom"/>
            <w:gridSpan w:val="11"/>
          </w:tcPr>
          <w:p>
            <w:pPr>
              <w:spacing w:after="0"/>
              <w:rPr>
                <w:sz w:val="20"/>
                <w:szCs w:val="20"/>
                <w:color w:val="auto"/>
              </w:rPr>
            </w:pPr>
            <w:r>
              <w:rPr>
                <w:rFonts w:ascii="Arial" w:cs="Arial" w:eastAsia="Arial" w:hAnsi="Arial"/>
                <w:sz w:val="18"/>
                <w:szCs w:val="18"/>
                <w:b w:val="1"/>
                <w:bCs w:val="1"/>
                <w:color w:val="auto"/>
                <w:w w:val="98"/>
              </w:rPr>
              <w:t>Three Months Ended September 30, 2008</w:t>
            </w:r>
          </w:p>
        </w:tc>
        <w:tc>
          <w:tcPr>
            <w:tcW w:w="3140" w:type="dxa"/>
            <w:vAlign w:val="bottom"/>
            <w:gridSpan w:val="10"/>
          </w:tcPr>
          <w:p>
            <w:pPr>
              <w:jc w:val="center"/>
              <w:ind w:right="60"/>
              <w:spacing w:after="0"/>
              <w:rPr>
                <w:sz w:val="20"/>
                <w:szCs w:val="20"/>
                <w:color w:val="auto"/>
              </w:rPr>
            </w:pPr>
            <w:r>
              <w:rPr>
                <w:rFonts w:ascii="Arial" w:cs="Arial" w:eastAsia="Arial" w:hAnsi="Arial"/>
                <w:sz w:val="18"/>
                <w:szCs w:val="18"/>
                <w:b w:val="1"/>
                <w:bCs w:val="1"/>
                <w:color w:val="auto"/>
                <w:w w:val="90"/>
              </w:rPr>
              <w:t>Nine Months Ended September 30, 2008</w:t>
            </w: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Compared to 2007</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Compared to 2007</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6"/>
              </w:rPr>
              <w:t>Increase (decrease)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Increase (decrease)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Due to Changes in</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9"/>
              </w:rPr>
              <w:t>Due to Changes in</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89"/>
              </w:rPr>
              <w:t>Volume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Total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6"/>
              </w:rPr>
              <w:t>Volume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18"/>
                <w:szCs w:val="18"/>
                <w:color w:val="auto"/>
              </w:rPr>
            </w:pP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(1,635)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(32,087)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(33,722)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16,005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(76,834)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(60,829)</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9,684</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Tax-exempt securities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sold and other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interest-earning assets</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r>
      <w:tr>
        <w:trPr>
          <w:trHeight w:val="205"/>
        </w:trPr>
        <w:tc>
          <w:tcPr>
            <w:tcW w:w="2700" w:type="dxa"/>
            <w:vAlign w:val="bottom"/>
          </w:tcPr>
          <w:p>
            <w:pPr>
              <w:ind w:left="400"/>
              <w:spacing w:after="0" w:line="205" w:lineRule="exact"/>
              <w:rPr>
                <w:sz w:val="20"/>
                <w:szCs w:val="20"/>
                <w:color w:val="auto"/>
              </w:rPr>
            </w:pPr>
            <w:r>
              <w:rPr>
                <w:rFonts w:ascii="Arial" w:cs="Arial" w:eastAsia="Arial" w:hAnsi="Arial"/>
                <w:sz w:val="18"/>
                <w:szCs w:val="18"/>
                <w:b w:val="1"/>
                <w:bCs w:val="1"/>
                <w:color w:val="auto"/>
              </w:rPr>
              <w:t>Total interest-earning</w:t>
            </w: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700" w:type="dxa"/>
            <w:vAlign w:val="bottom"/>
          </w:tcPr>
          <w:p>
            <w:pPr>
              <w:ind w:left="60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(32,413)</w:t>
            </w: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(32,374)</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25,121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(76,737)</w:t>
            </w: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(51,616)</w:t>
            </w:r>
          </w:p>
        </w:tc>
      </w:tr>
      <w:tr>
        <w:trPr>
          <w:trHeight w:val="223"/>
        </w:trPr>
        <w:tc>
          <w:tcPr>
            <w:tcW w:w="2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NOW accounts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(5,536)</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(13,862)</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(11,562)</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(5,048)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(3,563)</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(657)</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(676)</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Time deposits less than $100,000</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(4,137)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(6,605)</w:t>
            </w: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Time deposits greater than</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00" w:type="dxa"/>
            <w:vAlign w:val="bottom"/>
          </w:tcPr>
          <w:p>
            <w:pPr>
              <w:ind w:left="20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1,701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(4,068)</w:t>
            </w: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2,894</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(8,564)</w:t>
            </w: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(5,670)</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Brokered deposits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2,565</w:t>
            </w:r>
          </w:p>
        </w:tc>
      </w:tr>
      <w:tr>
        <w:trPr>
          <w:trHeight w:val="230"/>
        </w:trPr>
        <w:tc>
          <w:tcPr>
            <w:tcW w:w="2700" w:type="dxa"/>
            <w:vAlign w:val="bottom"/>
          </w:tcPr>
          <w:p>
            <w:pPr>
              <w:ind w:left="200"/>
              <w:spacing w:after="0"/>
              <w:rPr>
                <w:sz w:val="20"/>
                <w:szCs w:val="20"/>
                <w:color w:val="auto"/>
              </w:rPr>
            </w:pPr>
            <w:r>
              <w:rPr>
                <w:rFonts w:ascii="Arial" w:cs="Arial" w:eastAsia="Arial" w:hAnsi="Arial"/>
                <w:sz w:val="18"/>
                <w:szCs w:val="18"/>
                <w:color w:val="auto"/>
              </w:rPr>
              <w:t>Total interest-bearing deposits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(17,118)</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(12,192)</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(37,713)</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(25,511)</w:t>
            </w:r>
          </w:p>
        </w:tc>
        <w:tc>
          <w:tcPr>
            <w:tcW w:w="80" w:type="dxa"/>
            <w:vAlign w:val="bottom"/>
          </w:tcPr>
          <w:p>
            <w:pPr>
              <w:spacing w:after="0"/>
              <w:rPr>
                <w:sz w:val="20"/>
                <w:szCs w:val="20"/>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purchased &amp; other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(2,612)</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(3,622)</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(7,091)</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(2,972)</w:t>
            </w: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Federal Home Loan Bank</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00" w:type="dxa"/>
            <w:vAlign w:val="bottom"/>
          </w:tcPr>
          <w:p>
            <w:pPr>
              <w:ind w:left="200"/>
              <w:spacing w:after="0"/>
              <w:rPr>
                <w:sz w:val="20"/>
                <w:szCs w:val="20"/>
                <w:color w:val="auto"/>
              </w:rPr>
            </w:pPr>
            <w:r>
              <w:rPr>
                <w:rFonts w:ascii="Arial" w:cs="Arial" w:eastAsia="Arial" w:hAnsi="Arial"/>
                <w:sz w:val="18"/>
                <w:szCs w:val="18"/>
                <w:color w:val="auto"/>
              </w:rPr>
              <w:t>advances</w:t>
            </w:r>
          </w:p>
        </w:tc>
        <w:tc>
          <w:tcPr>
            <w:tcW w:w="1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(1,867)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(1,930)</w:t>
            </w: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(5,862)</w:t>
            </w: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(5,070)</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r>
      <w:tr>
        <w:trPr>
          <w:trHeight w:val="230"/>
        </w:trPr>
        <w:tc>
          <w:tcPr>
            <w:tcW w:w="2700" w:type="dxa"/>
            <w:vAlign w:val="bottom"/>
          </w:tcPr>
          <w:p>
            <w:pPr>
              <w:ind w:left="200"/>
              <w:spacing w:after="0"/>
              <w:rPr>
                <w:sz w:val="20"/>
                <w:szCs w:val="20"/>
                <w:color w:val="auto"/>
              </w:rPr>
            </w:pPr>
            <w:r>
              <w:rPr>
                <w:rFonts w:ascii="Arial" w:cs="Arial" w:eastAsia="Arial" w:hAnsi="Arial"/>
                <w:sz w:val="18"/>
                <w:szCs w:val="18"/>
                <w:color w:val="auto"/>
              </w:rPr>
              <w:t>Total borrowed funds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(7,292)</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(12,877)</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(8,181)</w:t>
            </w:r>
          </w:p>
        </w:tc>
        <w:tc>
          <w:tcPr>
            <w:tcW w:w="80" w:type="dxa"/>
            <w:vAlign w:val="bottom"/>
          </w:tcPr>
          <w:p>
            <w:pPr>
              <w:spacing w:after="0"/>
              <w:rPr>
                <w:sz w:val="20"/>
                <w:szCs w:val="20"/>
                <w:color w:val="auto"/>
              </w:rPr>
            </w:pPr>
          </w:p>
        </w:tc>
      </w:tr>
      <w:tr>
        <w:trPr>
          <w:trHeight w:val="198"/>
        </w:trPr>
        <w:tc>
          <w:tcPr>
            <w:tcW w:w="270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Total interest-bearing</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(21,518)</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(19,484)</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16,898</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(50,590)</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(33,692)</w:t>
            </w:r>
          </w:p>
        </w:tc>
      </w:tr>
      <w:tr>
        <w:trPr>
          <w:trHeight w:val="421"/>
        </w:trPr>
        <w:tc>
          <w:tcPr>
            <w:tcW w:w="2700" w:type="dxa"/>
            <w:vAlign w:val="bottom"/>
          </w:tcPr>
          <w:p>
            <w:pPr>
              <w:ind w:left="600"/>
              <w:spacing w:after="0"/>
              <w:rPr>
                <w:sz w:val="20"/>
                <w:szCs w:val="20"/>
                <w:color w:val="auto"/>
              </w:rPr>
            </w:pPr>
            <w:r>
              <w:rPr>
                <w:rFonts w:ascii="Arial" w:cs="Arial" w:eastAsia="Arial" w:hAnsi="Arial"/>
                <w:sz w:val="18"/>
                <w:szCs w:val="18"/>
                <w:b w:val="1"/>
                <w:bCs w:val="1"/>
                <w:color w:val="auto"/>
              </w:rPr>
              <w:t>Increase in net interest</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2700" w:type="dxa"/>
            <w:vAlign w:val="bottom"/>
          </w:tcPr>
          <w:p>
            <w:pPr>
              <w:ind w:left="80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(1,995)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(10,895)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(12,890)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8,223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(26,147)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(17,924)</w:t>
            </w:r>
          </w:p>
        </w:tc>
      </w:tr>
      <w:tr>
        <w:trPr>
          <w:trHeight w:val="20"/>
        </w:trPr>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98"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The provision for loan losses was $76.0 million for the third quarter of 2008, compared with $3.7 million for the same period in 2007. Net loan charge-offs as an annualized percentage of average outstanding loans for the three months ended September 30, 2008 was 3.77%, compared to .35% for the third quarter of 2007. For the first nine months of 2008 net loan charge offs as an annualized percentage of average outstanding loans was 1.74% versus .21% for 2007. As the housing market in general in United’s footprint has struggled, most notably in the Atlanta MSA, it has made it difficult for some developers to obtain cash flows from selling lots and houses that were needed to service their debt. This is part of the deterioration of the residential construction and housing markets that has affected the Southeast and resulted in higher credit losses and an increase in non-performing assets.</w:t>
      </w:r>
    </w:p>
    <w:p>
      <w:pPr>
        <w:spacing w:after="0" w:line="152"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provision for loan losses is based on management’s evaluation of losses inherent in the loan portfolio and corresponding analysis of the allowance for loan losses at quarter-end. The amount of provision recorded in the third quarter was the amount required such that the total allowance for loan losses reflects, in the estimation of management, the appropriate balance and is adequate to cover inherent losses in the loan portfolio. The substantial increase in the provision was a result of further credit deterioration within United’s loan portfolio, mostly in the residential construction and development portion of the portfolio within the Atlanta MSA. Due to management’s expectation of continued weakening in the housing market, United disposed of $66 million of its most troubled assets resulting in a significant increase in charge-offs in the third quarter of 2008. Additional discussion on loan quality and the allowance for loan losses is included in the Asset Quality section of this report.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Fee Revenue</w:t>
      </w:r>
    </w:p>
    <w:p>
      <w:pPr>
        <w:spacing w:after="0" w:line="19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Although United continues to focus on increasing fee revenue through new products and services, fee revenue for the three months ended September 30, 2008 was $13.1 million, a decrease of $2.5 million, or 16%, from 2007. The following table presents the components of fee revenue for the third quarter and the first nine months of 2008 and 2007.</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219"/>
          </w:cols>
          <w:pgMar w:left="240" w:top="419" w:right="1440" w:bottom="0" w:gutter="0" w:footer="0" w:header="0"/>
          <w:type w:val="continuous"/>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Table 6 — Fee Revenue</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2"/>
              </w:rPr>
              <w:t>Nine Months Ended</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w w:val="96"/>
              </w:rPr>
              <w:t>Change</w:t>
            </w:r>
          </w:p>
        </w:tc>
        <w:tc>
          <w:tcPr>
            <w:tcW w:w="120" w:type="dxa"/>
            <w:vAlign w:val="bottom"/>
          </w:tcPr>
          <w:p>
            <w:pPr>
              <w:spacing w:after="0"/>
              <w:rPr>
                <w:sz w:val="20"/>
                <w:szCs w:val="20"/>
                <w:color w:val="auto"/>
              </w:rPr>
            </w:pPr>
          </w:p>
        </w:tc>
        <w:tc>
          <w:tcPr>
            <w:tcW w:w="20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2007</w:t>
            </w:r>
          </w:p>
        </w:tc>
        <w:tc>
          <w:tcPr>
            <w:tcW w:w="3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2007</w:t>
            </w:r>
          </w:p>
        </w:tc>
        <w:tc>
          <w:tcPr>
            <w:tcW w:w="3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charges and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7,855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w w:val="97"/>
              </w:rPr>
              <w:t>Mortgage loan and other related fees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2,118</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5,575</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6,817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 fees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2,381</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6,369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Brokerage fees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905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895</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2,812</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3,031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gains,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1,818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Loss on prepayments of borrowings</w:t>
            </w:r>
          </w:p>
        </w:tc>
        <w:tc>
          <w:tcPr>
            <w:tcW w:w="10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(1,164)</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2,141</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3,832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6,597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15,615</w:t>
            </w:r>
          </w:p>
        </w:tc>
        <w:tc>
          <w:tcPr>
            <w:tcW w:w="34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42,423</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46,551</w:t>
            </w: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Mortgage loans and related fees for the first quarter decreased $708,000, or 33%, from 2007. This decrease was due to decreased demand for new mortgage loans resulting from the slow housing market. In the third quarter of 2008, United closed 492 loans totaling $83.6 million compared with 549 loans totaling $100.8 million in the third quarter of 2007. Substantially all originated residential mortgages were sold into the secondary market including the right to service these loans.</w:t>
      </w:r>
    </w:p>
    <w:p>
      <w:pPr>
        <w:spacing w:after="0" w:line="114"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Consulting fees decreased $654,000, or 27%, compared to 2007. This decrease is a direct result of the current economic stress affecting the financial services industry which has limited sales of new consulting projects.</w:t>
      </w:r>
    </w:p>
    <w:p>
      <w:pPr>
        <w:spacing w:after="0" w:line="143"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Other fee revenue decreased $1.4 million, or 63%, compared to 2007. This decline is due to lower revenue generated by United’s bank owned life insurance assets and deferred compensation plan assets.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For the nine months ended September 30, 2008, total operating expenses were $57.0 million, an increase of 18% compared with $48.2 million for the same period in 2007. The following table presents the components of operating expenses for the three months and nine months ended September 30, 2008 and 2007.</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Arial" w:cs="Arial" w:eastAsia="Arial" w:hAnsi="Arial"/>
                <w:sz w:val="18"/>
                <w:szCs w:val="18"/>
                <w:b w:val="1"/>
                <w:bCs w:val="1"/>
                <w:color w:val="auto"/>
              </w:rPr>
              <w:t>Table 7 — Operating Expenses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78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0"/>
              </w:rPr>
              <w:t>Three Months Ended</w:t>
            </w: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1"/>
              </w:rPr>
              <w:t>Nine Months Ended</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w w:val="96"/>
              </w:rPr>
              <w:t>Change</w:t>
            </w:r>
          </w:p>
        </w:tc>
        <w:tc>
          <w:tcPr>
            <w:tcW w:w="120" w:type="dxa"/>
            <w:vAlign w:val="bottom"/>
          </w:tcPr>
          <w:p>
            <w:pPr>
              <w:spacing w:after="0"/>
              <w:rPr>
                <w:sz w:val="20"/>
                <w:szCs w:val="20"/>
                <w:color w:val="auto"/>
              </w:rPr>
            </w:pPr>
          </w:p>
        </w:tc>
        <w:tc>
          <w:tcPr>
            <w:tcW w:w="20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2007</w:t>
            </w:r>
          </w:p>
        </w:tc>
        <w:tc>
          <w:tcPr>
            <w:tcW w:w="3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2008</w:t>
            </w: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2007</w:t>
            </w:r>
          </w:p>
        </w:tc>
        <w:tc>
          <w:tcPr>
            <w:tcW w:w="3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28,626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29,698</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86,133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88,037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3,909</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3,936</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11,593</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11,593</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3,617</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11,325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10,124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1,399</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1,537</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4,759</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5,651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1,479</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4,819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1,596</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1,920</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5,196</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5,409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771</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15,290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5,224</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28,457</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13,124</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48,182</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154,260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140,725</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Salaries and employee benefits for the third quarter 2008 totaled $28.8 million, a decrease of $1.1 million, or 4%, from the same period in 2007. This decrease was primarily due to lower bonus and incentive costs in 2008. At September 30, 2008, total staff was 2,026, an increase of 14 employees from the third quarter 2007, most of which were added in the special assets and credit administration areas.</w:t>
      </w:r>
    </w:p>
    <w:p>
      <w:pPr>
        <w:spacing w:after="0" w:line="16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Professional fees for the third quarter 2008 decreased $324,000, or 17%, from the same period in 2007. The decrease from a year ago was due to postponement and reduction of lower priority projects at this time.</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Other expense of $15.3 million increased $10.1 million from 2007. The increase was due to an increase of $9.5 million in writedowns and expenses on foreclosed properties and an increase in FDIC insurance premiums of approximately $482,000, which also account for most of the year to date increase over 2007.</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Income tax benefit for the third quarter 2008 was $21.8 million as compared with income tax expense of $12.4 million for the third quarter of 2007, representing a 35.3% and a 35.5% effective tax rate, respectively. For the first nine months, the income tax benefit was $9.0 million for the period ending September 30, 2008 and income tax expense was $29.3 million for the period ending September 30, 2007. The effective tax rate for those periods was 35.0% and 35.3% respectively. The effective tax rates were lower than the statutory tax rates primarily due to interest revenue on certain investment securities and loans that are exempt from income taxes, tax exempt fee revenue and tax credits received on affordable housing investments. Additional information regarding income taxes can be found in Note 14 to the consolidated financial statements filed with United’s 2007 Form 10-K.</w:t>
      </w:r>
    </w:p>
    <w:p>
      <w:pPr>
        <w:spacing w:after="0" w:line="152"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effective tax rate for the third quarter of 2008 also reflects a decision by management to surrender certain bank owned life insurance (BOLI) policies with a cash surrender value of approximately $64 million. The policies were part of a BOLI transaction entered into by the company in April 2007. The underlying assets in which the cash surrender value had been invested had depreciated significantly since their original purchase. United was able to recover its original investment by surrendering the policies, thereby avoiding any loss in value of the underlying assets; however, United will incur a tax charge on the accumulated earnings of the policies. The effective tax rate for the third quarter, absent the tax charge on the surrender, would have been approximately 40%. The 40% effective tax is above United’s blended state and federal statutory rate of 38.9%, reflecting the tax benefit of the current pre-tax loss plus the positive effect of tax-exempt earnings and tax credits.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Balance Sheet Review</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Total assets at September 30, 2008 and 2007 were $8.1 billion and $8.2 billion, respectively. Average total assets for the third quarter 2008 were $8.1 billion, up $63 million from average assets for the third quarter of 2007.</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United reviews its goodwill for impairment annually, or more frequently if circumstances indicate that goodwill has been impaired. During the last four quarters, United’s stock price has traded below its per-share book value and falling below tangible book value for a short period of time, which we believe reflects uncertainty about the economic cycle rather than the value of the underlying franchise and core business. The current economic environment has resulted in lower earnings with higher credit costs and those costs have been reflected in the income statement as well as valuation adjustments to the loan balances through increases to the level of the allowance for loan losses. Although management believes that goodwill has not been impaired and that the value of United’s business remains intact and earnings will return to prior period levels when the credit cycle recovers, a thorough impairment test will be performed during the fourth quarter.</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Loans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120" w:type="dxa"/>
            <w:vAlign w:val="bottom"/>
            <w:gridSpan w:val="2"/>
          </w:tcPr>
          <w:p>
            <w:pPr>
              <w:ind w:left="280"/>
              <w:spacing w:after="0"/>
              <w:rPr>
                <w:sz w:val="20"/>
                <w:szCs w:val="20"/>
                <w:color w:val="auto"/>
              </w:rPr>
            </w:pPr>
            <w:r>
              <w:rPr>
                <w:rFonts w:ascii="Arial" w:cs="Arial" w:eastAsia="Arial" w:hAnsi="Arial"/>
                <w:sz w:val="18"/>
                <w:szCs w:val="18"/>
                <w:color w:val="auto"/>
              </w:rPr>
              <w:t>The following table presents a summary of the loan portfolio.</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Table 8 — Loans Outstanding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50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By Loan Type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1,603,651</w:t>
            </w:r>
          </w:p>
        </w:tc>
        <w:tc>
          <w:tcPr>
            <w:tcW w:w="3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1,475,930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1,441,192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508,832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527,123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530,255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425,052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417,715</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408,466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2,537,535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2,420,768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2,379,913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1,595,981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1,829,506</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1,935,249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1,528,499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1,501,916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1,459,023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Installment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167,922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177,073</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178,564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5,829,937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5,929,263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5,952,749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total loans: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color w:val="auto"/>
              </w:rPr>
              <w:t>Total commercial</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20" w:type="dxa"/>
            <w:vAlign w:val="bottom"/>
            <w:gridSpan w:val="2"/>
            <w:vMerge w:val="restart"/>
          </w:tcPr>
          <w:p>
            <w:pPr>
              <w:ind w:left="40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By Geographic Location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Atlanta MSA</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1,800,041</w:t>
            </w:r>
          </w:p>
        </w:tc>
        <w:tc>
          <w:tcPr>
            <w:tcW w:w="3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2,002,089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2,056,656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426,050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399,560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394,251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North Georgia</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2,066,163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2,060,224</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2,025,619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 North Carolina</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815,280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805,999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833,524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Coastal Georgia</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457,710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415,622</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401,940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264,693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245,769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240,759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color w:val="auto"/>
              </w:rPr>
              <w:t>Total loans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5,829,937</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5,929,263</w:t>
            </w:r>
          </w:p>
        </w:tc>
        <w:tc>
          <w:tcPr>
            <w:tcW w:w="4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5,952,749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Substantially all of United’s loans are to customers located in the immediate market areas of its community banks in Georgia, North Carolina, and Tennessee. At September 30, 2008, total loans were $5.8 billion, a decrease of $123 million, or 2%, from September 30, 2007. The rate of loan growth began to decline in the first quarter of 2007 and has continued through 2008. The slowdown in loan growth was due to deterioration in the residential construction and housing markets. This deterioration resulted in part in an oversupply of lot inventory within United’s markets, which further slowed construction activities and acquisition and development projects. To date, the slowdown in the housing market has been most severe in the Atlanta MSA.</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at all of the Community Banks. Additional information on the credit administration function is included in Item 1 under the heading </w:t>
      </w:r>
      <w:r>
        <w:rPr>
          <w:rFonts w:ascii="Arial" w:cs="Arial" w:eastAsia="Arial" w:hAnsi="Arial"/>
          <w:sz w:val="18"/>
          <w:szCs w:val="18"/>
          <w:i w:val="1"/>
          <w:iCs w:val="1"/>
          <w:color w:val="auto"/>
        </w:rPr>
        <w:t>Loan Review and Non-performing Assets</w:t>
      </w:r>
      <w:r>
        <w:rPr>
          <w:rFonts w:ascii="Arial" w:cs="Arial" w:eastAsia="Arial" w:hAnsi="Arial"/>
          <w:sz w:val="18"/>
          <w:szCs w:val="18"/>
          <w:color w:val="auto"/>
        </w:rPr>
        <w:t xml:space="preserve"> in United’s Annual Report on Form 10-K.</w:t>
      </w:r>
    </w:p>
    <w:p>
      <w:pPr>
        <w:spacing w:after="0" w:line="166"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provision for loan losses charged to earnings was based upon management’s judgment of the amount necessary to maintain the allowance at a level appropriate to absorb losses inherent in the loan portfolio at quarter-end. The amount each period is dependent upon many factors, including growth and changes in the composition of the loan portfolio, net charge-offs, delinquencies, management’s assessment of loan portfolio quality, the value of collateral, and other economic factors and trends. The evaluation of these factors is performed quarterly by management through an analysis of the appropriateness of the allowance for loan losses. The increase in the allowance for loan losses during the third quarter of 2008 was due to an increase in classified assets, deterioration in the collateral values leading to an expectation of higher charge-offs upon default and further weakening of the housing market.</w:t>
      </w:r>
    </w:p>
    <w:p>
      <w:pPr>
        <w:sectPr>
          <w:pgSz w:w="11900" w:h="16838" w:orient="portrait"/>
          <w:cols w:equalWidth="0" w:num="1">
            <w:col w:w="10219"/>
          </w:cols>
          <w:pgMar w:left="240" w:top="405" w:right="1440" w:bottom="906"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906"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Reviews of non-performing loans, past due loans and larger credits, designed to identify potential charges to the allowance for loan losses, as well as determine the adequacy of the allowance, are conducted on a regular basis during the quarter. These reviews are performed by the responsible lending officers, as well as by a separate loan review department, and consider such factors as the financial strength of borrowers, the value of the applicable collateral, past loan loss experience, anticipated loan losses, growth in the loan portfolio, prevailing economic conditions and other factors. United also uses external loan review to supplement the activities of United’s loan review department and to ensure the independence of the loan review process.</w:t>
      </w:r>
    </w:p>
    <w:p>
      <w:pPr>
        <w:spacing w:after="0" w:line="13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presents a summary of the changes in the allowance for loan losses for the three and nine month periods ended September 30, 2008 and 2007 on a GAAP basis.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Table 9 — Summary of Loan Loss Experience</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16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Pr>
          <w:p>
            <w:pPr>
              <w:spacing w:after="0"/>
              <w:rPr>
                <w:sz w:val="24"/>
                <w:szCs w:val="24"/>
                <w:color w:val="auto"/>
              </w:rPr>
            </w:pPr>
          </w:p>
        </w:tc>
        <w:tc>
          <w:tcPr>
            <w:tcW w:w="23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3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91,035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92,471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89,423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66,566</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Allowance from acquisitions</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7,091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1,759</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Commercial construction</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50,305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3,617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65,467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3,359</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7,031</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2,138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30"/>
        </w:trPr>
        <w:tc>
          <w:tcPr>
            <w:tcW w:w="4160" w:type="dxa"/>
            <w:vAlign w:val="bottom"/>
          </w:tcPr>
          <w:p>
            <w:pPr>
              <w:ind w:left="400"/>
              <w:spacing w:after="0"/>
              <w:rPr>
                <w:sz w:val="20"/>
                <w:szCs w:val="20"/>
                <w:color w:val="auto"/>
              </w:rPr>
            </w:pPr>
            <w:r>
              <w:rPr>
                <w:rFonts w:ascii="Arial" w:cs="Arial" w:eastAsia="Arial" w:hAnsi="Arial"/>
                <w:sz w:val="18"/>
                <w:szCs w:val="18"/>
                <w:color w:val="auto"/>
              </w:rPr>
              <w:t>Total loans charged-off</w:t>
            </w: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55,972</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5,763</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78,124</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Commercial construction</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30"/>
        </w:trPr>
        <w:tc>
          <w:tcPr>
            <w:tcW w:w="4160" w:type="dxa"/>
            <w:vAlign w:val="bottom"/>
          </w:tcPr>
          <w:p>
            <w:pPr>
              <w:ind w:left="400"/>
              <w:spacing w:after="0"/>
              <w:rPr>
                <w:sz w:val="20"/>
                <w:szCs w:val="20"/>
                <w:color w:val="auto"/>
              </w:rPr>
            </w:pPr>
            <w:r>
              <w:rPr>
                <w:rFonts w:ascii="Arial" w:cs="Arial" w:eastAsia="Arial" w:hAnsi="Arial"/>
                <w:sz w:val="18"/>
                <w:szCs w:val="18"/>
                <w:color w:val="auto"/>
              </w:rPr>
              <w:t>Total recoveries</w:t>
            </w: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charge-offs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55,736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5,236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77,124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8,822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3,700</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99,000</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26,100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111,299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90,935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111,299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90,935</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Net charge-offs by region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Atlanta MSA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48,313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Gainesville MSA</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1,470</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2,153</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North Georgia</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4,567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7,676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Western North Carolina</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855</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1,191</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Coastal Georgia</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East Tennessee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1,191</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77,124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8,822</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Total loans: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period end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5,829,937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5,952,749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5,829,937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5,952,749</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Average</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5,889,168</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5,966,933</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5,926,731</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5,665,314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average loans (annualized):</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Net charge-offs</w:t>
            </w: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Allowance as a percentage of period end loans</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as a percentage of period end non-</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performing loans</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Management believes that the allowance for loan losses at September 30, 2008 reflects the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the Bank, may require adjustments to the provision for loan losses in future periods if, in their opinion, the results of their review warrant such additions.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summarizes non-performing assets on a GAAP basis.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Table 10 — Non-Performing Assets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12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139,266</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28,219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46,783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Loans past due 90 days or more and still accruing</w:t>
            </w:r>
          </w:p>
        </w:tc>
        <w:tc>
          <w:tcPr>
            <w:tcW w:w="2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loans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139,266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28,219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46,783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2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38,438</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18,039</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16,554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177,704</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46,258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63,337</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Non-performing loans as a percentage of total loans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Non-performing loans totaled $139.3 million, compared with $28.2 million at December 31, 2007 and $46.8 million at September 30, 2007. The ratio of non-performing loans to total loans increased 160 basis points from September 30, 2007 reflecting a deterioration in United’s residential construction and development portfolio primarily in the Atlanta MSA. Non-performing assets, which include non-performing loans and foreclosed real estate, totaled $177.7 million at September 30, 2008, compared to $46.3 million at December 31, 2007 and $63.3 million at September 30, 2007.</w:t>
      </w:r>
    </w:p>
    <w:p>
      <w:pPr>
        <w:spacing w:after="0" w:line="132"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United’s policy is to classify loans as non-accrual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Payments received on a non-accrual loan are applied to reduce outstanding principal.</w:t>
      </w:r>
    </w:p>
    <w:p>
      <w:pPr>
        <w:spacing w:after="0" w:line="114"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 xml:space="preserve">At September 30, 2008 there were $94.0 million of loans classified as impaired under the definition outlined in SFAS No. 114 </w:t>
      </w:r>
      <w:r>
        <w:rPr>
          <w:rFonts w:ascii="Arial" w:cs="Arial" w:eastAsia="Arial" w:hAnsi="Arial"/>
          <w:sz w:val="18"/>
          <w:szCs w:val="18"/>
          <w:i w:val="1"/>
          <w:iCs w:val="1"/>
          <w:color w:val="auto"/>
        </w:rPr>
        <w:t>Accounting By Creditors For Impairment of a Loan</w:t>
      </w:r>
      <w:r>
        <w:rPr>
          <w:rFonts w:ascii="Arial" w:cs="Arial" w:eastAsia="Arial" w:hAnsi="Arial"/>
          <w:sz w:val="18"/>
          <w:szCs w:val="18"/>
          <w:color w:val="auto"/>
        </w:rPr>
        <w:t>. Of these, $42.4 million did not have a specific reserve allocated, and $51.6 million had specific reserves allocated totaling $17.2 million. The average recorded investment in impaired loans for the quarter ended September 30, 2008 was $100.6 million. Interest revenue recognized on loans while they were impaired for the first nine months of 2008 was $598,000.</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85"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w:t>
      </w:r>
    </w:p>
    <w:p>
      <w:pPr>
        <w:spacing w:after="0" w:line="114"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Total investment securities available for sale at quarter-end increased $104.0 million from a year ago. The investment portfolio is used as a supplemental tool to stabilize interest rate sensitivity and increase net interest revenue. At September 30, 2008 and September 30, 2007, the securities portfolio represented approximately 17.4% and 15.9% of total assets, respectively.</w:t>
      </w:r>
    </w:p>
    <w:p>
      <w:pPr>
        <w:spacing w:after="0" w:line="120"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The investment securities portfolio primarily consists of U.S. Government sponsored agency mortgage-backed securities, non-agency mortgage-backed securities, U.S. Government agency securities, and municipal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time period.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Deposits</w:t>
      </w:r>
    </w:p>
    <w:p>
      <w:pPr>
        <w:spacing w:after="0" w:line="19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Total deposits as of September 30, 2008 were $6.7 billion, an increase of $535 million, or 9%, from September 30, 2007. Total non-interest-bearing demand deposit accounts of $680 million decreased $57 million, or 8%, and NOW, money market and savings accounts of $2.0 billion decreased $188 million, or 9%. Management believes the decreases were primarily caused by seasonal timing, the slowdown in the local economy and the resultant increase in the use of funds by United’s customers because average balances have declined over the past year.</w:t>
      </w:r>
    </w:p>
    <w:p>
      <w:pPr>
        <w:spacing w:after="0" w:line="148"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Total time deposits, excluding brokered deposits, as of September 30, 2008 were $3.3 billion, an increase of $343 million, or 12%, from September 30, 2007. Time deposits less than $100,000 totaled $1.8 billion, an increase of $219 million, or 14%, from a year ago. Time deposits of $100,000 and greater totaled $1.5 billion as of September 30, 2008, an increase of $123 million, or 9%, from September 30, 2007. During the second quarter, United made a decision to actively pursue time deposits by offering a 15 month certificate of deposit at an attractive rate, in order to increase liquidity. The program was very successful and added over $400 million of customer deposits. United also takes advantage of “brokered” time deposits, issued in certificates of less than $100,000, as an alternate source of cost-effective funding. Brokered time deposits as of September 30, 2008 were $745 million, compared with $308 million at September 30, 2007.</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19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At September 30, 2008, the Bank was a shareholder in a Federal Home Loan Bank (“FHLB”). Through this affiliation, FHLB secured advances totaled $285 million and $519 million as of September 30, 2008 and 2007, respectively. This decline was the result of a successful CD program during the second quarter of 2008 and use of brokered deposits in order to keep collateral available for liquidity purposes. United anticipates continued use of this short- and long-term source of funds. FHLB advances outstanding at September 30, 2008 had both fixed and floating interest rates from .81% to 5.06%</w:t>
      </w:r>
      <w:r>
        <w:rPr>
          <w:rFonts w:ascii="Arial" w:cs="Arial" w:eastAsia="Arial" w:hAnsi="Arial"/>
          <w:sz w:val="18"/>
          <w:szCs w:val="18"/>
          <w:b w:val="1"/>
          <w:bCs w:val="1"/>
          <w:color w:val="auto"/>
        </w:rPr>
        <w:t>.</w:t>
      </w:r>
      <w:r>
        <w:rPr>
          <w:rFonts w:ascii="Arial" w:cs="Arial" w:eastAsia="Arial" w:hAnsi="Arial"/>
          <w:sz w:val="18"/>
          <w:szCs w:val="18"/>
          <w:color w:val="auto"/>
        </w:rPr>
        <w:t xml:space="preserve"> Additional information regarding FHLB advances, is provided in Note 10 to the consolidated financial statements included in United’s 2007 Form 10-K.</w:t>
      </w:r>
    </w:p>
    <w:p>
      <w:pPr>
        <w:spacing w:after="0" w:line="14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At September 30, 2008, United had $120 million in Federal funds purchased, repurchase agreements, and other short-term borrowings outstanding, compared to $502 million outstanding at September 30, 2007. United takes advantage of these additional sources of liquidity when rates are favorable compared to other forms of short-term borrowings, such as FHLB advances and brokered deposits.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02"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131"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Net interest revenue is influenced by changes in the level of interest rates. United manages its exposure to fluctuations in interest rates through policies established by the Asset/Liability Management Committee (“ALCO”). ALCO meets regularly and has responsibility for approving asset/liability management policies, formulating and implementing strategies to improve balance sheet positioning and/or earnings, and reviewing United’s interest rate sensitivity.</w:t>
      </w:r>
    </w:p>
    <w:p>
      <w:pPr>
        <w:spacing w:after="0" w:line="131"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One of the tools management utilizes to estimate the sensitivity of net interest revenue to changes in interest rates is an interest rate simulation model. Such estimates are based upon a number of assumptions for various scenarios, including the level of balance sheet growth, deposit repricing characteristics and the rate of prepayments. The simulation model measures the potential change in net interest revenue over a twelve-month period under various interest rate scenarios. United’s baseline scenario assumes rates remain flat (“flat rate scenario”) over the next twelve months and is the scenario that all others are compared to in order to measure the change in net interest revenue. United runs ramp scenarios that assume gradual increases and decreases of 200 basis points each over the next twelve months. United’s policy for net interest revenue simulation is limited to a change from the flat rate scenario of less than 10% for the up or down 200 basis point ramp scenarios over twelve months. At September 30, 2008, United’s simulation model indicated that a 200 basis point increase in rates over the next twelve months would cause a 3.2% increase in net interest revenue and a 200 basis point decrease in rates over the next twelve months would cause an approximate 4.0% decrease in net interest revenue. On October 8, 2008 and October 29, 2008, the Federal Open Markets Committee of the Federal Reserve reduced the targeted federal funds rate by 50 basis points each, thereby reducing the targeted federal funds rate to 1.00%. At September 30, 2008, United’s simulation model indicated that a 100 basis point decrease in rates would cause an approximate 2.7% decrease in net interest revenue.</w:t>
      </w:r>
    </w:p>
    <w:p>
      <w:pPr>
        <w:spacing w:after="0" w:line="14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order to manage its interest rate sensitivity, United uses off-balance sheet contracts that are considered derivative financial instruments. Derivative financial instruments can be a cost and capital effective means of modifying the repricing characteristics of on-balance sheet assets and liabilities. At September 30, 2008, United was a party to interest rate swap contracts under which it pays a variable rate and receives a fixed rate, and interest rate floor contracts in which United pays a premium to a counterparty who agrees to pay United the difference between a variable rate and a strike rate if the variable rate falls below the strike rate.</w:t>
      </w:r>
    </w:p>
    <w:p>
      <w:pPr>
        <w:sectPr>
          <w:pgSz w:w="11900" w:h="16838" w:orient="portrait"/>
          <w:cols w:equalWidth="0" w:num="1">
            <w:col w:w="10219"/>
          </w:cols>
          <w:pgMar w:left="240" w:top="419" w:right="1440" w:bottom="892"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92"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interest rate derivative contracts outstanding at September 30, 2008.</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w w:val="92"/>
              </w:rPr>
              <w:t>Table 11 — Derivative Financial Instruments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Rate Received</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Type/Maturity</w:t>
            </w:r>
          </w:p>
        </w:tc>
        <w:tc>
          <w:tcPr>
            <w:tcW w:w="24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8"/>
                <w:szCs w:val="18"/>
                <w:b w:val="1"/>
                <w:bCs w:val="1"/>
                <w:color w:val="auto"/>
              </w:rPr>
              <w:t>Notional Amount</w:t>
            </w: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 Floor Rate</w:t>
            </w: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Rate Paid</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8"/>
              </w:rPr>
              <w:t xml:space="preserve">Fair Value </w:t>
            </w:r>
            <w:r>
              <w:rPr>
                <w:rFonts w:ascii="Arial" w:cs="Arial" w:eastAsia="Arial" w:hAnsi="Arial"/>
                <w:sz w:val="15"/>
                <w:szCs w:val="15"/>
                <w:b w:val="1"/>
                <w:bCs w:val="1"/>
                <w:color w:val="auto"/>
                <w:w w:val="98"/>
              </w:rPr>
              <w:t>(10)</w:t>
            </w: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Fair Value Hedges:</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b w:val="1"/>
                <w:bCs w:val="1"/>
                <w:color w:val="auto"/>
              </w:rPr>
              <w:t>LIBOR Swaps (Brokered CDs)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November 3, 2008 </w:t>
            </w:r>
            <w:r>
              <w:rPr>
                <w:rFonts w:ascii="Arial" w:cs="Arial" w:eastAsia="Arial" w:hAnsi="Arial"/>
                <w:sz w:val="15"/>
                <w:szCs w:val="15"/>
                <w:color w:val="auto"/>
              </w:rPr>
              <w:t>(1)</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5.00%</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2.49%</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 xml:space="preserve">March 24, 2009 </w:t>
            </w:r>
            <w:r>
              <w:rPr>
                <w:rFonts w:ascii="Arial" w:cs="Arial" w:eastAsia="Arial" w:hAnsi="Arial"/>
                <w:sz w:val="15"/>
                <w:szCs w:val="15"/>
                <w:color w:val="auto"/>
              </w:rPr>
              <w:t>(2)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8"/>
                <w:szCs w:val="18"/>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2.85</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3.93</w:t>
            </w: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March 30, 2009 </w:t>
            </w:r>
            <w:r>
              <w:rPr>
                <w:rFonts w:ascii="Arial" w:cs="Arial" w:eastAsia="Arial" w:hAnsi="Arial"/>
                <w:sz w:val="15"/>
                <w:szCs w:val="15"/>
                <w:color w:val="auto"/>
              </w:rPr>
              <w:t>(3)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2.85</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3.93</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 xml:space="preserve">August 27, 2010 </w:t>
            </w:r>
            <w:r>
              <w:rPr>
                <w:rFonts w:ascii="Arial" w:cs="Arial" w:eastAsia="Arial" w:hAnsi="Arial"/>
                <w:sz w:val="15"/>
                <w:szCs w:val="15"/>
                <w:color w:val="auto"/>
              </w:rPr>
              <w:t>(4)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4.30</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3.71</w:t>
            </w:r>
          </w:p>
        </w:tc>
        <w:tc>
          <w:tcPr>
            <w:tcW w:w="3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September 22, 2010 </w:t>
            </w:r>
            <w:r>
              <w:rPr>
                <w:rFonts w:ascii="Arial" w:cs="Arial" w:eastAsia="Arial" w:hAnsi="Arial"/>
                <w:sz w:val="15"/>
                <w:szCs w:val="15"/>
                <w:color w:val="auto"/>
              </w:rPr>
              <w:t>(5)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4.25</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3.19</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r>
      <w:tr>
        <w:trPr>
          <w:trHeight w:val="223"/>
        </w:trPr>
        <w:tc>
          <w:tcPr>
            <w:tcW w:w="3500" w:type="dxa"/>
            <w:vAlign w:val="bottom"/>
          </w:tcPr>
          <w:p>
            <w:pPr>
              <w:ind w:left="4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5"/>
              </w:rPr>
              <w:t>3.71</w:t>
            </w:r>
          </w:p>
        </w:tc>
        <w:tc>
          <w:tcPr>
            <w:tcW w:w="400" w:type="dxa"/>
            <w:vAlign w:val="bottom"/>
          </w:tcPr>
          <w:p>
            <w:pPr>
              <w:spacing w:after="0"/>
              <w:rPr>
                <w:sz w:val="19"/>
                <w:szCs w:val="19"/>
                <w:color w:val="auto"/>
              </w:rPr>
            </w:pPr>
          </w:p>
        </w:tc>
        <w:tc>
          <w:tcPr>
            <w:tcW w:w="8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79"/>
              </w:rPr>
              <w:t>3.60</w:t>
            </w:r>
          </w:p>
        </w:tc>
        <w:tc>
          <w:tcPr>
            <w:tcW w:w="4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9"/>
                <w:szCs w:val="19"/>
                <w:color w:val="auto"/>
              </w:rPr>
            </w:pPr>
          </w:p>
        </w:tc>
      </w:tr>
      <w:tr>
        <w:trPr>
          <w:trHeight w:val="223"/>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LIBOR Swaps (FHLB Advances)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 xml:space="preserve">January 5, 2009 </w:t>
            </w:r>
            <w:r>
              <w:rPr>
                <w:rFonts w:ascii="Arial" w:cs="Arial" w:eastAsia="Arial" w:hAnsi="Arial"/>
                <w:sz w:val="15"/>
                <w:szCs w:val="15"/>
                <w:color w:val="auto"/>
              </w:rPr>
              <w:t>(6)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80" w:type="dxa"/>
            <w:vAlign w:val="bottom"/>
          </w:tcPr>
          <w:p>
            <w:pPr>
              <w:spacing w:after="0"/>
              <w:rPr>
                <w:sz w:val="18"/>
                <w:szCs w:val="18"/>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5.06</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March 2, 2009 </w:t>
            </w:r>
            <w:r>
              <w:rPr>
                <w:rFonts w:ascii="Arial" w:cs="Arial" w:eastAsia="Arial" w:hAnsi="Arial"/>
                <w:sz w:val="15"/>
                <w:szCs w:val="15"/>
                <w:color w:val="auto"/>
              </w:rPr>
              <w:t>(7)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4.90</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2.49</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r>
      <w:tr>
        <w:trPr>
          <w:trHeight w:val="230"/>
        </w:trPr>
        <w:tc>
          <w:tcPr>
            <w:tcW w:w="3500" w:type="dxa"/>
            <w:vAlign w:val="bottom"/>
          </w:tcPr>
          <w:p>
            <w:pPr>
              <w:ind w:left="4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5"/>
              </w:rPr>
              <w:t>4.98</w:t>
            </w:r>
          </w:p>
        </w:tc>
        <w:tc>
          <w:tcPr>
            <w:tcW w:w="400" w:type="dxa"/>
            <w:vAlign w:val="bottom"/>
          </w:tcPr>
          <w:p>
            <w:pPr>
              <w:spacing w:after="0"/>
              <w:rPr>
                <w:sz w:val="20"/>
                <w:szCs w:val="20"/>
                <w:color w:val="auto"/>
              </w:rPr>
            </w:pPr>
          </w:p>
        </w:tc>
        <w:tc>
          <w:tcPr>
            <w:tcW w:w="8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79"/>
              </w:rPr>
              <w:t>2.49</w:t>
            </w:r>
          </w:p>
        </w:tc>
        <w:tc>
          <w:tcPr>
            <w:tcW w:w="4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20"/>
                <w:szCs w:val="20"/>
                <w:color w:val="auto"/>
              </w:rPr>
            </w:pPr>
          </w:p>
        </w:tc>
      </w:tr>
      <w:tr>
        <w:trPr>
          <w:trHeight w:val="216"/>
        </w:trPr>
        <w:tc>
          <w:tcPr>
            <w:tcW w:w="3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Fair Value Hedges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3.98</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3.37</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r>
      <w:tr>
        <w:trPr>
          <w:trHeight w:val="223"/>
        </w:trPr>
        <w:tc>
          <w:tcPr>
            <w:tcW w:w="3500" w:type="dxa"/>
            <w:vAlign w:val="bottom"/>
          </w:tcPr>
          <w:p>
            <w:pPr>
              <w:spacing w:after="0"/>
              <w:rPr>
                <w:sz w:val="20"/>
                <w:szCs w:val="20"/>
                <w:color w:val="auto"/>
              </w:rPr>
            </w:pPr>
            <w:r>
              <w:rPr>
                <w:rFonts w:ascii="Arial" w:cs="Arial" w:eastAsia="Arial" w:hAnsi="Arial"/>
                <w:sz w:val="18"/>
                <w:szCs w:val="18"/>
                <w:b w:val="1"/>
                <w:bCs w:val="1"/>
                <w:color w:val="auto"/>
              </w:rPr>
              <w:t>Cash Flow Hedges:</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 xml:space="preserve">Prime Swaps (Prime Loans) </w:t>
            </w:r>
            <w:r>
              <w:rPr>
                <w:rFonts w:ascii="Arial" w:cs="Arial" w:eastAsia="Arial" w:hAnsi="Arial"/>
                <w:sz w:val="15"/>
                <w:szCs w:val="15"/>
                <w:b w:val="1"/>
                <w:bCs w:val="1"/>
                <w:color w:val="auto"/>
              </w:rPr>
              <w:t>(8)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November 4, 2008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8.32</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1, 2009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8.31</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May 4, 2009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8.29</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531</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9, 2010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5.82</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975</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June 11, 2010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80" w:type="dxa"/>
            <w:vAlign w:val="bottom"/>
          </w:tcPr>
          <w:p>
            <w:pPr>
              <w:spacing w:after="0"/>
              <w:rPr>
                <w:sz w:val="18"/>
                <w:szCs w:val="18"/>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8.26</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1,258</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13, 2011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6.72</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December 12, 2011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80" w:type="dxa"/>
            <w:vAlign w:val="bottom"/>
          </w:tcPr>
          <w:p>
            <w:pPr>
              <w:spacing w:after="0"/>
              <w:rPr>
                <w:sz w:val="18"/>
                <w:szCs w:val="18"/>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6.86</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688</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2, 2012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6.71</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2,189</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March 12, 2012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6.87</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1,433</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27, 2012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6.76</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1,252</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March 27, 2012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6.72</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1,144</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6.26</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May 6, 2013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7.21</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1,921</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22, 2013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6.88</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2,374</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July 25, 2013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6.92</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1,310</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25, 2013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6.91</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w:t>
            </w:r>
          </w:p>
        </w:tc>
      </w:tr>
      <w:tr>
        <w:trPr>
          <w:trHeight w:val="230"/>
        </w:trPr>
        <w:tc>
          <w:tcPr>
            <w:tcW w:w="3500" w:type="dxa"/>
            <w:vAlign w:val="bottom"/>
          </w:tcPr>
          <w:p>
            <w:pPr>
              <w:ind w:left="4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855,000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5"/>
              </w:rPr>
              <w:t>7.00</w:t>
            </w:r>
          </w:p>
        </w:tc>
        <w:tc>
          <w:tcPr>
            <w:tcW w:w="400" w:type="dxa"/>
            <w:vAlign w:val="bottom"/>
          </w:tcPr>
          <w:p>
            <w:pPr>
              <w:spacing w:after="0"/>
              <w:rPr>
                <w:sz w:val="20"/>
                <w:szCs w:val="20"/>
                <w:color w:val="auto"/>
              </w:rPr>
            </w:pPr>
          </w:p>
        </w:tc>
        <w:tc>
          <w:tcPr>
            <w:tcW w:w="8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79"/>
              </w:rPr>
              <w:t>5.00</w:t>
            </w:r>
          </w:p>
        </w:tc>
        <w:tc>
          <w:tcPr>
            <w:tcW w:w="4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16,889</w:t>
            </w:r>
          </w:p>
        </w:tc>
        <w:tc>
          <w:tcPr>
            <w:tcW w:w="80" w:type="dxa"/>
            <w:vAlign w:val="bottom"/>
          </w:tcPr>
          <w:p>
            <w:pPr>
              <w:spacing w:after="0"/>
              <w:rPr>
                <w:sz w:val="20"/>
                <w:szCs w:val="20"/>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 xml:space="preserve">Prime Floors (Prime Loans) </w:t>
            </w:r>
            <w:r>
              <w:rPr>
                <w:rFonts w:ascii="Arial" w:cs="Arial" w:eastAsia="Arial" w:hAnsi="Arial"/>
                <w:sz w:val="15"/>
                <w:szCs w:val="15"/>
                <w:b w:val="1"/>
                <w:bCs w:val="1"/>
                <w:color w:val="auto"/>
              </w:rPr>
              <w:t>(9)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February 1, 2009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80" w:type="dxa"/>
            <w:vAlign w:val="bottom"/>
          </w:tcPr>
          <w:p>
            <w:pPr>
              <w:spacing w:after="0"/>
              <w:rPr>
                <w:sz w:val="18"/>
                <w:szCs w:val="18"/>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8.75</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1, 2009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8.75</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November 1, 2009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75,000</w:t>
            </w:r>
          </w:p>
        </w:tc>
        <w:tc>
          <w:tcPr>
            <w:tcW w:w="280" w:type="dxa"/>
            <w:vAlign w:val="bottom"/>
          </w:tcPr>
          <w:p>
            <w:pPr>
              <w:spacing w:after="0"/>
              <w:rPr>
                <w:sz w:val="18"/>
                <w:szCs w:val="18"/>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8.75</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2,988</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4, 2010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8.75</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4,793</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August 1, 2010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8.75</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3,007</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August 4, 2010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8.75</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3,003</w:t>
            </w:r>
          </w:p>
        </w:tc>
      </w:tr>
      <w:tr>
        <w:trPr>
          <w:trHeight w:val="230"/>
        </w:trPr>
        <w:tc>
          <w:tcPr>
            <w:tcW w:w="3500" w:type="dxa"/>
            <w:vAlign w:val="bottom"/>
          </w:tcPr>
          <w:p>
            <w:pPr>
              <w:ind w:left="4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325,000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14,533</w:t>
            </w:r>
          </w:p>
        </w:tc>
        <w:tc>
          <w:tcPr>
            <w:tcW w:w="80" w:type="dxa"/>
            <w:vAlign w:val="bottom"/>
          </w:tcPr>
          <w:p>
            <w:pPr>
              <w:spacing w:after="0"/>
              <w:rPr>
                <w:sz w:val="20"/>
                <w:szCs w:val="20"/>
                <w:color w:val="auto"/>
              </w:rPr>
            </w:pPr>
          </w:p>
        </w:tc>
      </w:tr>
      <w:tr>
        <w:trPr>
          <w:trHeight w:val="216"/>
        </w:trPr>
        <w:tc>
          <w:tcPr>
            <w:tcW w:w="3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Cash Flow Hedges: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1,180,000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31,422</w:t>
            </w:r>
          </w:p>
        </w:tc>
      </w:tr>
      <w:tr>
        <w:trPr>
          <w:trHeight w:val="223"/>
        </w:trPr>
        <w:tc>
          <w:tcPr>
            <w:tcW w:w="3500" w:type="dxa"/>
            <w:vAlign w:val="bottom"/>
          </w:tcPr>
          <w:p>
            <w:pPr>
              <w:ind w:left="600"/>
              <w:spacing w:after="0"/>
              <w:rPr>
                <w:sz w:val="20"/>
                <w:szCs w:val="20"/>
                <w:color w:val="auto"/>
              </w:rPr>
            </w:pPr>
            <w:r>
              <w:rPr>
                <w:rFonts w:ascii="Arial" w:cs="Arial" w:eastAsia="Arial" w:hAnsi="Arial"/>
                <w:sz w:val="18"/>
                <w:szCs w:val="18"/>
                <w:b w:val="1"/>
                <w:bCs w:val="1"/>
                <w:color w:val="auto"/>
              </w:rPr>
              <w:t>Total Derivative Contracts</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1,420,000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31,133</w:t>
            </w:r>
          </w:p>
        </w:tc>
        <w:tc>
          <w:tcPr>
            <w:tcW w:w="8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Paid equals 1-Month LIBOR minus .2725</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Paid equals 1-Month LIBOR plus 1.075</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Paid equals 1-Month LIBOR plus 1.2435</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Paid equals 1-Month LIBOR minus .655</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Paid equals 1-Month LIBOR minus .57</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Paid equals 1-Month LIBOR minus .11</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Paid equals 1-Month LIBOR minus .128</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Paid equals Prime rate as of September 30, 2008</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Floor contracts receive cash payments equal to the floor rate less the prime rate.</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accrued interest</w:t>
      </w:r>
    </w:p>
    <w:p>
      <w:pPr>
        <w:sectPr>
          <w:pgSz w:w="11900" w:h="16838" w:orient="portrait"/>
          <w:cols w:equalWidth="0" w:num="1">
            <w:col w:w="10219"/>
          </w:cols>
          <w:pgMar w:left="240" w:top="419" w:right="1440" w:bottom="366"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366"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 At September 30, 2008, United had interest rate swap contracts with a total notional amount of $855 million that were designated as cash flow hedges of prime-based loans. United had interest rate floor contracts with a total notional of $325 million and a remaining unamortized premium balance of $3.8 million that were also designated as cash flow hedges of prime-based loans. United also had receive fixed, pay LIBOR swap contracts with a total notional of $240 million that were accounted for as fair value hedges of brokered deposits and fixed-rate FHLB advances.</w:t>
      </w:r>
    </w:p>
    <w:p>
      <w:pPr>
        <w:spacing w:after="0" w:line="155"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the financial condition or results of operations. In order to mitigate potential credit risk, from time to time United may require the counterparties to derivative contracts to pledge securities as collateral to cover the net exposure.</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Management</w:t>
      </w:r>
    </w:p>
    <w:p>
      <w:pPr>
        <w:spacing w:after="0" w:line="189"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objective of liquidity management is to ensure that sufficient funding is available, at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w:t>
      </w:r>
    </w:p>
    <w:p>
      <w:pPr>
        <w:spacing w:after="0" w:line="13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14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Mortgage loans held for sale totaled $18 million at September 30, 2008, and typically turn over every 45 days as the closed loans are sold to investors in the secondary market.</w:t>
      </w:r>
    </w:p>
    <w:p>
      <w:pPr>
        <w:spacing w:after="0" w:line="14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6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United had sufficient qualifying collateral to increase FHLB advances by $813 million at September 30, 2008. United’s internal policy limits brokered deposits to 25% of total non-brokered deposits. At September 30, 2008, United had the capacity to increase brokered deposits by $741 million and still remain within this limit. Also, United had sufficient qualifying assets pledged to the Federal Reserve under the Term Auction Facility, Term Investment Option and Discount Window to increase short-term borrowings by $414 million.</w:t>
      </w:r>
    </w:p>
    <w:p>
      <w:pPr>
        <w:spacing w:after="0" w:line="148"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$118.4 million for the nine months ended September 30, 2008. The major contributors in this category were non-cash expenses for provision for loan losses of $99.0 million, decreases in mortgage loans held for sale of $10.2 million, plus noncash expenses for depreciation, amortization and accretion of $11.1 million, and noncash writedowns and losses on other real estate of $10.4 million. These items were offset by a net loss of $16.7 million. Net cash used by investing activities of $53.0 million consisted primarily of a net increase in loans totaling $58.7 million, purchases of premises and equipment of $9.0 million, and $519.4 million used to purchase investment securities, partially offset by proceeds from sales of securities of $85.0 million, maturities and calls of investment securities of $396.7 million, and sales of other real estate of $52.0 million. Net cash used by financing activities of $118.3 million consisted primarily of a net decrease of $518.8 million in federal funds purchased, repurchase agreements, and other short-term borrowings, a net decrease in FHLB advances of $234.0 million and cash dividends paid on common stock of $12.7 million, offset by a net increase in deposits of $613.4 million and proceeds from the issuance of subordinated debt of $30.0 million. In the opinion of management, the liquidity position at September 30, 2008 is sufficient to meet its expected cash flow requirements.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 and Dividends</w:t>
      </w:r>
    </w:p>
    <w:p>
      <w:pPr>
        <w:spacing w:after="0" w:line="202"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Shareholders’ equity at September 30, 2008 was $816.9 million, a decrease of $15.0 million from December 31, 2007. Accumulated other comprehensive income is not included in the calculation of regulatory capital adequacy ratios. Excluding the change in the accumulated other comprehensive income, shareholders’ equity decreased $17.5 million from December 31, 2007. Cash dividends of $8.5 million, or $.18 per share, were declared on common stock during the first nine months of 2008, a decrease of 33% from the amount declared in the same period in 2007. This was due to United declaring a 1 for 130 stock dividend during the third quarter 2008 in lieu of a cash dividend. Although, United retains a portion of its earnings in order to provide a cost effective source of capital for continued growth and expansion, United recognizes that cash dividends are an important component of shareholder value, and therefore, intends to provide for cash dividends when earnings , capital levels and other factors permit.</w:t>
      </w:r>
    </w:p>
    <w:p>
      <w:pPr>
        <w:spacing w:after="0" w:line="15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United’s Board of Directors has authorized the repurchase of United’s outstanding common stock for general corporate purposes. At September 30, 2008, 1,000,000 shares remained available to be repurchased under the current 3,000,000 share authorization through December 31, 2008. During the first nine months of 2008, optionees delivered 8,006 shares to exercise stock options.</w:t>
      </w:r>
    </w:p>
    <w:p>
      <w:pPr>
        <w:spacing w:after="0" w:line="14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2008 and 2007.</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12 — Stock Price Information</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w w:val="94"/>
              </w:rPr>
              <w:t>2008</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w w:val="94"/>
              </w:rPr>
              <w:t>2007</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Avg Daily</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Avg Daily</w:t>
            </w:r>
          </w:p>
        </w:tc>
        <w:tc>
          <w:tcPr>
            <w:tcW w:w="80" w:type="dxa"/>
            <w:vAlign w:val="bottom"/>
          </w:tcPr>
          <w:p>
            <w:pPr>
              <w:spacing w:after="0"/>
              <w:rPr>
                <w:sz w:val="16"/>
                <w:szCs w:val="16"/>
                <w:color w:val="auto"/>
              </w:rPr>
            </w:pPr>
          </w:p>
        </w:tc>
      </w:tr>
      <w:tr>
        <w:trPr>
          <w:trHeight w:val="234"/>
        </w:trPr>
        <w:tc>
          <w:tcPr>
            <w:tcW w:w="20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Low</w:t>
            </w:r>
          </w:p>
        </w:tc>
        <w:tc>
          <w:tcPr>
            <w:tcW w:w="30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Close</w:t>
            </w: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Volume</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High</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Low</w:t>
            </w:r>
          </w:p>
        </w:tc>
        <w:tc>
          <w:tcPr>
            <w:tcW w:w="3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Close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Volume</w:t>
            </w:r>
          </w:p>
        </w:tc>
      </w:tr>
      <w:tr>
        <w:trPr>
          <w:trHeight w:val="210"/>
        </w:trPr>
        <w:tc>
          <w:tcPr>
            <w:tcW w:w="20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$ 20.80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$ 13.38</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$ 16.98</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441,659</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$ 34.98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$ 30.81</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$ 32.79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232,269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Second quarter</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18.51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8.51</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8.53</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464,566</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33.03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25.80</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25.89</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266,682</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13.26</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359,971</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27.50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22.16</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24.52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346,596</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Fourth quarter</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25.73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15.13</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15.80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421,910</w:t>
            </w:r>
          </w:p>
        </w:tc>
      </w:tr>
    </w:tbl>
    <w:p>
      <w:pPr>
        <w:spacing w:after="0" w:line="147"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following table presents the quarterly cash dividends declared in 2008 and 2007 and the respective payout ratios as a percentage of basic operating earnings per share, which excludes special fraud related provisions for loan losses in the second and fourth quarters of 2007.</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Table 13 — Dividend Payout Information</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9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2007</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Dividend</w:t>
            </w:r>
          </w:p>
        </w:tc>
        <w:tc>
          <w:tcPr>
            <w:tcW w:w="900" w:type="dxa"/>
            <w:vAlign w:val="bottom"/>
          </w:tcPr>
          <w:p>
            <w:pPr>
              <w:ind w:left="60"/>
              <w:spacing w:after="0"/>
              <w:rPr>
                <w:sz w:val="20"/>
                <w:szCs w:val="20"/>
                <w:color w:val="auto"/>
              </w:rPr>
            </w:pPr>
            <w:r>
              <w:rPr>
                <w:rFonts w:ascii="Arial" w:cs="Arial" w:eastAsia="Arial" w:hAnsi="Arial"/>
                <w:sz w:val="18"/>
                <w:szCs w:val="18"/>
                <w:b w:val="1"/>
                <w:bCs w:val="1"/>
                <w:color w:val="auto"/>
              </w:rPr>
              <w:t>Payout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Dividend</w:t>
            </w:r>
          </w:p>
        </w:tc>
        <w:tc>
          <w:tcPr>
            <w:tcW w:w="920" w:type="dxa"/>
            <w:vAlign w:val="bottom"/>
          </w:tcPr>
          <w:p>
            <w:pPr>
              <w:ind w:left="80"/>
              <w:spacing w:after="0"/>
              <w:rPr>
                <w:sz w:val="20"/>
                <w:szCs w:val="20"/>
                <w:color w:val="auto"/>
              </w:rPr>
            </w:pPr>
            <w:r>
              <w:rPr>
                <w:rFonts w:ascii="Arial" w:cs="Arial" w:eastAsia="Arial" w:hAnsi="Arial"/>
                <w:sz w:val="18"/>
                <w:szCs w:val="18"/>
                <w:b w:val="1"/>
                <w:bCs w:val="1"/>
                <w:color w:val="auto"/>
              </w:rPr>
              <w:t>Payout %</w:t>
            </w:r>
          </w:p>
        </w:tc>
        <w:tc>
          <w:tcPr>
            <w:tcW w:w="80" w:type="dxa"/>
            <w:vAlign w:val="bottom"/>
          </w:tcPr>
          <w:p>
            <w:pPr>
              <w:spacing w:after="0"/>
              <w:rPr>
                <w:sz w:val="18"/>
                <w:szCs w:val="18"/>
                <w:color w:val="auto"/>
              </w:rPr>
            </w:pPr>
          </w:p>
        </w:tc>
      </w:tr>
      <w:tr>
        <w:trPr>
          <w:trHeight w:val="210"/>
        </w:trPr>
        <w:tc>
          <w:tcPr>
            <w:tcW w:w="4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.09</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w w:val="92"/>
              </w:rPr>
              <w:t>19</w:t>
            </w:r>
            <w:r>
              <w:rPr>
                <w:rFonts w:ascii="Arial" w:cs="Arial" w:eastAsia="Arial" w:hAnsi="Arial"/>
                <w:sz w:val="15"/>
                <w:szCs w:val="15"/>
                <w:color w:val="auto"/>
                <w:w w:val="92"/>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19</w:t>
            </w:r>
          </w:p>
        </w:tc>
      </w:tr>
      <w:tr>
        <w:trPr>
          <w:trHeight w:val="235"/>
        </w:trPr>
        <w:tc>
          <w:tcPr>
            <w:tcW w:w="440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w w:val="92"/>
              </w:rPr>
              <w:t>69</w:t>
            </w:r>
            <w:r>
              <w:rPr>
                <w:rFonts w:ascii="Arial" w:cs="Arial" w:eastAsia="Arial" w:hAnsi="Arial"/>
                <w:sz w:val="15"/>
                <w:szCs w:val="15"/>
                <w:color w:val="auto"/>
                <w:w w:val="92"/>
              </w:rPr>
              <w:t>*</w:t>
            </w:r>
          </w:p>
        </w:tc>
      </w:tr>
    </w:tbl>
    <w:p>
      <w:pPr>
        <w:spacing w:after="0" w:line="88" w:lineRule="exact"/>
        <w:rPr>
          <w:sz w:val="20"/>
          <w:szCs w:val="20"/>
          <w:color w:val="auto"/>
        </w:rPr>
      </w:pPr>
    </w:p>
    <w:p>
      <w:pPr>
        <w:jc w:val="both"/>
        <w:ind w:left="680" w:right="559" w:hanging="348"/>
        <w:spacing w:after="0" w:line="286"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basic operating earnings per share which excludes the effect of the $15 million special fraud-related provision for loan losses in the second quarter of 2007 and $3 million in the fourth quarter of 2007. Including the special provisions, the dividend payout ratio was 35% and 100%, respectively, for the second and fourth quarters of 2007.</w:t>
      </w:r>
    </w:p>
    <w:p>
      <w:pPr>
        <w:spacing w:after="0" w:line="17" w:lineRule="exact"/>
        <w:rPr>
          <w:sz w:val="20"/>
          <w:szCs w:val="20"/>
          <w:color w:val="auto"/>
        </w:rPr>
      </w:pPr>
    </w:p>
    <w:p>
      <w:pPr>
        <w:ind w:left="680" w:right="559" w:hanging="348"/>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third quarter of 2008, United replaced its regular cash dividend with a stock dividend of one share for every 130 shares owned, which had a value equal to approximately $.09 per share.</w:t>
      </w:r>
    </w:p>
    <w:p>
      <w:pPr>
        <w:spacing w:after="0" w:line="143"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Board of Governors of the Federal Reserve System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risk-adjusted assets to determine the risk based capital ratios. The guidelines require an 8% total risk-based capital ratio, of which 4% must be Tier I capital. To be considered well-capitalized under the guidelines, a 10% total risk-based capital ratio is required, of which 6% must be Tier I capital.</w:t>
      </w:r>
    </w:p>
    <w:p>
      <w:pPr>
        <w:spacing w:after="0" w:line="124"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A minimum leverage ratio is required in addition to the risk-based capital standards and is defined as Tier I capital divided by average assets adjusted for goodwill and deposit-based intangibles. Although a minimum leverage ratio of 3% is required for the highest-rated bank holding companies which are not undertaking significant expansion programs,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ectPr>
          <w:pgSz w:w="11900" w:h="16838" w:orient="portrait"/>
          <w:cols w:equalWidth="0" w:num="1">
            <w:col w:w="10219"/>
          </w:cols>
          <w:pgMar w:left="240" w:top="419" w:right="1440" w:bottom="100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0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shows United’s capital ratios, as calculated under regulatory guidelines, at September 30, 2008 and 2007.</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Table 14 — Capital Ratios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416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4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Actual</w:t>
            </w:r>
          </w:p>
        </w:tc>
        <w:tc>
          <w:tcPr>
            <w:tcW w:w="9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3"/>
              </w:rPr>
              <w:t>Regulatory</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660"/>
              <w:spacing w:after="0" w:line="191" w:lineRule="exact"/>
              <w:rPr>
                <w:sz w:val="20"/>
                <w:szCs w:val="20"/>
                <w:color w:val="auto"/>
              </w:rPr>
            </w:pPr>
            <w:r>
              <w:rPr>
                <w:rFonts w:ascii="Arial" w:cs="Arial" w:eastAsia="Arial" w:hAnsi="Arial"/>
                <w:sz w:val="18"/>
                <w:szCs w:val="18"/>
                <w:b w:val="1"/>
                <w:bCs w:val="1"/>
                <w:color w:val="auto"/>
              </w:rPr>
              <w:t>Actual</w:t>
            </w:r>
          </w:p>
        </w:tc>
        <w:tc>
          <w:tcPr>
            <w:tcW w:w="9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1"/>
              </w:rPr>
              <w:t>Regulatory</w:t>
            </w:r>
          </w:p>
        </w:tc>
        <w:tc>
          <w:tcPr>
            <w:tcW w:w="160" w:type="dxa"/>
            <w:vAlign w:val="bottom"/>
          </w:tcPr>
          <w:p>
            <w:pPr>
              <w:spacing w:after="0"/>
              <w:rPr>
                <w:sz w:val="16"/>
                <w:szCs w:val="16"/>
                <w:color w:val="auto"/>
              </w:rPr>
            </w:pPr>
          </w:p>
        </w:tc>
      </w:tr>
      <w:tr>
        <w:trPr>
          <w:trHeight w:val="234"/>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1"/>
              </w:rPr>
              <w:t>Amount</w:t>
            </w:r>
          </w:p>
        </w:tc>
        <w:tc>
          <w:tcPr>
            <w:tcW w:w="13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Minimum</w:t>
            </w:r>
          </w:p>
        </w:tc>
        <w:tc>
          <w:tcPr>
            <w:tcW w:w="12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4"/>
              </w:rPr>
              <w:t>Amount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Minimum</w:t>
            </w:r>
          </w:p>
        </w:tc>
      </w:tr>
      <w:tr>
        <w:trPr>
          <w:trHeight w:val="210"/>
        </w:trPr>
        <w:tc>
          <w:tcPr>
            <w:tcW w:w="4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Tier I Leverage: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523,913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234,925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551,265</w:t>
            </w:r>
          </w:p>
        </w:tc>
        <w:tc>
          <w:tcPr>
            <w:tcW w:w="220" w:type="dxa"/>
            <w:vAlign w:val="bottom"/>
          </w:tcPr>
          <w:p>
            <w:pPr>
              <w:jc w:val="right"/>
              <w:ind w:right="59"/>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232,942</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Ratio</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Tier I Risk-Based: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523,913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242,082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551,265</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251,337</w:t>
            </w:r>
          </w:p>
        </w:tc>
      </w:tr>
      <w:tr>
        <w:trPr>
          <w:trHeight w:val="230"/>
        </w:trPr>
        <w:tc>
          <w:tcPr>
            <w:tcW w:w="4160" w:type="dxa"/>
            <w:vAlign w:val="bottom"/>
          </w:tcPr>
          <w:p>
            <w:pPr>
              <w:ind w:left="200"/>
              <w:spacing w:after="0"/>
              <w:rPr>
                <w:sz w:val="20"/>
                <w:szCs w:val="20"/>
                <w:color w:val="auto"/>
              </w:rPr>
            </w:pPr>
            <w:r>
              <w:rPr>
                <w:rFonts w:ascii="Arial" w:cs="Arial" w:eastAsia="Arial" w:hAnsi="Arial"/>
                <w:sz w:val="18"/>
                <w:szCs w:val="18"/>
                <w:color w:val="auto"/>
              </w:rPr>
              <w:t>Ratio</w:t>
            </w:r>
          </w:p>
        </w:tc>
        <w:tc>
          <w:tcPr>
            <w:tcW w:w="1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4.00%</w:t>
            </w:r>
          </w:p>
        </w:tc>
      </w:tr>
      <w:tr>
        <w:trPr>
          <w:trHeight w:val="202"/>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Risk-Based: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689,710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484,164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696,511</w:t>
            </w:r>
          </w:p>
        </w:tc>
        <w:tc>
          <w:tcPr>
            <w:tcW w:w="220" w:type="dxa"/>
            <w:vAlign w:val="bottom"/>
          </w:tcPr>
          <w:p>
            <w:pPr>
              <w:jc w:val="right"/>
              <w:ind w:right="59"/>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502,674</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Ratio</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r>
    </w:tbl>
    <w:p>
      <w:pPr>
        <w:spacing w:after="0" w:line="16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United’s Tier I capital excludes other comprehensive income, and consists of stockholders’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14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capital ratios of United and the Banks currently exceed the minimum ratios as defined by federal regulators. United monitors these ratios to ensure that United and the Banks remain above regulatory minimum guidelines.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4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89"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There have been no material changes in United’s quantitative and qualitative disclosures about market risk as of September 30, 2008 from that presented in the Annual Report on Form 10-K for the year ended December 31, 2007. The interest rate sensitivity position at September 30, 2008 is included in management’s discussion and analysis on page 25 of this report.</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the company’s disclosure controls and procedures as of September 30, 2008.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15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the ordinary course of operations, United and the Banks are defendants in various legal proceedings. In the opinion of management, there is no pending or threatened proceeding in which an adverse decision could result in a material adverse change in the consolidated financial condition or results of operations of United.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There have been no material changes from the risk factors previously disclosed in United’s Form 10-K for the year ended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2007, but United did add the following risk factor: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Our ability to raise capital could be limited and could affect our liquidity and could be dilutive to existing shareholders.</w:t>
      </w:r>
    </w:p>
    <w:p>
      <w:pPr>
        <w:spacing w:after="0" w:line="21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Current conditions in the capital markets are such that traditional sources of capital may not be available to us on reasonable terms if we needed to raise capital. In such case, there is no guarantee that we will be able to borrow funds or successfully raise additional capital at all or on terms that are favorable or otherwise not dilutive to existing shareholders.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 – 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 – 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Submission of Matters to a Vote of Security Holders — None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 – 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8140" w:type="dxa"/>
            <w:vAlign w:val="bottom"/>
          </w:tcPr>
          <w:p>
            <w:pPr>
              <w:ind w:left="400"/>
              <w:spacing w:after="0"/>
              <w:rPr>
                <w:sz w:val="20"/>
                <w:szCs w:val="20"/>
                <w:color w:val="auto"/>
              </w:rPr>
            </w:pPr>
            <w:r>
              <w:rPr>
                <w:rFonts w:ascii="Arial" w:cs="Arial" w:eastAsia="Arial" w:hAnsi="Arial"/>
                <w:sz w:val="18"/>
                <w:szCs w:val="18"/>
                <w:color w:val="auto"/>
                <w:w w:val="93"/>
              </w:rPr>
              <w:t>Restated Articles of Incorporation of United Community Banks, Inc., (incorporated herein by reference to</w:t>
            </w:r>
          </w:p>
        </w:tc>
      </w:tr>
      <w:tr>
        <w:trPr>
          <w:trHeight w:val="216"/>
        </w:trPr>
        <w:tc>
          <w:tcPr>
            <w:tcW w:w="700" w:type="dxa"/>
            <w:vAlign w:val="bottom"/>
          </w:tcPr>
          <w:p>
            <w:pPr>
              <w:spacing w:after="0"/>
              <w:rPr>
                <w:sz w:val="18"/>
                <w:szCs w:val="18"/>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w w:val="97"/>
              </w:rPr>
              <w:t>Exhibit 3.1 to United Community Banks, Inc.’s Quarterly Report on Form 10-Q for the quarter ended</w:t>
            </w:r>
          </w:p>
        </w:tc>
      </w:tr>
      <w:tr>
        <w:trPr>
          <w:trHeight w:val="230"/>
        </w:trPr>
        <w:tc>
          <w:tcPr>
            <w:tcW w:w="700" w:type="dxa"/>
            <w:vAlign w:val="bottom"/>
          </w:tcPr>
          <w:p>
            <w:pPr>
              <w:spacing w:after="0"/>
              <w:rPr>
                <w:sz w:val="20"/>
                <w:szCs w:val="20"/>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June 30, 2001, File No. 0-21656, filed with the Commission on August 14, 2001).</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8140" w:type="dxa"/>
            <w:vAlign w:val="bottom"/>
          </w:tcPr>
          <w:p>
            <w:pPr>
              <w:ind w:left="400"/>
              <w:spacing w:after="0"/>
              <w:rPr>
                <w:sz w:val="20"/>
                <w:szCs w:val="20"/>
                <w:color w:val="auto"/>
              </w:rPr>
            </w:pPr>
            <w:r>
              <w:rPr>
                <w:rFonts w:ascii="Arial" w:cs="Arial" w:eastAsia="Arial" w:hAnsi="Arial"/>
                <w:sz w:val="18"/>
                <w:szCs w:val="18"/>
                <w:color w:val="auto"/>
                <w:w w:val="96"/>
              </w:rPr>
              <w:t>Amendment to the Restated Articles of Incorporation of United Community Banks, Inc. (incorporated</w:t>
            </w:r>
          </w:p>
        </w:tc>
      </w:tr>
      <w:tr>
        <w:trPr>
          <w:trHeight w:val="216"/>
        </w:trPr>
        <w:tc>
          <w:tcPr>
            <w:tcW w:w="700" w:type="dxa"/>
            <w:vAlign w:val="bottom"/>
          </w:tcPr>
          <w:p>
            <w:pPr>
              <w:spacing w:after="0"/>
              <w:rPr>
                <w:sz w:val="18"/>
                <w:szCs w:val="18"/>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w w:val="91"/>
              </w:rPr>
              <w:t>herein by reference to Exhibit 3.3 to United Community Banks, Inc.’s Registration Statement on Form S-4,</w:t>
            </w:r>
          </w:p>
        </w:tc>
      </w:tr>
      <w:tr>
        <w:trPr>
          <w:trHeight w:val="230"/>
        </w:trPr>
        <w:tc>
          <w:tcPr>
            <w:tcW w:w="700" w:type="dxa"/>
            <w:vAlign w:val="bottom"/>
          </w:tcPr>
          <w:p>
            <w:pPr>
              <w:spacing w:after="0"/>
              <w:rPr>
                <w:sz w:val="20"/>
                <w:szCs w:val="20"/>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File No. 333-118893, filed with the Commission on September 9, 2004).</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3.3</w:t>
            </w:r>
          </w:p>
        </w:tc>
        <w:tc>
          <w:tcPr>
            <w:tcW w:w="8140" w:type="dxa"/>
            <w:vAlign w:val="bottom"/>
          </w:tcPr>
          <w:p>
            <w:pPr>
              <w:ind w:left="400"/>
              <w:spacing w:after="0"/>
              <w:rPr>
                <w:sz w:val="20"/>
                <w:szCs w:val="20"/>
                <w:color w:val="auto"/>
              </w:rPr>
            </w:pPr>
            <w:r>
              <w:rPr>
                <w:rFonts w:ascii="Arial" w:cs="Arial" w:eastAsia="Arial" w:hAnsi="Arial"/>
                <w:sz w:val="18"/>
                <w:szCs w:val="18"/>
                <w:color w:val="auto"/>
                <w:w w:val="90"/>
              </w:rPr>
              <w:t>Amended and Restated Bylaws of United Community Banks, Inc., dated September 12, 1997 (incorporated</w:t>
            </w:r>
          </w:p>
        </w:tc>
      </w:tr>
      <w:tr>
        <w:trPr>
          <w:trHeight w:val="216"/>
        </w:trPr>
        <w:tc>
          <w:tcPr>
            <w:tcW w:w="700" w:type="dxa"/>
            <w:vAlign w:val="bottom"/>
          </w:tcPr>
          <w:p>
            <w:pPr>
              <w:spacing w:after="0"/>
              <w:rPr>
                <w:sz w:val="18"/>
                <w:szCs w:val="18"/>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w w:val="95"/>
              </w:rPr>
              <w:t>herein by reference to Exhibit 3.1 to United Community Banks, Inc.’s Annual Report on Form 10-K, for</w:t>
            </w:r>
          </w:p>
        </w:tc>
      </w:tr>
      <w:tr>
        <w:trPr>
          <w:trHeight w:val="230"/>
        </w:trPr>
        <w:tc>
          <w:tcPr>
            <w:tcW w:w="700" w:type="dxa"/>
            <w:vAlign w:val="bottom"/>
          </w:tcPr>
          <w:p>
            <w:pPr>
              <w:spacing w:after="0"/>
              <w:rPr>
                <w:sz w:val="20"/>
                <w:szCs w:val="20"/>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w w:val="95"/>
              </w:rPr>
              <w:t>the year ended December 31, 1997, File No. 0-21656, filed with the Commission on March 27, 1998).</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4.1</w:t>
            </w:r>
          </w:p>
        </w:tc>
        <w:tc>
          <w:tcPr>
            <w:tcW w:w="8140" w:type="dxa"/>
            <w:vAlign w:val="bottom"/>
          </w:tcPr>
          <w:p>
            <w:pPr>
              <w:ind w:left="400"/>
              <w:spacing w:after="0"/>
              <w:rPr>
                <w:sz w:val="20"/>
                <w:szCs w:val="20"/>
                <w:color w:val="auto"/>
              </w:rPr>
            </w:pPr>
            <w:r>
              <w:rPr>
                <w:rFonts w:ascii="Arial" w:cs="Arial" w:eastAsia="Arial" w:hAnsi="Arial"/>
                <w:sz w:val="18"/>
                <w:szCs w:val="18"/>
                <w:color w:val="auto"/>
                <w:w w:val="95"/>
              </w:rPr>
              <w:t>See Exhibits 3.1, 3.2 and 3.3 for provisions of the Restated Articles of Incorporation, as amended, and</w:t>
            </w:r>
          </w:p>
        </w:tc>
      </w:tr>
      <w:tr>
        <w:trPr>
          <w:trHeight w:val="230"/>
        </w:trPr>
        <w:tc>
          <w:tcPr>
            <w:tcW w:w="700" w:type="dxa"/>
            <w:vAlign w:val="bottom"/>
          </w:tcPr>
          <w:p>
            <w:pPr>
              <w:spacing w:after="0"/>
              <w:rPr>
                <w:sz w:val="20"/>
                <w:szCs w:val="20"/>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Amended and Restated Bylaws, which define the rights of the Shareholders.</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10.1</w:t>
            </w:r>
          </w:p>
        </w:tc>
        <w:tc>
          <w:tcPr>
            <w:tcW w:w="8140" w:type="dxa"/>
            <w:vAlign w:val="bottom"/>
          </w:tcPr>
          <w:p>
            <w:pPr>
              <w:ind w:left="400"/>
              <w:spacing w:after="0"/>
              <w:rPr>
                <w:sz w:val="20"/>
                <w:szCs w:val="20"/>
                <w:color w:val="auto"/>
              </w:rPr>
            </w:pPr>
            <w:r>
              <w:rPr>
                <w:rFonts w:ascii="Arial" w:cs="Arial" w:eastAsia="Arial" w:hAnsi="Arial"/>
                <w:sz w:val="18"/>
                <w:szCs w:val="18"/>
                <w:color w:val="auto"/>
                <w:w w:val="94"/>
              </w:rPr>
              <w:t>Subordinated Term Loan Agreement, dated as of August 29, 2008 among United Community Bank, as</w:t>
            </w:r>
          </w:p>
        </w:tc>
      </w:tr>
      <w:tr>
        <w:trPr>
          <w:trHeight w:val="216"/>
        </w:trPr>
        <w:tc>
          <w:tcPr>
            <w:tcW w:w="700" w:type="dxa"/>
            <w:vAlign w:val="bottom"/>
          </w:tcPr>
          <w:p>
            <w:pPr>
              <w:spacing w:after="0"/>
              <w:rPr>
                <w:sz w:val="18"/>
                <w:szCs w:val="18"/>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w w:val="99"/>
              </w:rPr>
              <w:t>borrower, the lenders from time to time party thereto, and SunTrust Bank, as administrative agent</w:t>
            </w:r>
          </w:p>
        </w:tc>
      </w:tr>
      <w:tr>
        <w:trPr>
          <w:trHeight w:val="216"/>
        </w:trPr>
        <w:tc>
          <w:tcPr>
            <w:tcW w:w="700" w:type="dxa"/>
            <w:vAlign w:val="bottom"/>
          </w:tcPr>
          <w:p>
            <w:pPr>
              <w:spacing w:after="0"/>
              <w:rPr>
                <w:sz w:val="18"/>
                <w:szCs w:val="18"/>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w w:val="94"/>
              </w:rPr>
              <w:t>(incorporated herein by reference to Exhibit 10.1 to United Community Banks, Inc.’s Current Report on</w:t>
            </w:r>
          </w:p>
        </w:tc>
      </w:tr>
      <w:tr>
        <w:trPr>
          <w:trHeight w:val="230"/>
        </w:trPr>
        <w:tc>
          <w:tcPr>
            <w:tcW w:w="700" w:type="dxa"/>
            <w:vAlign w:val="bottom"/>
          </w:tcPr>
          <w:p>
            <w:pPr>
              <w:spacing w:after="0"/>
              <w:rPr>
                <w:sz w:val="20"/>
                <w:szCs w:val="20"/>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w w:val="97"/>
              </w:rPr>
              <w:t>Form 8-K dated August 29, 2008, File No. 0-21656, filed with the Commission on August 29, 2008).</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31.1</w:t>
            </w:r>
          </w:p>
        </w:tc>
        <w:tc>
          <w:tcPr>
            <w:tcW w:w="8140" w:type="dxa"/>
            <w:vAlign w:val="bottom"/>
          </w:tcPr>
          <w:p>
            <w:pPr>
              <w:ind w:left="400"/>
              <w:spacing w:after="0"/>
              <w:rPr>
                <w:sz w:val="20"/>
                <w:szCs w:val="20"/>
                <w:color w:val="auto"/>
              </w:rPr>
            </w:pPr>
            <w:r>
              <w:rPr>
                <w:rFonts w:ascii="Arial" w:cs="Arial" w:eastAsia="Arial" w:hAnsi="Arial"/>
                <w:sz w:val="18"/>
                <w:szCs w:val="18"/>
                <w:color w:val="auto"/>
                <w:w w:val="96"/>
              </w:rPr>
              <w:t>Certification by Jimmy C. Tallent, President and Chief Executive Officer of United Community Banks,</w:t>
            </w:r>
          </w:p>
        </w:tc>
      </w:tr>
      <w:tr>
        <w:trPr>
          <w:trHeight w:val="230"/>
        </w:trPr>
        <w:tc>
          <w:tcPr>
            <w:tcW w:w="700" w:type="dxa"/>
            <w:vAlign w:val="bottom"/>
          </w:tcPr>
          <w:p>
            <w:pPr>
              <w:spacing w:after="0"/>
              <w:rPr>
                <w:sz w:val="20"/>
                <w:szCs w:val="20"/>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Inc., as adopted pursuant to Section 302 of the Sarbanes-Oxley Act of 2002.</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31.2</w:t>
            </w:r>
          </w:p>
        </w:tc>
        <w:tc>
          <w:tcPr>
            <w:tcW w:w="8140" w:type="dxa"/>
            <w:vAlign w:val="bottom"/>
          </w:tcPr>
          <w:p>
            <w:pPr>
              <w:ind w:left="400"/>
              <w:spacing w:after="0"/>
              <w:rPr>
                <w:sz w:val="20"/>
                <w:szCs w:val="20"/>
                <w:color w:val="auto"/>
              </w:rPr>
            </w:pPr>
            <w:r>
              <w:rPr>
                <w:rFonts w:ascii="Arial" w:cs="Arial" w:eastAsia="Arial" w:hAnsi="Arial"/>
                <w:sz w:val="18"/>
                <w:szCs w:val="18"/>
                <w:color w:val="auto"/>
              </w:rPr>
              <w:t>Certification by Rex S. Schuette, Executive Vice President and Chief Financial Officer of United</w:t>
            </w:r>
          </w:p>
        </w:tc>
      </w:tr>
      <w:tr>
        <w:trPr>
          <w:trHeight w:val="230"/>
        </w:trPr>
        <w:tc>
          <w:tcPr>
            <w:tcW w:w="700" w:type="dxa"/>
            <w:vAlign w:val="bottom"/>
          </w:tcPr>
          <w:p>
            <w:pPr>
              <w:spacing w:after="0"/>
              <w:rPr>
                <w:sz w:val="20"/>
                <w:szCs w:val="20"/>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Community Banks, Inc., as adopted pursuant to Section 302 of the Sarbanes-Oxley Act of 2002.</w:t>
            </w:r>
          </w:p>
        </w:tc>
      </w:tr>
    </w:tbl>
    <w:p>
      <w:pPr>
        <w:spacing w:after="0" w:line="202" w:lineRule="exact"/>
        <w:rPr>
          <w:sz w:val="20"/>
          <w:szCs w:val="20"/>
          <w:color w:val="auto"/>
        </w:rPr>
      </w:pPr>
    </w:p>
    <w:p>
      <w:pPr>
        <w:ind w:left="1920" w:right="559" w:hanging="956"/>
        <w:spacing w:after="0" w:line="277" w:lineRule="auto"/>
        <w:tabs>
          <w:tab w:leader="none" w:pos="1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482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-130810</wp:posOffset>
            </wp:positionV>
            <wp:extent cx="21951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-130810</wp:posOffset>
            </wp:positionV>
            <wp:extent cx="21951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-130810</wp:posOffset>
            </wp:positionV>
            <wp:extent cx="21951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Date: November 7, 2008</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40" w:type="dxa"/>
            <w:vAlign w:val="bottom"/>
          </w:tcPr>
          <w:p>
            <w:pPr>
              <w:ind w:left="266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24"/>
                <w:szCs w:val="24"/>
                <w:color w:val="auto"/>
              </w:rPr>
            </w:pPr>
          </w:p>
        </w:tc>
        <w:tc>
          <w:tcPr>
            <w:tcW w:w="7840" w:type="dxa"/>
            <w:vAlign w:val="bottom"/>
          </w:tcPr>
          <w:p>
            <w:pPr>
              <w:spacing w:after="0"/>
              <w:rPr>
                <w:sz w:val="24"/>
                <w:szCs w:val="24"/>
                <w:color w:val="auto"/>
              </w:rPr>
            </w:pPr>
          </w:p>
        </w:tc>
      </w:tr>
      <w:tr>
        <w:trPr>
          <w:trHeight w:val="234"/>
        </w:trPr>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No.</w:t>
            </w:r>
          </w:p>
        </w:tc>
        <w:tc>
          <w:tcPr>
            <w:tcW w:w="280" w:type="dxa"/>
            <w:vAlign w:val="bottom"/>
          </w:tcPr>
          <w:p>
            <w:pPr>
              <w:spacing w:after="0"/>
              <w:rPr>
                <w:sz w:val="20"/>
                <w:szCs w:val="20"/>
                <w:color w:val="auto"/>
              </w:rPr>
            </w:pPr>
          </w:p>
        </w:tc>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4"/>
              </w:rPr>
              <w:t>Restated Articles of Incorporation of United Community Banks, Inc., (incorporated herein by reference to</w:t>
            </w: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8"/>
              </w:rPr>
              <w:t>Exhibit 3.1 to United Community Banks, Inc.’s Quarterly Report on Form 10-Q for the quarter ended</w:t>
            </w:r>
          </w:p>
        </w:tc>
      </w:tr>
      <w:tr>
        <w:trPr>
          <w:trHeight w:val="230"/>
        </w:trPr>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June 30, 2001, File No. 0-21656, filed with the Commission on August 14, 2001).</w:t>
            </w:r>
          </w:p>
        </w:tc>
      </w:tr>
      <w:tr>
        <w:trPr>
          <w:trHeight w:val="41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1"/>
              </w:rPr>
              <w:t>Amendment to the Restated Articles of Incorporation of United Community Banks, Inc. (incorporated herein</w:t>
            </w: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5"/>
              </w:rPr>
              <w:t>by reference to Exhibit 3.3 to United Community Banks, Inc.’s Registration Statement on Form S-4, File</w:t>
            </w:r>
          </w:p>
        </w:tc>
      </w:tr>
      <w:tr>
        <w:trPr>
          <w:trHeight w:val="230"/>
        </w:trPr>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No. 333-118893, filed with the Commission on September 9, 2004).</w:t>
            </w:r>
          </w:p>
        </w:tc>
      </w:tr>
      <w:tr>
        <w:trPr>
          <w:trHeight w:val="41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1"/>
              </w:rPr>
              <w:t>Amended and Restated Bylaws of United Community Banks, Inc., dated September 12, 1997 (incorporated</w:t>
            </w: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3"/>
              </w:rPr>
              <w:t>herein by reference to Exhibit 3.1 to United Community Banks, Inc.’s Annual Report on Form 10-K, for the</w:t>
            </w:r>
          </w:p>
        </w:tc>
      </w:tr>
      <w:tr>
        <w:trPr>
          <w:trHeight w:val="230"/>
        </w:trPr>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year ended December 31, 1997, File No. 0-21656, filed with the Commission on March 27, 1998).</w:t>
            </w:r>
          </w:p>
        </w:tc>
      </w:tr>
      <w:tr>
        <w:trPr>
          <w:trHeight w:val="41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6"/>
              </w:rPr>
              <w:t>See Exhibits 3.1, 3.2 and 3.3 for provisions of the Restated Articles of Incorporation, as amended, and</w:t>
            </w:r>
          </w:p>
        </w:tc>
      </w:tr>
      <w:tr>
        <w:trPr>
          <w:trHeight w:val="230"/>
        </w:trPr>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Amended and Restated Bylaws, which define the rights of the Shareholders.</w:t>
            </w:r>
          </w:p>
        </w:tc>
      </w:tr>
      <w:tr>
        <w:trPr>
          <w:trHeight w:val="41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5"/>
              </w:rPr>
              <w:t>Subordinated Term Loan Agreement, dated as of August 29, 2008 among United Community Bank, as</w:t>
            </w: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borrower, the lenders from time to time party thereto, and SunTrust Bank, as administrative agent</w:t>
            </w: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6"/>
              </w:rPr>
              <w:t>(incorporated herein by reference to Exhibit 10.1 to United Community Banks, Inc.’s Current Report on</w:t>
            </w:r>
          </w:p>
        </w:tc>
      </w:tr>
      <w:tr>
        <w:trPr>
          <w:trHeight w:val="230"/>
        </w:trPr>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8"/>
              </w:rPr>
              <w:t>Form 8-K dated August 29, 2008, File No. 0-21656, filed with the Commission on August 29, 2008).</w:t>
            </w:r>
          </w:p>
        </w:tc>
      </w:tr>
      <w:tr>
        <w:trPr>
          <w:trHeight w:val="41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3"/>
              </w:rPr>
              <w:t>Certification by Jimmy C. Tallent, President and Chief Executive Officer of United Community Banks, Inc.,</w:t>
            </w:r>
          </w:p>
        </w:tc>
      </w:tr>
      <w:tr>
        <w:trPr>
          <w:trHeight w:val="230"/>
        </w:trPr>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41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Certification by Rex S. Schuette, Executive Vice President and Chief Financial Officer of United</w:t>
            </w:r>
          </w:p>
        </w:tc>
      </w:tr>
      <w:tr>
        <w:trPr>
          <w:trHeight w:val="230"/>
        </w:trPr>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Community Banks, Inc., as adopted pursuant to Section 302 of the Sarbanes-Oxley Act of 2002.</w:t>
            </w:r>
          </w:p>
        </w:tc>
      </w:tr>
    </w:tbl>
    <w:p>
      <w:pPr>
        <w:spacing w:after="0" w:line="202" w:lineRule="exact"/>
        <w:rPr>
          <w:sz w:val="20"/>
          <w:szCs w:val="20"/>
          <w:color w:val="auto"/>
        </w:rPr>
      </w:pPr>
    </w:p>
    <w:p>
      <w:pPr>
        <w:ind w:left="1820" w:right="559" w:hanging="897"/>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419" w:right="1440" w:bottom="1440" w:gutter="0" w:footer="0" w:header="0"/>
        </w:sectPr>
      </w:pPr>
    </w:p>
    <w:bookmarkStart w:id="40" w:name="page41"/>
    <w:bookmarkEnd w:id="40"/>
    <w:p>
      <w:pPr>
        <w:jc w:val="center"/>
        <w:ind w:right="551"/>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ind w:right="971"/>
        <w:spacing w:after="0"/>
        <w:rPr>
          <w:sz w:val="20"/>
          <w:szCs w:val="20"/>
          <w:color w:val="auto"/>
        </w:rPr>
      </w:pPr>
      <w:r>
        <w:rPr>
          <w:rFonts w:ascii="Arial" w:cs="Arial" w:eastAsia="Arial" w:hAnsi="Arial"/>
          <w:sz w:val="16"/>
          <w:szCs w:val="16"/>
          <w:color w:val="auto"/>
        </w:rPr>
        <w:t>I, Jimmy C. Tallent, President and Chief Executive Officer of United Community Banks, Inc. (the “registrant”), certify that:</w:t>
      </w:r>
    </w:p>
    <w:p>
      <w:pPr>
        <w:spacing w:after="0" w:line="221" w:lineRule="exact"/>
        <w:rPr>
          <w:sz w:val="20"/>
          <w:szCs w:val="20"/>
          <w:color w:val="auto"/>
        </w:rPr>
      </w:pPr>
    </w:p>
    <w:p>
      <w:pPr>
        <w:ind w:left="188" w:hanging="188"/>
        <w:spacing w:after="0"/>
        <w:tabs>
          <w:tab w:leader="none" w:pos="1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2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jc w:val="both"/>
        <w:ind w:left="368" w:right="559" w:firstLine="5"/>
        <w:spacing w:after="0" w:line="312" w:lineRule="auto"/>
        <w:tabs>
          <w:tab w:leader="none" w:pos="578"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368" w:right="559" w:firstLine="5"/>
        <w:spacing w:after="0" w:line="286" w:lineRule="auto"/>
        <w:tabs>
          <w:tab w:leader="none" w:pos="584"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68" w:right="559" w:firstLine="5"/>
        <w:spacing w:after="0" w:line="264" w:lineRule="auto"/>
        <w:tabs>
          <w:tab w:leader="none" w:pos="5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68" w:right="559" w:firstLine="5"/>
        <w:spacing w:after="0" w:line="264" w:lineRule="auto"/>
        <w:tabs>
          <w:tab w:leader="none" w:pos="5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559" w:hanging="8"/>
        <w:spacing w:after="0" w:line="308" w:lineRule="auto"/>
        <w:tabs>
          <w:tab w:leader="none" w:pos="20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19" w:lineRule="exact"/>
        <w:rPr>
          <w:rFonts w:ascii="Arial" w:cs="Arial" w:eastAsia="Arial" w:hAnsi="Arial"/>
          <w:sz w:val="17"/>
          <w:szCs w:val="17"/>
          <w:color w:val="auto"/>
        </w:rPr>
      </w:pPr>
    </w:p>
    <w:p>
      <w:pPr>
        <w:jc w:val="both"/>
        <w:ind w:left="368" w:right="559" w:firstLine="5"/>
        <w:spacing w:after="0" w:line="264" w:lineRule="auto"/>
        <w:tabs>
          <w:tab w:leader="none" w:pos="5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68" w:right="559" w:firstLine="5"/>
        <w:spacing w:after="0" w:line="277" w:lineRule="auto"/>
        <w:tabs>
          <w:tab w:leader="none" w:pos="58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34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2984500</wp:posOffset>
            </wp:positionH>
            <wp:positionV relativeFrom="paragraph">
              <wp:posOffset>-130810</wp:posOffset>
            </wp:positionV>
            <wp:extent cx="20751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4348"/>
        <w:spacing w:after="0"/>
        <w:rPr>
          <w:sz w:val="20"/>
          <w:szCs w:val="20"/>
          <w:color w:val="auto"/>
        </w:rPr>
      </w:pPr>
      <w:r>
        <w:rPr>
          <w:rFonts w:ascii="Arial" w:cs="Arial" w:eastAsia="Arial" w:hAnsi="Arial"/>
          <w:sz w:val="18"/>
          <w:szCs w:val="18"/>
          <w:color w:val="auto"/>
        </w:rPr>
        <w:t>Date: November 7, 2008</w:t>
      </w:r>
    </w:p>
    <w:p>
      <w:pPr>
        <w:sectPr>
          <w:pgSz w:w="11900" w:h="16838" w:orient="portrait"/>
          <w:cols w:equalWidth="0" w:num="1">
            <w:col w:w="9887"/>
          </w:cols>
          <w:pgMar w:left="572" w:top="121" w:right="1440" w:bottom="1440" w:gutter="0" w:footer="0" w:header="0"/>
        </w:sectPr>
      </w:pPr>
    </w:p>
    <w:bookmarkStart w:id="41" w:name="page42"/>
    <w:bookmarkEnd w:id="41"/>
    <w:p>
      <w:pPr>
        <w:jc w:val="center"/>
        <w:ind w:right="551"/>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I, Rex S. Schuette, Executive Vice President and Chief Financial Officer of United Community Banks, Inc. (the “registrant”), certify that:</w:t>
      </w:r>
    </w:p>
    <w:p>
      <w:pPr>
        <w:spacing w:after="0" w:line="143" w:lineRule="exact"/>
        <w:rPr>
          <w:sz w:val="20"/>
          <w:szCs w:val="20"/>
          <w:color w:val="auto"/>
        </w:rPr>
      </w:pPr>
    </w:p>
    <w:p>
      <w:pPr>
        <w:ind w:left="188" w:hanging="188"/>
        <w:spacing w:after="0"/>
        <w:tabs>
          <w:tab w:leader="none" w:pos="1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2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jc w:val="both"/>
        <w:ind w:left="368" w:right="559" w:firstLine="5"/>
        <w:spacing w:after="0" w:line="312" w:lineRule="auto"/>
        <w:tabs>
          <w:tab w:leader="none" w:pos="578"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368" w:right="559" w:firstLine="5"/>
        <w:spacing w:after="0" w:line="286" w:lineRule="auto"/>
        <w:tabs>
          <w:tab w:leader="none" w:pos="584"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68" w:right="559" w:firstLine="5"/>
        <w:spacing w:after="0" w:line="264" w:lineRule="auto"/>
        <w:tabs>
          <w:tab w:leader="none" w:pos="5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68" w:right="559" w:firstLine="5"/>
        <w:spacing w:after="0" w:line="264" w:lineRule="auto"/>
        <w:tabs>
          <w:tab w:leader="none" w:pos="5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559" w:hanging="8"/>
        <w:spacing w:after="0" w:line="308" w:lineRule="auto"/>
        <w:tabs>
          <w:tab w:leader="none" w:pos="20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19" w:lineRule="exact"/>
        <w:rPr>
          <w:rFonts w:ascii="Arial" w:cs="Arial" w:eastAsia="Arial" w:hAnsi="Arial"/>
          <w:sz w:val="17"/>
          <w:szCs w:val="17"/>
          <w:color w:val="auto"/>
        </w:rPr>
      </w:pPr>
    </w:p>
    <w:p>
      <w:pPr>
        <w:jc w:val="both"/>
        <w:ind w:left="368" w:right="559" w:firstLine="5"/>
        <w:spacing w:after="0" w:line="264" w:lineRule="auto"/>
        <w:tabs>
          <w:tab w:leader="none" w:pos="5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68" w:right="559" w:firstLine="5"/>
        <w:spacing w:after="0" w:line="277" w:lineRule="auto"/>
        <w:tabs>
          <w:tab w:leader="none" w:pos="58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34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2984500</wp:posOffset>
            </wp:positionH>
            <wp:positionV relativeFrom="paragraph">
              <wp:posOffset>-130810</wp:posOffset>
            </wp:positionV>
            <wp:extent cx="20751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4348"/>
        <w:spacing w:after="0"/>
        <w:rPr>
          <w:sz w:val="20"/>
          <w:szCs w:val="20"/>
          <w:color w:val="auto"/>
        </w:rPr>
      </w:pPr>
      <w:r>
        <w:rPr>
          <w:rFonts w:ascii="Arial" w:cs="Arial" w:eastAsia="Arial" w:hAnsi="Arial"/>
          <w:sz w:val="18"/>
          <w:szCs w:val="18"/>
          <w:color w:val="auto"/>
        </w:rPr>
        <w:t>Date: November 7, 2008</w:t>
      </w:r>
    </w:p>
    <w:p>
      <w:pPr>
        <w:sectPr>
          <w:pgSz w:w="11900" w:h="16838" w:orient="portrait"/>
          <w:cols w:equalWidth="0" w:num="1">
            <w:col w:w="9887"/>
          </w:cols>
          <w:pgMar w:left="572" w:top="121" w:right="1440" w:bottom="1440" w:gutter="0" w:footer="0" w:header="0"/>
        </w:sectPr>
      </w:pPr>
    </w:p>
    <w:bookmarkStart w:id="42" w:name="page43"/>
    <w:bookmarkEnd w:id="42"/>
    <w:p>
      <w:pPr>
        <w:ind w:left="4260"/>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559"/>
        <w:spacing w:after="0" w:line="302" w:lineRule="auto"/>
        <w:rPr>
          <w:sz w:val="20"/>
          <w:szCs w:val="20"/>
          <w:color w:val="auto"/>
        </w:rPr>
      </w:pPr>
      <w:r>
        <w:rPr>
          <w:rFonts w:ascii="Arial" w:cs="Arial" w:eastAsia="Arial" w:hAnsi="Arial"/>
          <w:sz w:val="16"/>
          <w:szCs w:val="16"/>
          <w:color w:val="auto"/>
        </w:rPr>
        <w:t>In connection with the Quarterly Report of United Community Banks, Inc. (“United”) on Form 10-Q for the period ending September 30, 2008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114" w:lineRule="exact"/>
        <w:rPr>
          <w:sz w:val="20"/>
          <w:szCs w:val="20"/>
          <w:color w:val="auto"/>
        </w:rPr>
      </w:pPr>
    </w:p>
    <w:p>
      <w:pPr>
        <w:ind w:left="700" w:hanging="343"/>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left="700" w:right="559" w:hanging="343"/>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United.</w:t>
      </w:r>
    </w:p>
    <w:p>
      <w:pPr>
        <w:spacing w:after="0" w:line="17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-130810</wp:posOffset>
            </wp:positionV>
            <wp:extent cx="20751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-130810</wp:posOffset>
            </wp:positionV>
            <wp:extent cx="20751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Date: November 7, 2008</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32"/>
    </w:lvl>
  </w:abstractNum>
  <w:abstractNum w:abstractNumId="13">
    <w:nsid w:val="41A7C4C9"/>
    <w:multiLevelType w:val="hybridMultilevel"/>
    <w:lvl w:ilvl="0">
      <w:lvlJc w:val="left"/>
      <w:lvlText w:val="%1"/>
      <w:numFmt w:val="decimal"/>
      <w:start w:val="32"/>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2019-12-13T19:11:49Z</dcterms:created>
  <dcterms:modified xsi:type="dcterms:W3CDTF">2019-12-13T19:11:49Z</dcterms:modified>
</cp:coreProperties>
</file>