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8"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4"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5980" w:type="dxa"/>
            <w:vAlign w:val="bottom"/>
            <w:gridSpan w:val="2"/>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200 East Camperdown Way</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Greenville, South Carolina</w:t>
            </w:r>
          </w:p>
        </w:tc>
        <w:tc>
          <w:tcPr>
            <w:tcW w:w="5980" w:type="dxa"/>
            <w:vAlign w:val="bottom"/>
            <w:gridSpan w:val="2"/>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29601</w:t>
            </w:r>
          </w:p>
        </w:tc>
      </w:tr>
      <w:tr>
        <w:trPr>
          <w:trHeight w:val="209"/>
        </w:trPr>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(800) 822-2651</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88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Common stock, par value $1 per share</w:t>
            </w:r>
          </w:p>
        </w:tc>
        <w:tc>
          <w:tcPr>
            <w:tcW w:w="280" w:type="dxa"/>
            <w:vAlign w:val="bottom"/>
          </w:tcPr>
          <w:p>
            <w:pPr>
              <w:spacing w:after="0"/>
              <w:rPr>
                <w:sz w:val="18"/>
                <w:szCs w:val="18"/>
                <w:color w:val="auto"/>
              </w:rPr>
            </w:pP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61"/>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1/1000th interest in a share of</w:t>
            </w:r>
          </w:p>
        </w:tc>
        <w:tc>
          <w:tcPr>
            <w:tcW w:w="280" w:type="dxa"/>
            <w:vAlign w:val="bottom"/>
          </w:tcPr>
          <w:p>
            <w:pPr>
              <w:spacing w:after="0"/>
              <w:rPr>
                <w:sz w:val="13"/>
                <w:szCs w:val="13"/>
                <w:color w:val="auto"/>
              </w:rPr>
            </w:pPr>
          </w:p>
        </w:tc>
        <w:tc>
          <w:tcPr>
            <w:tcW w:w="2340" w:type="dxa"/>
            <w:vAlign w:val="bottom"/>
            <w:gridSpan w:val="2"/>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 PRI</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7" w:lineRule="exact"/>
        <w:rPr>
          <w:sz w:val="24"/>
          <w:szCs w:val="24"/>
          <w:color w:val="auto"/>
        </w:rPr>
      </w:pPr>
    </w:p>
    <w:p>
      <w:pPr>
        <w:spacing w:after="0" w:line="23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18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were 121,474,460 shares of the registrant’s common stock, par value $1 per share, outstanding as of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Glossary of Defined Terms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4"/>
            <w:shd w:val="clear" w:color="auto" w:fill="CCEEFF"/>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5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84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40" w:type="dxa"/>
            <w:vAlign w:val="bottom"/>
            <w:tcBorders>
              <w:top w:val="single" w:sz="8" w:color="0000FF"/>
            </w:tcBorders>
            <w:gridSpan w:val="11"/>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4"/>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Item 5.</w:t>
            </w:r>
          </w:p>
        </w:tc>
        <w:tc>
          <w:tcPr>
            <w:tcW w:w="4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7980" w:type="dxa"/>
            <w:vAlign w:val="bottom"/>
            <w:tcBorders>
              <w:bottom w:val="single" w:sz="8" w:color="CCEEFF"/>
            </w:tcBorders>
            <w:gridSpan w:val="17"/>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44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2024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United’s Annual Report on Form 10-K for the year ended December 31, 2024 filed with the SEC on February 27,</w:t>
            </w:r>
          </w:p>
        </w:tc>
        <w:tc>
          <w:tcPr>
            <w:tcW w:w="40" w:type="dxa"/>
            <w:vAlign w:val="bottom"/>
          </w:tcPr>
          <w:p>
            <w:pPr>
              <w:spacing w:after="0"/>
              <w:rPr>
                <w:sz w:val="14"/>
                <w:szCs w:val="14"/>
                <w:color w:val="auto"/>
              </w:rPr>
            </w:pP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1"/>
                <w:szCs w:val="2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ANB Holdings, Inc. and its wholly-owned subsidiary, American National Bank</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expected credit losses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DTA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DTL</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FDM</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Modification made to borrowers experiencing financial difficulty</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Reserve Bank</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FinTrust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Collectively, FinTrust Brokerage Services, LLC and FinTrust Capital Advisors, LLC</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Miami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Miami Bancorp, Inc. and its wholly-owned subsidiary, First National Bank of South Miami</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Negotiable order of withdrawal</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credit deteriorated</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ending June 30, 2025</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c>
          <w:tcPr>
            <w:tcW w:w="40" w:type="dxa"/>
            <w:vAlign w:val="bottom"/>
          </w:tcPr>
          <w:p>
            <w:pPr>
              <w:spacing w:after="0"/>
              <w:rPr>
                <w:sz w:val="19"/>
                <w:szCs w:val="19"/>
                <w:color w:val="auto"/>
              </w:rPr>
            </w:pPr>
          </w:p>
        </w:tc>
      </w:tr>
      <w:tr>
        <w:trPr>
          <w:trHeight w:val="23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c>
          <w:tcPr>
            <w:tcW w:w="40" w:type="dxa"/>
            <w:vAlign w:val="bottom"/>
          </w:tcPr>
          <w:p>
            <w:pPr>
              <w:spacing w:after="0"/>
              <w:rPr>
                <w:sz w:val="20"/>
                <w:szCs w:val="20"/>
                <w:color w:val="auto"/>
              </w:rPr>
            </w:pPr>
          </w:p>
        </w:tc>
      </w:tr>
      <w:tr>
        <w:trPr>
          <w:trHeight w:val="900"/>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20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w:t>
      </w:r>
    </w:p>
    <w:p>
      <w:pPr>
        <w:ind w:left="340" w:right="20" w:hanging="332"/>
        <w:spacing w:after="0" w:line="23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pandemics or public health conditions on the economic and business environments in which we operate, including the impact of actions taken by governmental authorities to address these conditions;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jc w:val="both"/>
        <w:ind w:left="340" w:hanging="332"/>
        <w:spacing w:after="0" w:line="23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or unanticipated changes in the interest rate environment, including interest rate changes made by the Federal Reserve, replacement or reform of other interest rate benchmarks, as well as cash flow reassessments may reduce net interest margin and/or the volumes and values of loans made or held as well as the value of other financial assets;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 the national or local economies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identify and complete future mergers or acquisitions as well as our ability to successfully expand and integrate those businesses and operations that we acquire;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third-party service providers or employees;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 particularly if there were to be increased capital requirements or enhanced regulatory supervision;</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accounting changes that may adversely affect us;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affecting our business;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legislation, litigation, regulatory proceedings, examinations, investigations, or similar matters, or developments related thereto;</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 such as goodwill;</w:t>
      </w:r>
    </w:p>
    <w:p>
      <w:pPr>
        <w:spacing w:after="0" w:line="9"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spacing w:after="0" w:line="1" w:lineRule="exact"/>
        <w:rPr>
          <w:rFonts w:ascii="Times New Roman" w:cs="Times New Roman" w:eastAsia="Times New Roman" w:hAnsi="Times New Roman"/>
          <w:sz w:val="18"/>
          <w:szCs w:val="18"/>
          <w:color w:val="auto"/>
        </w:rPr>
      </w:pPr>
    </w:p>
    <w:p>
      <w:pPr>
        <w:ind w:left="340" w:right="100" w:hanging="332"/>
        <w:spacing w:after="0" w:line="238"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events beyond our control that may have a destabilizing effect on financial markets and the economy, such as inflation or recession, terrorist activities, wars and other foreign conflicts, climate change and weather related events, disruptions in our customers’ supply chains, disruptions in transportation, essential utility outages or trade disputes and tariffs including threats thereof, either imposed by the U.S. or other trading partners in retaliation to U.S. tariffs;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2024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27" w:right="339" w:bottom="10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078" w:gutter="0" w:footer="0" w:header="0"/>
          <w:type w:val="continuous"/>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4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8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296,161</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223,712</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and other short-term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519,873</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4,075,323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4,436,291</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 (fair value $1,935,748 and $1,944,126, respectively)</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2,306,730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18,920,875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18,175,980</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 - loans and leases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0" w:type="dxa"/>
            <w:vAlign w:val="bottom"/>
          </w:tcPr>
          <w:p>
            <w:pPr>
              <w:spacing w:after="0"/>
              <w:rPr>
                <w:sz w:val="1"/>
                <w:szCs w:val="1"/>
                <w:color w:val="auto"/>
              </w:rPr>
            </w:pPr>
          </w:p>
        </w:tc>
      </w:tr>
      <w:tr>
        <w:trPr>
          <w:trHeight w:val="207"/>
        </w:trPr>
        <w:tc>
          <w:tcPr>
            <w:tcW w:w="8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Loans and leases, net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18,704,375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394,264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346,234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974,385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956,643</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assets (including $108,291 and $116,020 at fair value, respectively)</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653,929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672,330</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28,085,521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27,720,258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6,381,975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6,211,182</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17,581,037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17,249,793</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23,963,012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Accrued expense and other liabilities (including $75,294 and $93,165 at fair value, respectively)</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354,442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378,004</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24,472,597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24,288,131</w:t>
            </w:r>
          </w:p>
        </w:tc>
        <w:tc>
          <w:tcPr>
            <w:tcW w:w="0" w:type="dxa"/>
            <w:vAlign w:val="bottom"/>
          </w:tcPr>
          <w:p>
            <w:pPr>
              <w:spacing w:after="0"/>
              <w:rPr>
                <w:sz w:val="1"/>
                <w:szCs w:val="1"/>
                <w:color w:val="auto"/>
              </w:rPr>
            </w:pPr>
          </w:p>
        </w:tc>
      </w:tr>
      <w:tr>
        <w:trPr>
          <w:trHeight w:val="19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44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$1 par value: 10,000,000 shares authorized; 3,662 shares Series I issued and</w:t>
            </w: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$25,000 per share liquidation preference</w:t>
            </w:r>
          </w:p>
        </w:tc>
        <w:tc>
          <w:tcPr>
            <w:tcW w:w="2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 par value: 200,000,000 shares authorized,</w:t>
            </w:r>
          </w:p>
        </w:tc>
        <w:tc>
          <w:tcPr>
            <w:tcW w:w="2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121,431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119,364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121,431,262 and 119,364,110 shares issued and outstanding, respectively</w:t>
            </w:r>
          </w:p>
        </w:tc>
        <w:tc>
          <w:tcPr>
            <w:tcW w:w="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issuable: 592,256 and 600,168 shares, respectively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2,764,617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2,710,279</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714,138</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(212,919)</w:t>
            </w:r>
          </w:p>
        </w:tc>
        <w:tc>
          <w:tcPr>
            <w:tcW w:w="0" w:type="dxa"/>
            <w:vAlign w:val="bottom"/>
          </w:tcPr>
          <w:p>
            <w:pPr>
              <w:spacing w:after="0"/>
              <w:rPr>
                <w:sz w:val="1"/>
                <w:szCs w:val="1"/>
                <w:color w:val="auto"/>
              </w:rPr>
            </w:pPr>
          </w:p>
        </w:tc>
      </w:tr>
      <w:tr>
        <w:trPr>
          <w:trHeight w:val="209"/>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3,612,924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3,432,127</w:t>
            </w:r>
          </w:p>
        </w:tc>
        <w:tc>
          <w:tcPr>
            <w:tcW w:w="0" w:type="dxa"/>
            <w:vAlign w:val="bottom"/>
          </w:tcPr>
          <w:p>
            <w:pPr>
              <w:spacing w:after="0"/>
              <w:rPr>
                <w:sz w:val="1"/>
                <w:szCs w:val="1"/>
                <w:color w:val="auto"/>
              </w:rPr>
            </w:pPr>
          </w:p>
        </w:tc>
      </w:tr>
      <w:tr>
        <w:trPr>
          <w:trHeight w:val="212"/>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28,085,521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27,720,258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tcPr>
          <w:p>
            <w:pPr>
              <w:ind w:left="3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80" w:type="dxa"/>
            <w:vAlign w:val="bottom"/>
          </w:tcPr>
          <w:p>
            <w:pPr>
              <w:spacing w:after="0"/>
              <w:rPr>
                <w:sz w:val="15"/>
                <w:szCs w:val="15"/>
                <w:color w:val="auto"/>
              </w:rPr>
            </w:pPr>
          </w:p>
        </w:tc>
        <w:tc>
          <w:tcPr>
            <w:tcW w:w="2360" w:type="dxa"/>
            <w:vAlign w:val="bottom"/>
            <w:gridSpan w:val="4"/>
          </w:tcPr>
          <w:p>
            <w:pPr>
              <w:jc w:val="right"/>
              <w:ind w:right="648"/>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10"/>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0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6"/>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revenue:</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revenue: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5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including fees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562,340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575,578</w:t>
            </w:r>
          </w:p>
        </w:tc>
      </w:tr>
      <w:tr>
        <w:trPr>
          <w:trHeight w:val="195"/>
        </w:trPr>
        <w:tc>
          <w:tcPr>
            <w:tcW w:w="58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Investment securities, including tax exempt of $1,671, $1,699, $3,349 and $3,420, respectively</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96,499</w:t>
            </w:r>
          </w:p>
        </w:tc>
      </w:tr>
      <w:tr>
        <w:trPr>
          <w:trHeight w:val="210"/>
        </w:trPr>
        <w:tc>
          <w:tcPr>
            <w:tcW w:w="5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Deposits in banks and 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11,616</w:t>
            </w:r>
          </w:p>
        </w:tc>
      </w:tr>
      <w:tr>
        <w:trPr>
          <w:trHeight w:val="189"/>
        </w:trPr>
        <w:tc>
          <w:tcPr>
            <w:tcW w:w="58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Total interest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347,365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346,965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682,722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683,693</w:t>
            </w:r>
          </w:p>
        </w:tc>
      </w:tr>
      <w:tr>
        <w:trPr>
          <w:trHeight w:val="189"/>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5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268,246</w:t>
            </w:r>
          </w:p>
        </w:tc>
      </w:tr>
      <w:tr>
        <w:trPr>
          <w:trHeight w:val="210"/>
        </w:trPr>
        <w:tc>
          <w:tcPr>
            <w:tcW w:w="5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Short-term borrowings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5"/>
        </w:trPr>
        <w:tc>
          <w:tcPr>
            <w:tcW w:w="5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w:t>
            </w:r>
          </w:p>
        </w:tc>
      </w:tr>
      <w:tr>
        <w:trPr>
          <w:trHeight w:val="189"/>
        </w:trPr>
        <w:tc>
          <w:tcPr>
            <w:tcW w:w="5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121,834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138,265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245,170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275,844</w:t>
            </w:r>
          </w:p>
        </w:tc>
      </w:tr>
      <w:tr>
        <w:trPr>
          <w:trHeight w:val="203"/>
        </w:trPr>
        <w:tc>
          <w:tcPr>
            <w:tcW w:w="5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interest revenue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437,552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407,849</w:t>
            </w:r>
          </w:p>
        </w:tc>
      </w:tr>
      <w:tr>
        <w:trPr>
          <w:trHeight w:val="162"/>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19,884</w:t>
            </w:r>
          </w:p>
        </w:tc>
      </w:tr>
      <w:tr>
        <w:trPr>
          <w:trHeight w:val="210"/>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 gains and other related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14,310</w:t>
            </w: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Wealth management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12,699</w:t>
            </w:r>
          </w:p>
        </w:tc>
      </w:tr>
      <w:tr>
        <w:trPr>
          <w:trHeight w:val="210"/>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gains from sales of other loans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w:t>
            </w: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Lending and loan servicing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7,538</w:t>
            </w:r>
          </w:p>
        </w:tc>
      </w:tr>
      <w:tr>
        <w:trPr>
          <w:trHeight w:val="210"/>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gains,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8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18,879</w:t>
            </w:r>
          </w:p>
        </w:tc>
      </w:tr>
      <w:tr>
        <w:trPr>
          <w:trHeight w:val="203"/>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70,364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76,143</w:t>
            </w:r>
          </w:p>
        </w:tc>
      </w:tr>
      <w:tr>
        <w:trPr>
          <w:trHeight w:val="190"/>
        </w:trPr>
        <w:tc>
          <w:tcPr>
            <w:tcW w:w="5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260,239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245,256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507,916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483,992</w:t>
            </w:r>
          </w:p>
        </w:tc>
      </w:tr>
      <w:tr>
        <w:trPr>
          <w:trHeight w:val="148"/>
        </w:trPr>
        <w:tc>
          <w:tcPr>
            <w:tcW w:w="5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9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25,134</w:t>
            </w:r>
          </w:p>
        </w:tc>
      </w:tr>
      <w:tr>
        <w:trPr>
          <w:trHeight w:val="209"/>
        </w:trPr>
        <w:tc>
          <w:tcPr>
            <w:tcW w:w="5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170,803</w:t>
            </w: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23,908</w:t>
            </w:r>
          </w:p>
        </w:tc>
      </w:tr>
      <w:tr>
        <w:trPr>
          <w:trHeight w:val="210"/>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22,155</w:t>
            </w: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r>
      <w:tr>
        <w:trPr>
          <w:trHeight w:val="210"/>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w:t>
            </w: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12,032</w:t>
            </w:r>
          </w:p>
        </w:tc>
      </w:tr>
      <w:tr>
        <w:trPr>
          <w:trHeight w:val="210"/>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Lending and loan servicing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w:t>
            </w: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Outside services - electronic banking</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5,730</w:t>
            </w:r>
          </w:p>
        </w:tc>
      </w:tr>
      <w:tr>
        <w:trPr>
          <w:trHeight w:val="210"/>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12,033</w:t>
            </w: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w:t>
            </w:r>
          </w:p>
        </w:tc>
      </w:tr>
      <w:tr>
        <w:trPr>
          <w:trHeight w:val="210"/>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w:t>
            </w:r>
          </w:p>
        </w:tc>
      </w:tr>
      <w:tr>
        <w:trPr>
          <w:trHeight w:val="196"/>
        </w:trPr>
        <w:tc>
          <w:tcPr>
            <w:tcW w:w="58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20,360</w:t>
            </w:r>
          </w:p>
        </w:tc>
      </w:tr>
      <w:tr>
        <w:trPr>
          <w:trHeight w:val="203"/>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147,919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147,044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289,018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292,046</w:t>
            </w:r>
          </w:p>
        </w:tc>
      </w:tr>
      <w:tr>
        <w:trPr>
          <w:trHeight w:val="189"/>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191,661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166,812</w:t>
            </w:r>
          </w:p>
        </w:tc>
      </w:tr>
      <w:tr>
        <w:trPr>
          <w:trHeight w:val="203"/>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37,566</w:t>
            </w:r>
          </w:p>
        </w:tc>
      </w:tr>
      <w:tr>
        <w:trPr>
          <w:trHeight w:val="203"/>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78,733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66,615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150,146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129,246</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5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03"/>
        </w:trPr>
        <w:tc>
          <w:tcPr>
            <w:tcW w:w="58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76,722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64,674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146,150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125,387</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5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1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119,694</w:t>
            </w:r>
          </w:p>
        </w:tc>
      </w:tr>
      <w:tr>
        <w:trPr>
          <w:trHeight w:val="210"/>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119,763</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w:t>
      </w: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Before-tax</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Net of Tax</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0" w:type="dxa"/>
            <w:vAlign w:val="bottom"/>
          </w:tcPr>
          <w:p>
            <w:pPr>
              <w:spacing w:after="0"/>
              <w:rPr>
                <w:sz w:val="1"/>
                <w:szCs w:val="1"/>
                <w:color w:val="auto"/>
              </w:rPr>
            </w:pPr>
          </w:p>
        </w:tc>
      </w:tr>
      <w:tr>
        <w:trPr>
          <w:trHeight w:val="162"/>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20" w:type="dxa"/>
            <w:vAlign w:val="bottom"/>
            <w:gridSpan w:val="3"/>
            <w:vMerge w:val="continue"/>
          </w:tcPr>
          <w:p>
            <w:pPr>
              <w:spacing w:after="0"/>
              <w:rPr>
                <w:sz w:val="14"/>
                <w:szCs w:val="14"/>
                <w:color w:val="auto"/>
              </w:rPr>
            </w:pPr>
          </w:p>
        </w:tc>
        <w:tc>
          <w:tcPr>
            <w:tcW w:w="9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92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98"/>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191,661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150,146</w:t>
            </w:r>
          </w:p>
        </w:tc>
        <w:tc>
          <w:tcPr>
            <w:tcW w:w="0" w:type="dxa"/>
            <w:vAlign w:val="bottom"/>
          </w:tcPr>
          <w:p>
            <w:pPr>
              <w:spacing w:after="0"/>
              <w:rPr>
                <w:sz w:val="1"/>
                <w:szCs w:val="1"/>
                <w:color w:val="auto"/>
              </w:rPr>
            </w:pPr>
          </w:p>
        </w:tc>
      </w:tr>
      <w:tr>
        <w:trPr>
          <w:trHeight w:val="20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gains on available-for-sale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Unrealized holding gains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35,718</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Reclassification adjustment for gains included in net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0" w:type="dxa"/>
            <w:vAlign w:val="bottom"/>
          </w:tcPr>
          <w:p>
            <w:pPr>
              <w:spacing w:after="0"/>
              <w:rPr>
                <w:sz w:val="1"/>
                <w:szCs w:val="1"/>
                <w:color w:val="auto"/>
              </w:rPr>
            </w:pPr>
          </w:p>
        </w:tc>
      </w:tr>
      <w:tr>
        <w:trPr>
          <w:trHeight w:val="194"/>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unrealized gains on available-for-sale securities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35,496</w:t>
            </w:r>
          </w:p>
        </w:tc>
        <w:tc>
          <w:tcPr>
            <w:tcW w:w="0" w:type="dxa"/>
            <w:vAlign w:val="bottom"/>
          </w:tcPr>
          <w:p>
            <w:pPr>
              <w:spacing w:after="0"/>
              <w:rPr>
                <w:sz w:val="1"/>
                <w:szCs w:val="1"/>
                <w:color w:val="auto"/>
              </w:rPr>
            </w:pPr>
          </w:p>
        </w:tc>
      </w:tr>
      <w:tr>
        <w:trPr>
          <w:trHeight w:val="151"/>
        </w:trPr>
        <w:tc>
          <w:tcPr>
            <w:tcW w:w="5820" w:type="dxa"/>
            <w:vAlign w:val="bottom"/>
            <w:gridSpan w:val="2"/>
            <w:shd w:val="clear" w:color="auto" w:fill="CCEEFF"/>
          </w:tcPr>
          <w:p>
            <w:pPr>
              <w:ind w:left="140"/>
              <w:spacing w:after="0" w:line="151" w:lineRule="exact"/>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available-for-sale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2,996</w:t>
            </w:r>
          </w:p>
        </w:tc>
        <w:tc>
          <w:tcPr>
            <w:tcW w:w="0" w:type="dxa"/>
            <w:vAlign w:val="bottom"/>
          </w:tcPr>
          <w:p>
            <w:pPr>
              <w:spacing w:after="0"/>
              <w:rPr>
                <w:sz w:val="1"/>
                <w:szCs w:val="1"/>
                <w:color w:val="auto"/>
              </w:rPr>
            </w:pPr>
          </w:p>
        </w:tc>
      </w:tr>
      <w:tr>
        <w:trPr>
          <w:trHeight w:val="200"/>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Unrealized holding losses on derivatives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(1,036)</w:t>
            </w:r>
          </w:p>
        </w:tc>
        <w:tc>
          <w:tcPr>
            <w:tcW w:w="0" w:type="dxa"/>
            <w:vAlign w:val="bottom"/>
          </w:tcPr>
          <w:p>
            <w:pPr>
              <w:spacing w:after="0"/>
              <w:rPr>
                <w:sz w:val="1"/>
                <w:szCs w:val="1"/>
                <w:color w:val="auto"/>
              </w:rPr>
            </w:pPr>
          </w:p>
        </w:tc>
      </w:tr>
      <w:tr>
        <w:trPr>
          <w:trHeight w:val="200"/>
        </w:trPr>
        <w:tc>
          <w:tcPr>
            <w:tcW w:w="58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(1,682)</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(2,718)</w:t>
            </w:r>
          </w:p>
        </w:tc>
        <w:tc>
          <w:tcPr>
            <w:tcW w:w="0" w:type="dxa"/>
            <w:vAlign w:val="bottom"/>
          </w:tcPr>
          <w:p>
            <w:pPr>
              <w:spacing w:after="0"/>
              <w:rPr>
                <w:sz w:val="1"/>
                <w:szCs w:val="1"/>
                <w:color w:val="auto"/>
              </w:rPr>
            </w:pPr>
          </w:p>
        </w:tc>
      </w:tr>
      <w:tr>
        <w:trPr>
          <w:trHeight w:val="200"/>
        </w:trPr>
        <w:tc>
          <w:tcPr>
            <w:tcW w:w="5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9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46,610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35,749</w:t>
            </w:r>
          </w:p>
        </w:tc>
        <w:tc>
          <w:tcPr>
            <w:tcW w:w="0" w:type="dxa"/>
            <w:vAlign w:val="bottom"/>
          </w:tcPr>
          <w:p>
            <w:pPr>
              <w:spacing w:after="0"/>
              <w:rPr>
                <w:sz w:val="1"/>
                <w:szCs w:val="1"/>
                <w:color w:val="auto"/>
              </w:rPr>
            </w:pPr>
          </w:p>
        </w:tc>
      </w:tr>
      <w:tr>
        <w:trPr>
          <w:trHeight w:val="198"/>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112,657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(24,535)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88,122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238,271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(52,376)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185,895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129,246</w:t>
            </w:r>
          </w:p>
        </w:tc>
        <w:tc>
          <w:tcPr>
            <w:tcW w:w="0" w:type="dxa"/>
            <w:vAlign w:val="bottom"/>
          </w:tcPr>
          <w:p>
            <w:pPr>
              <w:spacing w:after="0"/>
              <w:rPr>
                <w:sz w:val="1"/>
                <w:szCs w:val="1"/>
                <w:color w:val="auto"/>
              </w:rPr>
            </w:pPr>
          </w:p>
        </w:tc>
      </w:tr>
      <w:tr>
        <w:trPr>
          <w:trHeight w:val="20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gains on available-for-sale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w:t>
            </w:r>
          </w:p>
        </w:tc>
        <w:tc>
          <w:tcPr>
            <w:tcW w:w="0" w:type="dxa"/>
            <w:vAlign w:val="bottom"/>
          </w:tcPr>
          <w:p>
            <w:pPr>
              <w:spacing w:after="0"/>
              <w:rPr>
                <w:sz w:val="1"/>
                <w:szCs w:val="1"/>
                <w:color w:val="auto"/>
              </w:rPr>
            </w:pPr>
          </w:p>
        </w:tc>
      </w:tr>
      <w:tr>
        <w:trPr>
          <w:trHeight w:val="148"/>
        </w:trPr>
        <w:tc>
          <w:tcPr>
            <w:tcW w:w="5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available-for-sale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3,342</w:t>
            </w:r>
          </w:p>
        </w:tc>
        <w:tc>
          <w:tcPr>
            <w:tcW w:w="0" w:type="dxa"/>
            <w:vAlign w:val="bottom"/>
          </w:tcPr>
          <w:p>
            <w:pPr>
              <w:spacing w:after="0"/>
              <w:rPr>
                <w:sz w:val="1"/>
                <w:szCs w:val="1"/>
                <w:color w:val="auto"/>
              </w:rPr>
            </w:pPr>
          </w:p>
        </w:tc>
      </w:tr>
      <w:tr>
        <w:trPr>
          <w:trHeight w:val="206"/>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Unrealized holding gains on derivatives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2,671</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(2,147)</w:t>
            </w:r>
          </w:p>
        </w:tc>
        <w:tc>
          <w:tcPr>
            <w:tcW w:w="0" w:type="dxa"/>
            <w:vAlign w:val="bottom"/>
          </w:tcPr>
          <w:p>
            <w:pPr>
              <w:spacing w:after="0"/>
              <w:rPr>
                <w:sz w:val="1"/>
                <w:szCs w:val="1"/>
                <w:color w:val="auto"/>
              </w:rPr>
            </w:pPr>
          </w:p>
        </w:tc>
      </w:tr>
      <w:tr>
        <w:trPr>
          <w:trHeight w:val="194"/>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194"/>
        </w:trPr>
        <w:tc>
          <w:tcPr>
            <w:tcW w:w="58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6,977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4,655</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(20,694)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68,713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173,789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(39,888)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133,901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 of Changes in Shareholders’ Equity </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0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119,136,518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119,137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2,702,807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614,612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(236,635)</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3,300,110</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66,615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66,615</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dividends ($0.23 per share)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(27,415)</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3,741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119,174,803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2,705,345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652,239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(234,537)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3,342,633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119,514,298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2,711,721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754,971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(186,559)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3,500,896</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78,733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78,733</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Impact of acquisition</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2,380,952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63,357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65,738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(13,942)</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dividends ($0.24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(29,541)</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4,171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121,431,262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121,431</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13,190</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2,764,617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802,590</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(177,170)</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3,612,924</w:t>
            </w:r>
          </w:p>
        </w:tc>
        <w:tc>
          <w:tcPr>
            <w:tcW w:w="0" w:type="dxa"/>
            <w:vAlign w:val="bottom"/>
          </w:tcPr>
          <w:p>
            <w:pPr>
              <w:spacing w:after="0"/>
              <w:rPr>
                <w:sz w:val="1"/>
                <w:szCs w:val="1"/>
                <w:color w:val="auto"/>
              </w:rPr>
            </w:pPr>
          </w:p>
        </w:tc>
      </w:tr>
      <w:tr>
        <w:trPr>
          <w:trHeight w:val="21"/>
        </w:trPr>
        <w:tc>
          <w:tcPr>
            <w:tcW w:w="3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119,010,319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2,699,112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581,219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(239,192)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3,261,525</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129,246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129,246</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dividends ($0.46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(55,080)</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114,691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49,793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119,174,803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119,175</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2,705,345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652,239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(234,537)</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3,342,633</w:t>
            </w:r>
          </w:p>
        </w:tc>
        <w:tc>
          <w:tcPr>
            <w:tcW w:w="0" w:type="dxa"/>
            <w:vAlign w:val="bottom"/>
          </w:tcPr>
          <w:p>
            <w:pPr>
              <w:spacing w:after="0"/>
              <w:rPr>
                <w:sz w:val="1"/>
                <w:szCs w:val="1"/>
                <w:color w:val="auto"/>
              </w:rPr>
            </w:pPr>
          </w:p>
        </w:tc>
      </w:tr>
      <w:tr>
        <w:trPr>
          <w:trHeight w:val="21"/>
        </w:trPr>
        <w:tc>
          <w:tcPr>
            <w:tcW w:w="3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119,364,110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119,364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2,710,279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714,138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(212,919)</w:t>
            </w:r>
          </w:p>
        </w:tc>
        <w:tc>
          <w:tcPr>
            <w:tcW w:w="1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3,432,127</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150,146</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35,749</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acquisitions</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2,380,952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63,357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65,738</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(13,942)</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dividends ($0.48 per share)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(58,548)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50,578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121,431,262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121,431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2,764,617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802,590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(177,170)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3,612,924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74" w:right="39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8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150,146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129,246</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amortization and accretion, net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20,616</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25,134</w:t>
            </w:r>
          </w:p>
        </w:tc>
        <w:tc>
          <w:tcPr>
            <w:tcW w:w="0" w:type="dxa"/>
            <w:vAlign w:val="bottom"/>
          </w:tcPr>
          <w:p>
            <w:pPr>
              <w:spacing w:after="0"/>
              <w:rPr>
                <w:sz w:val="1"/>
                <w:szCs w:val="1"/>
                <w:color w:val="auto"/>
              </w:rPr>
            </w:pP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0" w:type="dxa"/>
            <w:vAlign w:val="bottom"/>
          </w:tcPr>
          <w:p>
            <w:pPr>
              <w:spacing w:after="0"/>
              <w:rPr>
                <w:sz w:val="1"/>
                <w:szCs w:val="1"/>
                <w:color w:val="auto"/>
              </w:rPr>
            </w:pP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Securities gains, net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gains from sales of other loans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0" w:type="dxa"/>
            <w:vAlign w:val="bottom"/>
          </w:tcPr>
          <w:p>
            <w:pPr>
              <w:spacing w:after="0"/>
              <w:rPr>
                <w:sz w:val="1"/>
                <w:szCs w:val="1"/>
                <w:color w:val="auto"/>
              </w:rPr>
            </w:pP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FinTrust goodwill write-down</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 and other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21,574</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Loans held for sale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(16,307)</w:t>
            </w:r>
          </w:p>
        </w:tc>
        <w:tc>
          <w:tcPr>
            <w:tcW w:w="0" w:type="dxa"/>
            <w:vAlign w:val="bottom"/>
          </w:tcPr>
          <w:p>
            <w:pPr>
              <w:spacing w:after="0"/>
              <w:rPr>
                <w:sz w:val="1"/>
                <w:szCs w:val="1"/>
                <w:color w:val="auto"/>
              </w:rPr>
            </w:pPr>
          </w:p>
        </w:tc>
      </w:tr>
      <w:tr>
        <w:trPr>
          <w:trHeight w:val="20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195,468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193,901</w:t>
            </w:r>
          </w:p>
        </w:tc>
        <w:tc>
          <w:tcPr>
            <w:tcW w:w="0" w:type="dxa"/>
            <w:vAlign w:val="bottom"/>
          </w:tcPr>
          <w:p>
            <w:pPr>
              <w:spacing w:after="0"/>
              <w:rPr>
                <w:sz w:val="1"/>
                <w:szCs w:val="1"/>
                <w:color w:val="auto"/>
              </w:rPr>
            </w:pPr>
          </w:p>
        </w:tc>
      </w:tr>
      <w:tr>
        <w:trPr>
          <w:trHeight w:val="199"/>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calls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60,939</w:t>
            </w:r>
          </w:p>
        </w:tc>
        <w:tc>
          <w:tcPr>
            <w:tcW w:w="0" w:type="dxa"/>
            <w:vAlign w:val="bottom"/>
          </w:tcPr>
          <w:p>
            <w:pPr>
              <w:spacing w:after="0"/>
              <w:rPr>
                <w:sz w:val="1"/>
                <w:szCs w:val="1"/>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calls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356,110</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(635,039)</w:t>
            </w:r>
          </w:p>
        </w:tc>
        <w:tc>
          <w:tcPr>
            <w:tcW w:w="0" w:type="dxa"/>
            <w:vAlign w:val="bottom"/>
          </w:tcPr>
          <w:p>
            <w:pPr>
              <w:spacing w:after="0"/>
              <w:rPr>
                <w:sz w:val="1"/>
                <w:szCs w:val="1"/>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(increase) decrease in loans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89,127</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(97,829)</w:t>
            </w:r>
          </w:p>
        </w:tc>
        <w:tc>
          <w:tcPr>
            <w:tcW w:w="0" w:type="dxa"/>
            <w:vAlign w:val="bottom"/>
          </w:tcPr>
          <w:p>
            <w:pPr>
              <w:spacing w:after="0"/>
              <w:rPr>
                <w:sz w:val="1"/>
                <w:szCs w:val="1"/>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premises and equipment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(31,568)</w:t>
            </w:r>
          </w:p>
        </w:tc>
        <w:tc>
          <w:tcPr>
            <w:tcW w:w="0" w:type="dxa"/>
            <w:vAlign w:val="bottom"/>
          </w:tcPr>
          <w:p>
            <w:pPr>
              <w:spacing w:after="0"/>
              <w:rPr>
                <w:sz w:val="1"/>
                <w:szCs w:val="1"/>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cash received in acquisition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inflows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(247,269)</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deposits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(329,119)</w:t>
            </w:r>
          </w:p>
        </w:tc>
        <w:tc>
          <w:tcPr>
            <w:tcW w:w="0" w:type="dxa"/>
            <w:vAlign w:val="bottom"/>
          </w:tcPr>
          <w:p>
            <w:pPr>
              <w:spacing w:after="0"/>
              <w:rPr>
                <w:sz w:val="1"/>
                <w:szCs w:val="1"/>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decrease in short-term borrowings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FHLB advances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FHLB advances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(55,494)</w:t>
            </w:r>
          </w:p>
        </w:tc>
        <w:tc>
          <w:tcPr>
            <w:tcW w:w="0" w:type="dxa"/>
            <w:vAlign w:val="bottom"/>
          </w:tcPr>
          <w:p>
            <w:pPr>
              <w:spacing w:after="0"/>
              <w:rPr>
                <w:sz w:val="1"/>
                <w:szCs w:val="1"/>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dividends on preferred stock</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inflows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financing outflows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10"/>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(243,522)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(387,644)</w:t>
            </w:r>
          </w:p>
        </w:tc>
        <w:tc>
          <w:tcPr>
            <w:tcW w:w="0" w:type="dxa"/>
            <w:vAlign w:val="bottom"/>
          </w:tcPr>
          <w:p>
            <w:pPr>
              <w:spacing w:after="0"/>
              <w:rPr>
                <w:sz w:val="1"/>
                <w:szCs w:val="1"/>
                <w:color w:val="auto"/>
              </w:rPr>
            </w:pPr>
          </w:p>
        </w:tc>
      </w:tr>
      <w:tr>
        <w:trPr>
          <w:trHeight w:val="199"/>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(441,012)</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519,873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1,003,875</w:t>
            </w:r>
          </w:p>
        </w:tc>
        <w:tc>
          <w:tcPr>
            <w:tcW w:w="0" w:type="dxa"/>
            <w:vAlign w:val="bottom"/>
          </w:tcPr>
          <w:p>
            <w:pPr>
              <w:spacing w:after="0"/>
              <w:rPr>
                <w:sz w:val="1"/>
                <w:szCs w:val="1"/>
                <w:color w:val="auto"/>
              </w:rPr>
            </w:pP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562,863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ind w:left="324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68" w:right="35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2024 10-K.</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all necessary accounting adjustments have been made to fairly present the financial position and results of operations in the accompanying financial statements.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2024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Supplemental Cash Flow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schedule of significant non-cash investing and financing activities for the six months ended June 30, 2025 and 2024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fund other investments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9,214</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 acquired</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Liabilities assumed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issued for net assets acquired</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ANB</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 2025, United acquired all of the outstanding common stock of ANB in a stock transaction. ANB operated one banking location in Oakland Park, Florida, which facilitated United’s expansion within that market. United’s operating results for the three and six months ended June 30, 2025 include the operating results of the acquired business for the period subsequent to the acquisition date of May 1, 2025.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6"/>
                <w:szCs w:val="16"/>
                <w:b w:val="1"/>
                <w:bCs w:val="1"/>
                <w:color w:val="auto"/>
              </w:rPr>
              <w:t>ANB</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2"/>
        </w:trPr>
        <w:tc>
          <w:tcPr>
            <w:tcW w:w="1940" w:type="dxa"/>
            <w:vAlign w:val="bottom"/>
          </w:tcPr>
          <w:p>
            <w:pPr>
              <w:spacing w:after="0"/>
              <w:rPr>
                <w:sz w:val="18"/>
                <w:szCs w:val="18"/>
                <w:color w:val="auto"/>
              </w:rPr>
            </w:pPr>
          </w:p>
        </w:tc>
        <w:tc>
          <w:tcPr>
            <w:tcW w:w="5740" w:type="dxa"/>
            <w:vAlign w:val="bottom"/>
            <w:tcBorders>
              <w:bottom w:val="single" w:sz="8" w:color="auto"/>
            </w:tcBorders>
          </w:tcPr>
          <w:p>
            <w:pPr>
              <w:ind w:left="25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Fair Value Recorded by United </w:t>
            </w:r>
            <w:r>
              <w:rPr>
                <w:rFonts w:ascii="Times New Roman" w:cs="Times New Roman" w:eastAsia="Times New Roman" w:hAnsi="Times New Roman"/>
                <w:sz w:val="21"/>
                <w:szCs w:val="21"/>
                <w:b w:val="1"/>
                <w:bCs w:val="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Pr>
          <w:p>
            <w:pPr>
              <w:spacing w:after="0"/>
              <w:rPr>
                <w:sz w:val="18"/>
                <w:szCs w:val="18"/>
                <w:color w:val="auto"/>
              </w:rPr>
            </w:pPr>
          </w:p>
        </w:tc>
      </w:tr>
      <w:tr>
        <w:trPr>
          <w:trHeight w:val="208"/>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May 1, 2025</w:t>
            </w:r>
          </w:p>
        </w:tc>
        <w:tc>
          <w:tcPr>
            <w:tcW w:w="1960" w:type="dxa"/>
            <w:vAlign w:val="bottom"/>
            <w:tcBorders>
              <w:bottom w:val="single" w:sz="8" w:color="CCEEFF"/>
            </w:tcBorders>
          </w:tcPr>
          <w:p>
            <w:pPr>
              <w:spacing w:after="0"/>
              <w:rPr>
                <w:sz w:val="18"/>
                <w:szCs w:val="18"/>
                <w:color w:val="auto"/>
              </w:rPr>
            </w:pPr>
          </w:p>
        </w:tc>
      </w:tr>
      <w:tr>
        <w:trPr>
          <w:trHeight w:val="198"/>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41,246</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56,503</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301,303</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13,822</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960" w:type="dxa"/>
            <w:vAlign w:val="bottom"/>
            <w:tcBorders>
              <w:bottom w:val="single" w:sz="8" w:color="CCEEFF"/>
            </w:tcBorders>
          </w:tcPr>
          <w:p>
            <w:pPr>
              <w:spacing w:after="0"/>
              <w:rPr>
                <w:sz w:val="18"/>
                <w:szCs w:val="18"/>
                <w:color w:val="auto"/>
              </w:rPr>
            </w:pPr>
          </w:p>
        </w:tc>
      </w:tr>
      <w:tr>
        <w:trPr>
          <w:trHeight w:val="212"/>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428,475</w:t>
            </w:r>
          </w:p>
        </w:tc>
        <w:tc>
          <w:tcPr>
            <w:tcW w:w="1960" w:type="dxa"/>
            <w:vAlign w:val="bottom"/>
            <w:shd w:val="clear" w:color="auto" w:fill="CCEEFF"/>
          </w:tcPr>
          <w:p>
            <w:pPr>
              <w:spacing w:after="0"/>
              <w:rPr>
                <w:sz w:val="18"/>
                <w:szCs w:val="18"/>
                <w:color w:val="auto"/>
              </w:rPr>
            </w:pPr>
          </w:p>
        </w:tc>
      </w:tr>
      <w:tr>
        <w:trPr>
          <w:trHeight w:val="194"/>
        </w:trPr>
        <w:tc>
          <w:tcPr>
            <w:tcW w:w="1940" w:type="dxa"/>
            <w:vAlign w:val="bottom"/>
          </w:tcPr>
          <w:p>
            <w:pPr>
              <w:spacing w:after="0"/>
              <w:rPr>
                <w:sz w:val="16"/>
                <w:szCs w:val="16"/>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8"/>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374,468</w:t>
            </w:r>
          </w:p>
        </w:tc>
        <w:tc>
          <w:tcPr>
            <w:tcW w:w="1960" w:type="dxa"/>
            <w:vAlign w:val="bottom"/>
            <w:shd w:val="clear" w:color="auto" w:fill="CCEEFF"/>
          </w:tcPr>
          <w:p>
            <w:pPr>
              <w:spacing w:after="0"/>
              <w:rPr>
                <w:sz w:val="18"/>
                <w:szCs w:val="18"/>
                <w:color w:val="auto"/>
              </w:rPr>
            </w:pPr>
          </w:p>
        </w:tc>
      </w:tr>
      <w:tr>
        <w:trPr>
          <w:trHeight w:val="213"/>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6,298</w:t>
            </w:r>
          </w:p>
        </w:tc>
        <w:tc>
          <w:tcPr>
            <w:tcW w:w="1960" w:type="dxa"/>
            <w:vAlign w:val="bottom"/>
            <w:tcBorders>
              <w:bottom w:val="single" w:sz="8" w:color="CCEEFF"/>
            </w:tcBorders>
          </w:tcPr>
          <w:p>
            <w:pPr>
              <w:spacing w:after="0"/>
              <w:rPr>
                <w:sz w:val="18"/>
                <w:szCs w:val="18"/>
                <w:color w:val="auto"/>
              </w:rPr>
            </w:pPr>
          </w:p>
        </w:tc>
      </w:tr>
      <w:tr>
        <w:trPr>
          <w:trHeight w:val="212"/>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380,766</w:t>
            </w:r>
          </w:p>
        </w:tc>
        <w:tc>
          <w:tcPr>
            <w:tcW w:w="1960" w:type="dxa"/>
            <w:vAlign w:val="bottom"/>
            <w:shd w:val="clear" w:color="auto" w:fill="CCEEFF"/>
          </w:tcPr>
          <w:p>
            <w:pPr>
              <w:spacing w:after="0"/>
              <w:rPr>
                <w:sz w:val="18"/>
                <w:szCs w:val="18"/>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47,709</w:t>
            </w:r>
          </w:p>
        </w:tc>
        <w:tc>
          <w:tcPr>
            <w:tcW w:w="1960" w:type="dxa"/>
            <w:vAlign w:val="bottom"/>
            <w:tcBorders>
              <w:bottom w:val="single" w:sz="8" w:color="CCEEFF"/>
            </w:tcBorders>
          </w:tcPr>
          <w:p>
            <w:pPr>
              <w:spacing w:after="0"/>
              <w:rPr>
                <w:sz w:val="17"/>
                <w:szCs w:val="17"/>
                <w:color w:val="auto"/>
              </w:rPr>
            </w:pPr>
          </w:p>
        </w:tc>
      </w:tr>
      <w:tr>
        <w:trPr>
          <w:trHeight w:val="199"/>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Common stock issued (2,380,952 shares)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65,738</w:t>
            </w:r>
          </w:p>
        </w:tc>
        <w:tc>
          <w:tcPr>
            <w:tcW w:w="1960" w:type="dxa"/>
            <w:vAlign w:val="bottom"/>
            <w:tcBorders>
              <w:bottom w:val="single" w:sz="8" w:color="CCEEFF"/>
            </w:tcBorders>
          </w:tcPr>
          <w:p>
            <w:pPr>
              <w:spacing w:after="0"/>
              <w:rPr>
                <w:sz w:val="18"/>
                <w:szCs w:val="18"/>
                <w:color w:val="auto"/>
              </w:rPr>
            </w:pPr>
          </w:p>
        </w:tc>
      </w:tr>
      <w:tr>
        <w:trPr>
          <w:trHeight w:val="237"/>
        </w:trPr>
        <w:tc>
          <w:tcPr>
            <w:tcW w:w="194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81" w:lineRule="exact"/>
        <w:rPr>
          <w:sz w:val="20"/>
          <w:szCs w:val="20"/>
          <w:color w:val="auto"/>
        </w:rPr>
      </w:pPr>
    </w:p>
    <w:p>
      <w:pPr>
        <w:ind w:firstLine="8"/>
        <w:spacing w:after="0" w:line="238" w:lineRule="auto"/>
        <w:tabs>
          <w:tab w:leader="none" w:pos="166"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intangible value of ANB’s business and reputation within the markets it served and is not expected to be deductible for income tax purposes. The ANB core deposit intangible will be amortized over 10 years using the sum-of-the-years-digits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related to the acquired ANB loan portfolio at the acquisition date.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May 1, 2025</w:t>
            </w:r>
          </w:p>
        </w:tc>
      </w:tr>
      <w:tr>
        <w:trPr>
          <w:trHeight w:val="199"/>
        </w:trPr>
        <w:tc>
          <w:tcPr>
            <w:tcW w:w="7140" w:type="dxa"/>
            <w:vAlign w:val="bottom"/>
            <w:tcBorders>
              <w:top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PCD Loans</w:t>
            </w:r>
          </w:p>
        </w:tc>
        <w:tc>
          <w:tcPr>
            <w:tcW w:w="2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Par value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42,649</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ACL at acquisition</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230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2300"/>
              <w:spacing w:after="0"/>
              <w:rPr>
                <w:sz w:val="20"/>
                <w:szCs w:val="20"/>
                <w:color w:val="auto"/>
              </w:rPr>
            </w:pPr>
            <w:r>
              <w:rPr>
                <w:rFonts w:ascii="Times New Roman" w:cs="Times New Roman" w:eastAsia="Times New Roman" w:hAnsi="Times New Roman"/>
                <w:sz w:val="16"/>
                <w:szCs w:val="16"/>
                <w:color w:val="auto"/>
              </w:rPr>
              <w:t>Non-credit discount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2300" w:type="dxa"/>
            <w:vAlign w:val="bottom"/>
            <w:tcBorders>
              <w:bottom w:val="single" w:sz="8" w:color="CCEEFF"/>
            </w:tcBorders>
          </w:tcPr>
          <w:p>
            <w:pPr>
              <w:spacing w:after="0"/>
              <w:rPr>
                <w:sz w:val="18"/>
                <w:szCs w:val="18"/>
                <w:color w:val="auto"/>
              </w:rPr>
            </w:pPr>
          </w:p>
        </w:tc>
      </w:tr>
      <w:tr>
        <w:trPr>
          <w:trHeight w:val="237"/>
        </w:trPr>
        <w:tc>
          <w:tcPr>
            <w:tcW w:w="714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Purchase price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38,400</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6"/>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Non- PCD:</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Fair value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262,903</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325,973</w:t>
            </w:r>
          </w:p>
        </w:tc>
        <w:tc>
          <w:tcPr>
            <w:tcW w:w="2300" w:type="dxa"/>
            <w:vAlign w:val="bottom"/>
            <w:shd w:val="clear" w:color="auto" w:fill="CCEEFF"/>
          </w:tcPr>
          <w:p>
            <w:pPr>
              <w:spacing w:after="0"/>
              <w:rPr>
                <w:sz w:val="19"/>
                <w:szCs w:val="19"/>
                <w:color w:val="auto"/>
              </w:rPr>
            </w:pPr>
          </w:p>
        </w:tc>
      </w:tr>
      <w:tr>
        <w:trPr>
          <w:trHeight w:val="210"/>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2300" w:type="dxa"/>
            <w:vAlign w:val="bottom"/>
          </w:tcPr>
          <w:p>
            <w:pPr>
              <w:spacing w:after="0"/>
              <w:rPr>
                <w:sz w:val="18"/>
                <w:szCs w:val="18"/>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discloses the impact of the ANB acquisition since the acquisition date. The table also presents certain pro forma information as if ANB had been acquired on January 1, 2024. These results combine the historical results of the acquired entity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 taken place in an earlier year.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ANB merger-related costs for the three and six months ended June 30, 2025 of $8.93 million and $9.13 million, respectively, have been excluded from the pro forma information for those periods and included in the three and six months ended June 30, 2024 pro forma information. The actual results and pro forma information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228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200" w:type="dxa"/>
            <w:vAlign w:val="bottom"/>
          </w:tcPr>
          <w:p>
            <w:pPr>
              <w:spacing w:after="0"/>
              <w:rPr>
                <w:sz w:val="18"/>
                <w:szCs w:val="18"/>
                <w:color w:val="auto"/>
              </w:rPr>
            </w:pPr>
          </w:p>
        </w:tc>
        <w:tc>
          <w:tcPr>
            <w:tcW w:w="2280" w:type="dxa"/>
            <w:vAlign w:val="bottom"/>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Net Income</w:t>
            </w:r>
          </w:p>
        </w:tc>
      </w:tr>
      <w:tr>
        <w:trPr>
          <w:trHeight w:val="21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CCEEFF"/>
            </w:tcBorders>
          </w:tcPr>
          <w:p>
            <w:pPr>
              <w:spacing w:after="0"/>
              <w:rPr>
                <w:sz w:val="18"/>
                <w:szCs w:val="18"/>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ANB results included in statement of income since acquisition date</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(1,026)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ANB had been acquired January 1, 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81,944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154,518</w:t>
            </w:r>
          </w:p>
        </w:tc>
      </w:tr>
      <w:tr>
        <w:trPr>
          <w:trHeight w:val="273"/>
        </w:trPr>
        <w:tc>
          <w:tcPr>
            <w:tcW w:w="6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14"/>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r>
      <w:tr>
        <w:trPr>
          <w:trHeight w:val="21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ANB had been acquired January 1, 2024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61,135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122,791</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 Securities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HTM debt securities as of the dates indicated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86,247</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233,610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1,040,280</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543,968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12,919</w:t>
            </w:r>
          </w:p>
        </w:tc>
        <w:tc>
          <w:tcPr>
            <w:tcW w:w="0" w:type="dxa"/>
            <w:vAlign w:val="bottom"/>
          </w:tcPr>
          <w:p>
            <w:pPr>
              <w:spacing w:after="0"/>
              <w:rPr>
                <w:sz w:val="1"/>
                <w:szCs w:val="1"/>
                <w:color w:val="auto"/>
              </w:rPr>
            </w:pP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2,306,730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371,010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1,935,748</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234,296</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1,058,504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537,982</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1,944,126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AFS debt securities as of the dates indicated are presented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339,348</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334,492</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295,691</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157,422</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1,803,976</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275,836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761,136</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137,830</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302,387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301,020</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4,243,667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4,075,323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511,994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503,669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320,267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158,232</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1,946,031</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283,928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809,910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152,620</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4,664,300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4,436,291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carrying value of pledged securities totaled $2.81 billion and $3.20 billion, respectively. Securities were pledged primarily to secure public deposits.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gross unrealized losses of HTM debt securities as of the dates indicated based on the length of time that individual securities have been in a continuous unrealized loss position.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gridSpan w:val="11"/>
          </w:tcPr>
          <w:p>
            <w:pPr>
              <w:ind w:left="680"/>
              <w:spacing w:after="0"/>
              <w:rPr>
                <w:sz w:val="20"/>
                <w:szCs w:val="20"/>
                <w:color w:val="auto"/>
              </w:rPr>
            </w:pPr>
            <w:r>
              <w:rPr>
                <w:rFonts w:ascii="Times New Roman" w:cs="Times New Roman" w:eastAsia="Times New Roman" w:hAnsi="Times New Roman"/>
                <w:sz w:val="16"/>
                <w:szCs w:val="16"/>
                <w:b w:val="1"/>
                <w:bCs w:val="1"/>
                <w:color w:val="auto"/>
              </w:rPr>
              <w:t>Length of Time in Unrealized Loss Position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53,371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192,516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1,912,217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1,925,415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371,010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0" w:type="dxa"/>
            <w:vAlign w:val="bottom"/>
          </w:tcPr>
          <w:p>
            <w:pPr>
              <w:spacing w:after="0"/>
              <w:rPr>
                <w:sz w:val="1"/>
                <w:szCs w:val="1"/>
                <w:color w:val="auto"/>
              </w:rPr>
            </w:pPr>
          </w:p>
        </w:tc>
      </w:tr>
      <w:tr>
        <w:trPr>
          <w:trHeight w:val="213"/>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1,940,643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423,992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gross unrealized losses of AFS debt securities as of the dates indicated based on the length of time that individual securities have been in a continuous unrealized loss position.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gridSpan w:val="11"/>
          </w:tcPr>
          <w:p>
            <w:pPr>
              <w:ind w:left="680"/>
              <w:spacing w:after="0"/>
              <w:rPr>
                <w:sz w:val="20"/>
                <w:szCs w:val="20"/>
                <w:color w:val="auto"/>
              </w:rPr>
            </w:pPr>
            <w:r>
              <w:rPr>
                <w:rFonts w:ascii="Times New Roman" w:cs="Times New Roman" w:eastAsia="Times New Roman" w:hAnsi="Times New Roman"/>
                <w:sz w:val="16"/>
                <w:szCs w:val="16"/>
                <w:b w:val="1"/>
                <w:bCs w:val="1"/>
                <w:color w:val="auto"/>
              </w:rPr>
              <w:t>Length of Time in Unrealized Loss Position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108,842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108,842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194,903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2,121,697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2,735,602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179,532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896,691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1,669,948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125,833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64,271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111,141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2,215,647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3,442,072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there were 519 AFS debt securities and 300 HTM debt securities that were in an unrealized loss position. United does not intend to sell nor does it believe it will be required to sell securities in an unrealized loss position prior to the recovery of their amortized cost basis. Unrealized losses at June 30, 2025 were primarily attributable to changes in interest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and December 31, 2024, the majority of HTM securities were considered to have a zero loss assumption for ACL purposes. For the remaining HTM securities, primarily those issued by state and political subdivisions, calculated credit losses, and, thus, the related ACL were de minimis due to the high credit quality of the portfolio. As a result, no ACL was recorded on the HTM portfolio at June 30, 2025 and December 31, 2024. In addition, based on the assessments performed at June 30, 2025 and December 31, 2024, there was no ACL required related to the AFS portfolio.</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accrued interest receivable on HTM and AFS debt securities, which was excluded from the estimate of credit losses,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Accrued Interest Receivable</w:t>
            </w:r>
          </w:p>
        </w:tc>
      </w:tr>
      <w:tr>
        <w:trPr>
          <w:trHeight w:val="214"/>
        </w:trPr>
        <w:tc>
          <w:tcPr>
            <w:tcW w:w="4820" w:type="dxa"/>
            <w:vAlign w:val="bottom"/>
          </w:tcPr>
          <w:p>
            <w:pPr>
              <w:ind w:left="26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80" w:type="dxa"/>
            <w:vAlign w:val="bottom"/>
          </w:tcPr>
          <w:p>
            <w:pPr>
              <w:spacing w:after="0"/>
              <w:rPr>
                <w:sz w:val="18"/>
                <w:szCs w:val="18"/>
                <w:color w:val="auto"/>
              </w:rPr>
            </w:pPr>
          </w:p>
        </w:tc>
      </w:tr>
      <w:tr>
        <w:trPr>
          <w:trHeight w:val="211"/>
        </w:trPr>
        <w:tc>
          <w:tcPr>
            <w:tcW w:w="48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HTM</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AFS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18,201</w:t>
            </w:r>
          </w:p>
        </w:tc>
        <w:tc>
          <w:tcPr>
            <w:tcW w:w="26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AFS and HTM debt securities at June 30, 2025, by contractual maturity, are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124,053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124,328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133,242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18,724</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33,356</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410,564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395,188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52,080</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66,446</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67,886</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12,919</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268,791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170,529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147,251</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19,801</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128,665</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151,257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145,330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191,239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148,466</w:t>
            </w: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not due at a single maturity date: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2,184,488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2,079,812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1,232,783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1,040,280</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792,938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769,056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543,968</w:t>
            </w:r>
          </w:p>
        </w:tc>
      </w:tr>
      <w:tr>
        <w:trPr>
          <w:trHeight w:val="209"/>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3,279,813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3,149,888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1,885,885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1,584,248</w:t>
            </w:r>
          </w:p>
        </w:tc>
      </w:tr>
      <w:tr>
        <w:trPr>
          <w:trHeight w:val="219"/>
        </w:trPr>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4,243,667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4,075,323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2,306,730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1,935,748</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gains and losses are derived using the specific identification method for determining the cost of securities sold. The following table summarizes AFS securities sales activity for the three and six months ended June 30, 2025 and 2024</w:t>
      </w:r>
      <w:r>
        <w:rPr>
          <w:rFonts w:ascii="Times New Roman" w:cs="Times New Roman" w:eastAsia="Times New Roman" w:hAnsi="Times New Roman"/>
          <w:sz w:val="18"/>
          <w:szCs w:val="18"/>
          <w:i w:val="1"/>
          <w:i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20" w:type="dxa"/>
            <w:vAlign w:val="bottom"/>
          </w:tcPr>
          <w:p>
            <w:pPr>
              <w:spacing w:after="0"/>
              <w:rPr>
                <w:sz w:val="16"/>
                <w:szCs w:val="16"/>
                <w:color w:val="auto"/>
              </w:rPr>
            </w:pPr>
          </w:p>
        </w:tc>
      </w:tr>
      <w:tr>
        <w:trPr>
          <w:trHeight w:val="212"/>
        </w:trPr>
        <w:tc>
          <w:tcPr>
            <w:tcW w:w="48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11"/>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23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205,433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258,909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realized gains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realized losses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gains, net</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attributable to sales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Investments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table below reflects the carrying value of certain equity investments, which are included in other assets on the consolidated balance sheet, as of the dates indicated.</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480" w:type="dxa"/>
            <w:vAlign w:val="bottom"/>
            <w:tcBorders>
              <w:top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Federal Reserve stock</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88,008</w:t>
            </w:r>
          </w:p>
        </w:tc>
        <w:tc>
          <w:tcPr>
            <w:tcW w:w="1460" w:type="dxa"/>
            <w:vAlign w:val="bottom"/>
            <w:tcBorders>
              <w:top w:val="single" w:sz="8" w:color="CCEEFF"/>
            </w:tcBorders>
            <w:shd w:val="clear" w:color="auto" w:fill="CCEEFF"/>
          </w:tcPr>
          <w:p>
            <w:pPr>
              <w:spacing w:after="0"/>
              <w:rPr>
                <w:sz w:val="18"/>
                <w:szCs w:val="18"/>
                <w:color w:val="auto"/>
              </w:rPr>
            </w:pPr>
          </w:p>
        </w:tc>
      </w:tr>
      <w:tr>
        <w:trPr>
          <w:trHeight w:val="213"/>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FHLB stock</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18,051</w:t>
            </w:r>
          </w:p>
        </w:tc>
        <w:tc>
          <w:tcPr>
            <w:tcW w:w="1460" w:type="dxa"/>
            <w:vAlign w:val="bottom"/>
          </w:tcPr>
          <w:p>
            <w:pPr>
              <w:spacing w:after="0"/>
              <w:rPr>
                <w:sz w:val="18"/>
                <w:szCs w:val="18"/>
                <w:color w:val="auto"/>
              </w:rPr>
            </w:pPr>
          </w:p>
        </w:tc>
      </w:tr>
      <w:tr>
        <w:trPr>
          <w:trHeight w:val="219"/>
        </w:trPr>
        <w:tc>
          <w:tcPr>
            <w:tcW w:w="54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46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 and Leases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Major classifications of the loan and lease portfolio (collectively referred to as the “loan portfolio” or “loans”) are summarized as of the dates indicated as follows. At June 30, 2025, remaining manufactured housing loans of $1.38 million are classified as consumer because manufactured housing is no longer a significant component of loans following the sale of substantially all of that portfolio in 2024.</w:t>
      </w:r>
    </w:p>
    <w:p>
      <w:pPr>
        <w:spacing w:after="0" w:line="200" w:lineRule="exact"/>
        <w:rPr>
          <w:sz w:val="20"/>
          <w:szCs w:val="20"/>
          <w:color w:val="auto"/>
        </w:rPr>
      </w:pP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622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Owner occupied CRE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3,563,126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1160" w:type="dxa"/>
            <w:vAlign w:val="bottom"/>
            <w:tcBorders>
              <w:top w:val="single" w:sz="8" w:color="CCEEFF"/>
            </w:tcBorders>
            <w:shd w:val="clear" w:color="auto" w:fill="CCEEFF"/>
          </w:tcPr>
          <w:p>
            <w:pPr>
              <w:spacing w:after="0"/>
              <w:rPr>
                <w:sz w:val="18"/>
                <w:szCs w:val="18"/>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Income producing CRE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4,548,235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Commercial construction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Equipment financing</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1,777,936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commercial</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14,156,507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mortgage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Home equity</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Manufactured housing</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loans excluding fair value hedge basis adjustment</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18,912,179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Fair value hedge basis adjustment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loans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18,920,875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18,175,980</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Less ACL - loans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1160" w:type="dxa"/>
            <w:vAlign w:val="bottom"/>
            <w:shd w:val="clear" w:color="auto" w:fill="CCEEFF"/>
          </w:tcPr>
          <w:p>
            <w:pPr>
              <w:spacing w:after="0"/>
              <w:rPr>
                <w:sz w:val="19"/>
                <w:szCs w:val="19"/>
                <w:color w:val="auto"/>
              </w:rPr>
            </w:pPr>
          </w:p>
        </w:tc>
      </w:tr>
      <w:tr>
        <w:trPr>
          <w:trHeight w:val="210"/>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Loans,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18,704,375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116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loans totaled $58.6 million and $60.1 million at June 30, 2025 and December 31, 2024, respectively, and was reported in other assets on the consolidated balance sheets. Accrued interest receivable was excluded from the estimate of credit losses.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loan portfolio included certain loans specifically pledged to the Federal Reserve as well as loans covered by a blanket lien on qualifying loan types with the FHLB to secure contingent funding sources.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of certain loans held for investment that were sold in the periods indicated. The net gain on these loan sales were included in noninterest income on the consolidated statements of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314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27,699</w:t>
            </w: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36,714</w:t>
            </w:r>
          </w:p>
        </w:tc>
      </w:tr>
      <w:tr>
        <w:trPr>
          <w:trHeight w:val="237"/>
        </w:trPr>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Past Due and Nonaccrual Loans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aging of the amortized cost basis in loans by aging category and accrual status as of the dates indicated. Past due status is based on contractual terms of the loan. The accrual of interest is generally discontinued when a loan becomes 90 days past due.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2"/>
        </w:trPr>
        <w:tc>
          <w:tcPr>
            <w:tcW w:w="426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3,553,328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3,563,126</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4,532,716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4,548,235</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2,515,360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1,751,850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1,777,936</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14,090,929</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14,156,507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3,210,430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1,173,748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1,180,455</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173,829</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190,958</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18,805,812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18,912,179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3,381,622</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4,333,651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2,395,889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1,644,721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0" w:type="dxa"/>
            <w:vAlign w:val="bottom"/>
          </w:tcPr>
          <w:p>
            <w:pPr>
              <w:spacing w:after="0"/>
              <w:rPr>
                <w:sz w:val="1"/>
                <w:szCs w:val="1"/>
                <w:color w:val="auto"/>
              </w:rPr>
            </w:pPr>
          </w:p>
        </w:tc>
      </w:tr>
      <w:tr>
        <w:trPr>
          <w:trHeight w:val="212"/>
        </w:trPr>
        <w:tc>
          <w:tcPr>
            <w:tcW w:w="42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13,402,058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3,199,956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18,024,095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nonaccrual loans held for investment by loan class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29,339</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0" w:type="dxa"/>
            <w:vAlign w:val="bottom"/>
          </w:tcPr>
          <w:p>
            <w:pPr>
              <w:spacing w:after="0"/>
              <w:rPr>
                <w:sz w:val="1"/>
                <w:szCs w:val="1"/>
                <w:color w:val="auto"/>
              </w:rPr>
            </w:pPr>
          </w:p>
        </w:tc>
      </w:tr>
      <w:tr>
        <w:trPr>
          <w:trHeight w:val="207"/>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24,615</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54,331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80,452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70,123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113,579</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United had $36.0 million and $75.1 million, respectively, in loans for which repayment is expected to be provided substantially through the operation or sale of the collateral. Estimated credit losses for these loans are based on the net realizable value of the collateral relative to the amortized cost of the loan. The majority of these loans are income producing CRE and commercial and industrial loans.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 Receivables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equipment financing portfolio includes sales-type and direct financing lease receivables. The components of the net investment in these lease receivables as of June 30, 2025 and December 31, 2024 are provided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97,793</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Initial direct costs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Security deposits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Unearned income</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(15,412)</w:t>
            </w:r>
          </w:p>
        </w:tc>
        <w:tc>
          <w:tcPr>
            <w:tcW w:w="1620" w:type="dxa"/>
            <w:vAlign w:val="bottom"/>
            <w:shd w:val="clear" w:color="auto" w:fill="CCEEFF"/>
          </w:tcPr>
          <w:p>
            <w:pPr>
              <w:spacing w:after="0"/>
              <w:rPr>
                <w:sz w:val="18"/>
                <w:szCs w:val="18"/>
                <w:color w:val="auto"/>
              </w:rPr>
            </w:pPr>
          </w:p>
        </w:tc>
      </w:tr>
      <w:tr>
        <w:trPr>
          <w:trHeight w:val="212"/>
        </w:trPr>
        <w:tc>
          <w:tcPr>
            <w:tcW w:w="576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 investment in leases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98,016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89,495</w:t>
            </w:r>
          </w:p>
        </w:tc>
        <w:tc>
          <w:tcPr>
            <w:tcW w:w="162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future lease payments expected to be received from equipment financing lease contracts as of June 30, 2025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2680" w:type="dxa"/>
            <w:vAlign w:val="bottom"/>
            <w:tcBorders>
              <w:bottom w:val="single" w:sz="8" w:color="CCEEFF"/>
            </w:tcBorders>
          </w:tcPr>
          <w:p>
            <w:pPr>
              <w:spacing w:after="0"/>
              <w:rPr>
                <w:sz w:val="19"/>
                <w:szCs w:val="19"/>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r>
      <w:tr>
        <w:trPr>
          <w:trHeight w:val="213"/>
        </w:trPr>
        <w:tc>
          <w:tcPr>
            <w:tcW w:w="2680" w:type="dxa"/>
            <w:vAlign w:val="bottom"/>
            <w:shd w:val="clear" w:color="auto" w:fill="CCEEFF"/>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2680" w:type="dxa"/>
            <w:vAlign w:val="bottom"/>
            <w:shd w:val="clear" w:color="auto" w:fill="CCEEFF"/>
          </w:tcPr>
          <w:p>
            <w:pPr>
              <w:spacing w:after="0"/>
              <w:rPr>
                <w:sz w:val="18"/>
                <w:szCs w:val="18"/>
                <w:color w:val="auto"/>
              </w:rPr>
            </w:pPr>
          </w:p>
        </w:tc>
      </w:tr>
      <w:tr>
        <w:trPr>
          <w:trHeight w:val="213"/>
        </w:trPr>
        <w:tc>
          <w:tcPr>
            <w:tcW w:w="698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2026</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33,831</w:t>
            </w:r>
          </w:p>
        </w:tc>
        <w:tc>
          <w:tcPr>
            <w:tcW w:w="2680" w:type="dxa"/>
            <w:vAlign w:val="bottom"/>
          </w:tcPr>
          <w:p>
            <w:pPr>
              <w:spacing w:after="0"/>
              <w:rPr>
                <w:sz w:val="18"/>
                <w:szCs w:val="18"/>
                <w:color w:val="auto"/>
              </w:rPr>
            </w:pPr>
          </w:p>
        </w:tc>
      </w:tr>
      <w:tr>
        <w:trPr>
          <w:trHeight w:val="219"/>
        </w:trPr>
        <w:tc>
          <w:tcPr>
            <w:tcW w:w="698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2027</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26,955</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2028</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17,182</w:t>
            </w:r>
          </w:p>
        </w:tc>
        <w:tc>
          <w:tcPr>
            <w:tcW w:w="2680" w:type="dxa"/>
            <w:vAlign w:val="bottom"/>
          </w:tcPr>
          <w:p>
            <w:pPr>
              <w:spacing w:after="0"/>
              <w:rPr>
                <w:sz w:val="18"/>
                <w:szCs w:val="18"/>
                <w:color w:val="auto"/>
              </w:rPr>
            </w:pPr>
          </w:p>
        </w:tc>
      </w:tr>
      <w:tr>
        <w:trPr>
          <w:trHeight w:val="219"/>
        </w:trPr>
        <w:tc>
          <w:tcPr>
            <w:tcW w:w="698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2029</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2680" w:type="dxa"/>
            <w:vAlign w:val="bottom"/>
            <w:shd w:val="clear" w:color="auto" w:fill="CCEEFF"/>
          </w:tcPr>
          <w:p>
            <w:pPr>
              <w:spacing w:after="0"/>
              <w:rPr>
                <w:sz w:val="19"/>
                <w:szCs w:val="19"/>
                <w:color w:val="auto"/>
              </w:rPr>
            </w:pPr>
          </w:p>
        </w:tc>
      </w:tr>
      <w:tr>
        <w:trPr>
          <w:trHeight w:val="213"/>
        </w:trPr>
        <w:tc>
          <w:tcPr>
            <w:tcW w:w="268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2680" w:type="dxa"/>
            <w:vAlign w:val="bottom"/>
            <w:tcBorders>
              <w:bottom w:val="single" w:sz="8" w:color="CCEEFF"/>
            </w:tcBorders>
          </w:tcPr>
          <w:p>
            <w:pPr>
              <w:spacing w:after="0"/>
              <w:rPr>
                <w:sz w:val="18"/>
                <w:szCs w:val="18"/>
                <w:color w:val="auto"/>
              </w:rPr>
            </w:pPr>
          </w:p>
        </w:tc>
      </w:tr>
      <w:tr>
        <w:trPr>
          <w:trHeight w:val="237"/>
        </w:trPr>
        <w:tc>
          <w:tcPr>
            <w:tcW w:w="268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106,362</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Quality Indicators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utilizes internal risk ratings as the primary credit quality indicator as outlined below:</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Commercial Purpose Loans. </w:t>
      </w:r>
      <w:r>
        <w:rPr>
          <w:rFonts w:ascii="Times New Roman" w:cs="Times New Roman" w:eastAsia="Times New Roman" w:hAnsi="Times New Roman"/>
          <w:sz w:val="18"/>
          <w:szCs w:val="18"/>
          <w:color w:val="auto"/>
        </w:rPr>
        <w:t>United analyzes commercial loans individually on an ongoing basis based on relevant information about the 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to service their debt such as: current financial information, historical payment experience, public information, and current industry and economic trends, among other factors. Commercial loans are categorized by the credit risk ratings of Pass, Special Mention, Substandard and Doubtful. Special Mention, Substandard and Doubtful ratings are defined by regulatory authorities and represent an elevated level of risk due to weaknesses identified related to the credit and/or borrower. Ratings within these categories are based on the severity of the weakness and the likelihood of repayment. Pass loans are considered to have a low probability of default and do not meet the criteria of the other ratings.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Consumer Purpose Loans. </w:t>
      </w:r>
      <w:r>
        <w:rPr>
          <w:rFonts w:ascii="Times New Roman" w:cs="Times New Roman" w:eastAsia="Times New Roman" w:hAnsi="Times New Roman"/>
          <w:sz w:val="18"/>
          <w:szCs w:val="18"/>
          <w:color w:val="auto"/>
        </w:rPr>
        <w:t>United applies a pass/fail grading system to all consumer purpose loans. Under this system, loans generally classified as “fail”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those that are on nonaccrual status, become past due 90 days, or meet certain bankruptcy status criteria.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risk category of term loans and gross charge-offs by vintage year, which is the year of origination or most recent renewal, as of the date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0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restart"/>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converted to</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4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00" w:type="dxa"/>
            <w:vAlign w:val="bottom"/>
            <w:vMerge w:val="restart"/>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338,649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435,661</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507,581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618,033</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502,481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856,402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128,598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3,411,757</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78,151</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32,581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73,218</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339,732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442,047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535,182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662,615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528,893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894,196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3,563,126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403,211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473,221</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496,550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906,116</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891,169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1,064,513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49,931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4,298,261</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68,636</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20,038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40,187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38,391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7,831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71,061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181,338</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435,238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518,750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538,011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950,871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897,608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1,144,276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4,548,235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283,935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442,728</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361,686</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213,279</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185,955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270,360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628,197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2,401,305</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44,554</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21,638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15,663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6,729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69,501</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286,559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448,280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392,754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236,704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192,773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651,449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2,515,360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3,896</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271,120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374,217</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318,612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446,901</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126,786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59,949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43,352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1,643,661</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67,569</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29,998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40,620</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277,016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381,737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319,617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518,888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137,643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1,751,850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442,271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583,426</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372,142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254,493</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82,532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27,948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1,762,812</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14,157</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442,770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585,517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376,338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259,272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85,293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1,777,936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4,001</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4,734</w:t>
            </w:r>
          </w:p>
        </w:tc>
        <w:tc>
          <w:tcPr>
            <w:tcW w:w="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11,864</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106,569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112,636</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326,486</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976,419</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952,065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706,930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3,183,836</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26,594</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106,569</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114,372</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329,820</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983,950</w:t>
            </w:r>
          </w:p>
        </w:tc>
        <w:tc>
          <w:tcPr>
            <w:tcW w:w="12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955,269</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717,576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2,874</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3,210,430</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1,143,215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1,175,575</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4,880</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1,143,215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37,240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1,180,455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33,404</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90,141</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20,315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14,483</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172,593</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33,404</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90,221</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21,259</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14,555</w:t>
            </w:r>
          </w:p>
        </w:tc>
        <w:tc>
          <w:tcPr>
            <w:tcW w:w="12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6,483</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173,829</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56,385</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189,693</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0" w:type="dxa"/>
            <w:vAlign w:val="bottom"/>
          </w:tcPr>
          <w:p>
            <w:pPr>
              <w:spacing w:after="0"/>
              <w:rPr>
                <w:sz w:val="1"/>
                <w:szCs w:val="1"/>
                <w:color w:val="auto"/>
              </w:rPr>
            </w:pPr>
          </w:p>
        </w:tc>
      </w:tr>
      <w:tr>
        <w:trPr>
          <w:trHeight w:val="209"/>
        </w:trPr>
        <w:tc>
          <w:tcPr>
            <w:tcW w:w="3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56,605</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190,958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40" w:type="dxa"/>
            <w:vAlign w:val="bottom"/>
            <w:gridSpan w:val="2"/>
          </w:tcPr>
          <w:p>
            <w:pPr>
              <w:jc w:val="right"/>
              <w:ind w:right="1220"/>
              <w:spacing w:after="0" w:line="147"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1,956</w:t>
            </w:r>
          </w:p>
        </w:tc>
        <w:tc>
          <w:tcPr>
            <w:tcW w:w="10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234</w:t>
            </w:r>
          </w:p>
        </w:tc>
        <w:tc>
          <w:tcPr>
            <w:tcW w:w="280" w:type="dxa"/>
            <w:vAlign w:val="bottom"/>
            <w:gridSpan w:val="2"/>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Revolvers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converted to</w:t>
            </w: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2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restart"/>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20" w:type="dxa"/>
            <w:vAlign w:val="bottom"/>
            <w:vMerge w:val="restart"/>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455,248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540,913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621,020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555,846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507,121</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425,932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120,574</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21,867</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3,248,521</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61,299</w:t>
            </w:r>
          </w:p>
        </w:tc>
        <w:tc>
          <w:tcPr>
            <w:tcW w:w="0" w:type="dxa"/>
            <w:vAlign w:val="bottom"/>
          </w:tcPr>
          <w:p>
            <w:pPr>
              <w:spacing w:after="0"/>
              <w:rPr>
                <w:sz w:val="1"/>
                <w:szCs w:val="1"/>
                <w:color w:val="auto"/>
              </w:rPr>
            </w:pPr>
          </w:p>
        </w:tc>
      </w:tr>
      <w:tr>
        <w:trPr>
          <w:trHeight w:val="183"/>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88,397</w:t>
            </w: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559,692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672,464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580,228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522,160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454,747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3,398,217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468,247</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477,887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977,090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896,096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614,584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606,395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50,955</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15,025</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4,106,279</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56,781</w:t>
            </w:r>
          </w:p>
        </w:tc>
        <w:tc>
          <w:tcPr>
            <w:tcW w:w="0" w:type="dxa"/>
            <w:vAlign w:val="bottom"/>
          </w:tcPr>
          <w:p>
            <w:pPr>
              <w:spacing w:after="0"/>
              <w:rPr>
                <w:sz w:val="1"/>
                <w:szCs w:val="1"/>
                <w:color w:val="auto"/>
              </w:rPr>
            </w:pPr>
          </w:p>
        </w:tc>
      </w:tr>
      <w:tr>
        <w:trPr>
          <w:trHeight w:val="183"/>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197,860</w:t>
            </w: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544,536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516,291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1,014,855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902,231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659,770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4,360,920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4,819</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464,843</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440,557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270,459</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198,320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125,964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180,262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583,147</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8,480</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2,272,032</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73,818</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22,877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12,133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16,078</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82,526</w:t>
            </w:r>
          </w:p>
        </w:tc>
        <w:tc>
          <w:tcPr>
            <w:tcW w:w="0" w:type="dxa"/>
            <w:vAlign w:val="bottom"/>
          </w:tcPr>
          <w:p>
            <w:pPr>
              <w:spacing w:after="0"/>
              <w:rPr>
                <w:sz w:val="1"/>
                <w:szCs w:val="1"/>
                <w:color w:val="auto"/>
              </w:rPr>
            </w:pPr>
          </w:p>
        </w:tc>
      </w:tr>
      <w:tr>
        <w:trPr>
          <w:trHeight w:val="214"/>
        </w:trPr>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475,872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213,247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131,188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623,511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2,428,376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100" w:type="dxa"/>
            <w:vAlign w:val="bottom"/>
          </w:tcPr>
          <w:p>
            <w:pPr>
              <w:spacing w:after="0"/>
              <w:rPr>
                <w:sz w:val="13"/>
                <w:szCs w:val="13"/>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19,358</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448,497</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348,179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495,712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153,303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40,254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46,863</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1,574,008</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61,012</w:t>
            </w:r>
          </w:p>
        </w:tc>
        <w:tc>
          <w:tcPr>
            <w:tcW w:w="0" w:type="dxa"/>
            <w:vAlign w:val="bottom"/>
          </w:tcPr>
          <w:p>
            <w:pPr>
              <w:spacing w:after="0"/>
              <w:rPr>
                <w:sz w:val="1"/>
                <w:szCs w:val="1"/>
                <w:color w:val="auto"/>
              </w:rPr>
            </w:pPr>
          </w:p>
        </w:tc>
      </w:tr>
      <w:tr>
        <w:trPr>
          <w:trHeight w:val="183"/>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20,690</w:t>
            </w: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455,402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541,355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1,655,710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693,205</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454,501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328,490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122,920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1,648,774</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9,875</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693,858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457,285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332,602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126,737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1,662,501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13,359</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6,418</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26,869</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121,145</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321,804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1,015,693</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989,673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402,894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347,249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2,971</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3,201,429</w:t>
            </w:r>
          </w:p>
        </w:tc>
        <w:tc>
          <w:tcPr>
            <w:tcW w:w="0" w:type="dxa"/>
            <w:vAlign w:val="bottom"/>
          </w:tcPr>
          <w:p>
            <w:pPr>
              <w:spacing w:after="0"/>
              <w:rPr>
                <w:sz w:val="1"/>
                <w:szCs w:val="1"/>
                <w:color w:val="auto"/>
              </w:rPr>
            </w:pPr>
          </w:p>
        </w:tc>
      </w:tr>
      <w:tr>
        <w:trPr>
          <w:trHeight w:val="190"/>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30,050</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123,436</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325,645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1,024,615</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992,083</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404,642</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357,867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3,191</w:t>
            </w:r>
          </w:p>
        </w:tc>
        <w:tc>
          <w:tcPr>
            <w:tcW w:w="100" w:type="dxa"/>
            <w:vAlign w:val="bottom"/>
          </w:tcPr>
          <w:p>
            <w:pPr>
              <w:spacing w:after="0"/>
              <w:rPr>
                <w:sz w:val="16"/>
                <w:szCs w:val="16"/>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3,231,479</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81"/>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1,028,340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1,059,631</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1,028,340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1,064,874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3"/>
                <w:szCs w:val="13"/>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55,164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30,216</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178,263</w:t>
            </w:r>
          </w:p>
        </w:tc>
        <w:tc>
          <w:tcPr>
            <w:tcW w:w="0" w:type="dxa"/>
            <w:vAlign w:val="bottom"/>
          </w:tcPr>
          <w:p>
            <w:pPr>
              <w:spacing w:after="0"/>
              <w:rPr>
                <w:sz w:val="1"/>
                <w:szCs w:val="1"/>
                <w:color w:val="auto"/>
              </w:rPr>
            </w:pPr>
          </w:p>
        </w:tc>
      </w:tr>
      <w:tr>
        <w:trPr>
          <w:trHeight w:val="190"/>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74,854</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55,164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30,265</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4,531</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6"/>
                <w:szCs w:val="16"/>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178,405</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0" w:type="dxa"/>
            <w:vAlign w:val="bottom"/>
          </w:tcPr>
          <w:p>
            <w:pPr>
              <w:spacing w:after="0"/>
              <w:rPr>
                <w:sz w:val="1"/>
                <w:szCs w:val="1"/>
                <w:color w:val="auto"/>
              </w:rPr>
            </w:pPr>
          </w:p>
        </w:tc>
      </w:tr>
      <w:tr>
        <w:trPr>
          <w:trHeight w:val="181"/>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Manufactured housing</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manufactured housing</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3,570</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14,589</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84,100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43,889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7,625</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22,508</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186,220</w:t>
            </w:r>
          </w:p>
        </w:tc>
        <w:tc>
          <w:tcPr>
            <w:tcW w:w="0" w:type="dxa"/>
            <w:vAlign w:val="bottom"/>
          </w:tcPr>
          <w:p>
            <w:pPr>
              <w:spacing w:after="0"/>
              <w:rPr>
                <w:sz w:val="1"/>
                <w:szCs w:val="1"/>
                <w:color w:val="auto"/>
              </w:rPr>
            </w:pPr>
          </w:p>
        </w:tc>
      </w:tr>
      <w:tr>
        <w:trPr>
          <w:trHeight w:val="191"/>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84,101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44,007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20,374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22,508</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186,448</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00"/>
          </w:cols>
          <w:pgMar w:left="540" w:top="11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117" w:right="55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Modifications to Borrowers Experiencing Financial Difficulty</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period-end amortized cost and additional information regarding loans modified under the terms of a FDM during the six months ended June 30, 2025 and 2024 are presented in the following tables</w:t>
      </w:r>
      <w:r>
        <w:rPr>
          <w:rFonts w:ascii="Times New Roman" w:cs="Times New Roman" w:eastAsia="Times New Roman" w:hAnsi="Times New Roman"/>
          <w:sz w:val="18"/>
          <w:szCs w:val="18"/>
          <w:i w:val="1"/>
          <w:iCs w:val="1"/>
          <w:color w:val="auto"/>
        </w:rPr>
        <w: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98"/>
              </w:rPr>
              <w:t>New FDMs</w:t>
            </w:r>
          </w:p>
        </w:tc>
        <w:tc>
          <w:tcPr>
            <w:tcW w:w="100" w:type="dxa"/>
            <w:vAlign w:val="bottom"/>
          </w:tcPr>
          <w:p>
            <w:pPr>
              <w:spacing w:after="0"/>
              <w:rPr>
                <w:sz w:val="20"/>
                <w:szCs w:val="20"/>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Defaults within 12</w:t>
            </w:r>
          </w:p>
        </w:tc>
        <w:tc>
          <w:tcPr>
            <w:tcW w:w="4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New FDMs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Defaults within 12</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Total Class of</w:t>
            </w:r>
          </w:p>
        </w:tc>
        <w:tc>
          <w:tcPr>
            <w:tcW w:w="1420" w:type="dxa"/>
            <w:vAlign w:val="bottom"/>
            <w:gridSpan w:val="3"/>
            <w:vMerge w:val="continue"/>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 Total Class of</w:t>
            </w:r>
          </w:p>
        </w:tc>
        <w:tc>
          <w:tcPr>
            <w:tcW w:w="1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months of</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months of</w:t>
            </w:r>
          </w:p>
        </w:tc>
        <w:tc>
          <w:tcPr>
            <w:tcW w:w="0" w:type="dxa"/>
            <w:vAlign w:val="bottom"/>
          </w:tcPr>
          <w:p>
            <w:pPr>
              <w:spacing w:after="0"/>
              <w:rPr>
                <w:sz w:val="1"/>
                <w:szCs w:val="1"/>
                <w:color w:val="auto"/>
              </w:rPr>
            </w:pPr>
          </w:p>
        </w:tc>
      </w:tr>
      <w:tr>
        <w:trPr>
          <w:trHeight w:val="214"/>
        </w:trPr>
        <w:tc>
          <w:tcPr>
            <w:tcW w:w="208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modification</w:t>
            </w:r>
          </w:p>
        </w:tc>
        <w:tc>
          <w:tcPr>
            <w:tcW w:w="12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20" w:type="dxa"/>
            <w:vAlign w:val="bottom"/>
          </w:tcPr>
          <w:p>
            <w:pPr>
              <w:spacing w:after="0"/>
              <w:rPr>
                <w:sz w:val="18"/>
                <w:szCs w:val="18"/>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modification</w:t>
            </w:r>
          </w:p>
        </w:tc>
        <w:tc>
          <w:tcPr>
            <w:tcW w:w="0" w:type="dxa"/>
            <w:vAlign w:val="bottom"/>
          </w:tcPr>
          <w:p>
            <w:pPr>
              <w:spacing w:after="0"/>
              <w:rPr>
                <w:sz w:val="1"/>
                <w:szCs w:val="1"/>
                <w:color w:val="auto"/>
              </w:rPr>
            </w:pPr>
          </w:p>
        </w:tc>
      </w:tr>
      <w:tr>
        <w:trPr>
          <w:trHeight w:val="211"/>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28,553</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27,603</w:t>
            </w:r>
          </w:p>
        </w:tc>
        <w:tc>
          <w:tcPr>
            <w:tcW w:w="17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19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w:t>
            </w:r>
          </w:p>
        </w:tc>
        <w:tc>
          <w:tcPr>
            <w:tcW w:w="19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7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loans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15,423</w:t>
            </w:r>
          </w:p>
        </w:tc>
        <w:tc>
          <w:tcPr>
            <w:tcW w:w="19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65,263</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category and accrual status of loans modified under the terms of a FDM during the previous 12 months on an amortized cost basis as of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1"/>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26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7,276</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7"/>
        </w:trPr>
        <w:tc>
          <w:tcPr>
            <w:tcW w:w="3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by type of FDM and the applicable weighted-average impact of the modifications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FDMs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2"/>
          </w:tcPr>
          <w:p>
            <w:pPr>
              <w:jc w:val="right"/>
              <w:ind w:right="17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2"/>
          </w:tcPr>
          <w:p>
            <w:pPr>
              <w:jc w:val="right"/>
              <w:ind w:right="17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7"/>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3"/>
                <w:szCs w:val="13"/>
                <w:color w:val="auto"/>
              </w:rPr>
            </w:pPr>
          </w:p>
        </w:tc>
        <w:tc>
          <w:tcPr>
            <w:tcW w:w="880" w:type="dxa"/>
            <w:vAlign w:val="bottom"/>
          </w:tcPr>
          <w:p>
            <w:pPr>
              <w:jc w:val="right"/>
              <w:ind w:right="39"/>
              <w:spacing w:after="0" w:line="157"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3"/>
                <w:szCs w:val="13"/>
                <w:color w:val="auto"/>
              </w:rPr>
            </w:pPr>
          </w:p>
        </w:tc>
        <w:tc>
          <w:tcPr>
            <w:tcW w:w="2880" w:type="dxa"/>
            <w:vAlign w:val="bottom"/>
          </w:tcPr>
          <w:p>
            <w:pPr>
              <w:jc w:val="right"/>
              <w:ind w:right="739"/>
              <w:spacing w:after="0" w:line="157"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9"/>
              <w:spacing w:after="0" w:line="157"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3"/>
                <w:szCs w:val="13"/>
                <w:color w:val="auto"/>
              </w:rPr>
            </w:pPr>
          </w:p>
        </w:tc>
        <w:tc>
          <w:tcPr>
            <w:tcW w:w="2900" w:type="dxa"/>
            <w:vAlign w:val="bottom"/>
          </w:tcPr>
          <w:p>
            <w:pPr>
              <w:jc w:val="right"/>
              <w:ind w:right="759"/>
              <w:spacing w:after="0" w:line="157"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4"/>
        </w:trPr>
        <w:tc>
          <w:tcPr>
            <w:tcW w:w="3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Modification</w:t>
            </w:r>
          </w:p>
        </w:tc>
        <w:tc>
          <w:tcPr>
            <w:tcW w:w="10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Modification</w:t>
            </w:r>
          </w:p>
        </w:tc>
        <w:tc>
          <w:tcPr>
            <w:tcW w:w="0" w:type="dxa"/>
            <w:vAlign w:val="bottom"/>
          </w:tcPr>
          <w:p>
            <w:pPr>
              <w:spacing w:after="0"/>
              <w:rPr>
                <w:sz w:val="1"/>
                <w:szCs w:val="1"/>
                <w:color w:val="auto"/>
              </w:rPr>
            </w:pPr>
          </w:p>
        </w:tc>
      </w:tr>
      <w:tr>
        <w:trPr>
          <w:trHeight w:val="198"/>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 months</w:t>
            </w: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23,284</w:t>
            </w:r>
          </w:p>
        </w:tc>
        <w:tc>
          <w:tcPr>
            <w:tcW w:w="80" w:type="dxa"/>
            <w:vAlign w:val="bottom"/>
            <w:shd w:val="clear" w:color="auto" w:fill="CCEEFF"/>
          </w:tcPr>
          <w:p>
            <w:pPr>
              <w:spacing w:after="0"/>
              <w:rPr>
                <w:sz w:val="19"/>
                <w:szCs w:val="19"/>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 months</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7.1 years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 year</w:t>
            </w: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23,507</w:t>
            </w: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Owner occupied CRE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80" w:type="dxa"/>
            <w:vAlign w:val="bottom"/>
          </w:tcPr>
          <w:p>
            <w:pPr>
              <w:spacing w:after="0"/>
              <w:rPr>
                <w:sz w:val="18"/>
                <w:szCs w:val="18"/>
                <w:color w:val="auto"/>
              </w:rPr>
            </w:pP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7 months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months</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Income producing CRE </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28,553</w:t>
            </w: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 year</w:t>
            </w:r>
          </w:p>
        </w:tc>
        <w:tc>
          <w:tcPr>
            <w:tcW w:w="0" w:type="dxa"/>
            <w:vAlign w:val="bottom"/>
          </w:tcPr>
          <w:p>
            <w:pPr>
              <w:spacing w:after="0"/>
              <w:rPr>
                <w:sz w:val="1"/>
                <w:szCs w:val="1"/>
                <w:color w:val="auto"/>
              </w:rPr>
            </w:pPr>
          </w:p>
        </w:tc>
      </w:tr>
      <w:tr>
        <w:trPr>
          <w:trHeight w:val="216"/>
        </w:trPr>
        <w:tc>
          <w:tcPr>
            <w:tcW w:w="320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Commercial &amp; industrial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 months</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9 months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4,966</w:t>
            </w:r>
          </w:p>
        </w:tc>
        <w:tc>
          <w:tcPr>
            <w:tcW w:w="8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29,604</w:t>
            </w:r>
          </w:p>
        </w:tc>
        <w:tc>
          <w:tcPr>
            <w:tcW w:w="8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Rate Reduction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 basis points</w:t>
            </w:r>
          </w:p>
        </w:tc>
        <w:tc>
          <w:tcPr>
            <w:tcW w:w="0" w:type="dxa"/>
            <w:vAlign w:val="bottom"/>
          </w:tcPr>
          <w:p>
            <w:pPr>
              <w:spacing w:after="0"/>
              <w:rPr>
                <w:sz w:val="1"/>
                <w:szCs w:val="1"/>
                <w:color w:val="auto"/>
              </w:rPr>
            </w:pPr>
          </w:p>
        </w:tc>
      </w:tr>
      <w:tr>
        <w:trPr>
          <w:trHeight w:val="213"/>
        </w:trPr>
        <w:tc>
          <w:tcPr>
            <w:tcW w:w="3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18"/>
                <w:szCs w:val="18"/>
                <w:color w:val="auto"/>
              </w:rPr>
            </w:pP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240 basis points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equity</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400 basis points</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8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8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Delay and Extension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2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shd w:val="clear" w:color="auto" w:fill="CCEEFF"/>
          </w:tcPr>
          <w:p>
            <w:pPr>
              <w:spacing w:after="0"/>
              <w:rPr>
                <w:sz w:val="14"/>
                <w:szCs w:val="14"/>
                <w:color w:val="auto"/>
              </w:rPr>
            </w:pPr>
          </w:p>
        </w:tc>
        <w:tc>
          <w:tcPr>
            <w:tcW w:w="29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Payment delay: 4 months;</w:t>
            </w:r>
          </w:p>
        </w:tc>
        <w:tc>
          <w:tcPr>
            <w:tcW w:w="0" w:type="dxa"/>
            <w:vAlign w:val="bottom"/>
          </w:tcPr>
          <w:p>
            <w:pPr>
              <w:spacing w:after="0"/>
              <w:rPr>
                <w:sz w:val="1"/>
                <w:szCs w:val="1"/>
                <w:color w:val="auto"/>
              </w:rPr>
            </w:pPr>
          </w:p>
        </w:tc>
      </w:tr>
      <w:tr>
        <w:trPr>
          <w:trHeight w:val="216"/>
        </w:trPr>
        <w:tc>
          <w:tcPr>
            <w:tcW w:w="3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Extension: 3 years</w:t>
            </w: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Equipment financing</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80" w:type="dxa"/>
            <w:vAlign w:val="bottom"/>
          </w:tcPr>
          <w:p>
            <w:pPr>
              <w:spacing w:after="0"/>
              <w:rPr>
                <w:sz w:val="14"/>
                <w:szCs w:val="14"/>
                <w:color w:val="auto"/>
              </w:rPr>
            </w:pPr>
          </w:p>
        </w:tc>
        <w:tc>
          <w:tcPr>
            <w:tcW w:w="30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Extension and payment delay:</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80" w:type="dxa"/>
            <w:vAlign w:val="bottom"/>
          </w:tcPr>
          <w:p>
            <w:pPr>
              <w:spacing w:after="0"/>
              <w:rPr>
                <w:sz w:val="14"/>
                <w:szCs w:val="14"/>
                <w:color w:val="auto"/>
              </w:rPr>
            </w:pPr>
          </w:p>
        </w:tc>
        <w:tc>
          <w:tcPr>
            <w:tcW w:w="2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Extension and payment delay:</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 months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8 months</w:t>
            </w: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Rate Reduction and Extension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80" w:type="dxa"/>
            <w:vAlign w:val="bottom"/>
          </w:tcPr>
          <w:p>
            <w:pPr>
              <w:spacing w:after="0"/>
              <w:rPr>
                <w:sz w:val="14"/>
                <w:szCs w:val="14"/>
                <w:color w:val="auto"/>
              </w:rPr>
            </w:pPr>
          </w:p>
        </w:tc>
        <w:tc>
          <w:tcPr>
            <w:tcW w:w="30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Rate reduction: 393 basis points;</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80" w:type="dxa"/>
            <w:vAlign w:val="bottom"/>
          </w:tcPr>
          <w:p>
            <w:pPr>
              <w:spacing w:after="0"/>
              <w:rPr>
                <w:sz w:val="14"/>
                <w:szCs w:val="14"/>
                <w:color w:val="auto"/>
              </w:rPr>
            </w:pPr>
          </w:p>
        </w:tc>
        <w:tc>
          <w:tcPr>
            <w:tcW w:w="2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Rate reduction: 471 basis points;</w:t>
            </w:r>
          </w:p>
        </w:tc>
        <w:tc>
          <w:tcPr>
            <w:tcW w:w="0" w:type="dxa"/>
            <w:vAlign w:val="bottom"/>
          </w:tcPr>
          <w:p>
            <w:pPr>
              <w:spacing w:after="0"/>
              <w:rPr>
                <w:sz w:val="1"/>
                <w:szCs w:val="1"/>
                <w:color w:val="auto"/>
              </w:rPr>
            </w:pPr>
          </w:p>
        </w:tc>
      </w:tr>
      <w:tr>
        <w:trPr>
          <w:trHeight w:val="213"/>
        </w:trPr>
        <w:tc>
          <w:tcPr>
            <w:tcW w:w="3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Extension: 5.8 years</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Extension: 2.6 years</w:t>
            </w:r>
          </w:p>
        </w:tc>
        <w:tc>
          <w:tcPr>
            <w:tcW w:w="0" w:type="dxa"/>
            <w:vAlign w:val="bottom"/>
          </w:tcPr>
          <w:p>
            <w:pPr>
              <w:spacing w:after="0"/>
              <w:rPr>
                <w:sz w:val="1"/>
                <w:szCs w:val="1"/>
                <w:color w:val="auto"/>
              </w:rPr>
            </w:pPr>
          </w:p>
        </w:tc>
      </w:tr>
      <w:tr>
        <w:trPr>
          <w:trHeight w:val="165"/>
        </w:trPr>
        <w:tc>
          <w:tcPr>
            <w:tcW w:w="32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Manufactured housing</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14"/>
                <w:szCs w:val="14"/>
                <w:color w:val="auto"/>
              </w:rPr>
            </w:pPr>
          </w:p>
        </w:tc>
        <w:tc>
          <w:tcPr>
            <w:tcW w:w="29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Rate reduction: 624 basis points;</w:t>
            </w:r>
          </w:p>
        </w:tc>
        <w:tc>
          <w:tcPr>
            <w:tcW w:w="0" w:type="dxa"/>
            <w:vAlign w:val="bottom"/>
          </w:tcPr>
          <w:p>
            <w:pPr>
              <w:spacing w:after="0"/>
              <w:rPr>
                <w:sz w:val="1"/>
                <w:szCs w:val="1"/>
                <w:color w:val="auto"/>
              </w:rPr>
            </w:pPr>
          </w:p>
        </w:tc>
      </w:tr>
      <w:tr>
        <w:trPr>
          <w:trHeight w:val="216"/>
        </w:trPr>
        <w:tc>
          <w:tcPr>
            <w:tcW w:w="3200" w:type="dxa"/>
            <w:vAlign w:val="bottom"/>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Extension: 6 years</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8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8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Rate Reduction and Payment Delay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2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80" w:type="dxa"/>
            <w:vAlign w:val="bottom"/>
            <w:shd w:val="clear" w:color="auto" w:fill="CCEEFF"/>
          </w:tcPr>
          <w:p>
            <w:pPr>
              <w:spacing w:after="0"/>
              <w:rPr>
                <w:sz w:val="14"/>
                <w:szCs w:val="14"/>
                <w:color w:val="auto"/>
              </w:rPr>
            </w:pPr>
          </w:p>
        </w:tc>
        <w:tc>
          <w:tcPr>
            <w:tcW w:w="29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Rate reduction: 75 basis points;</w:t>
            </w:r>
          </w:p>
        </w:tc>
        <w:tc>
          <w:tcPr>
            <w:tcW w:w="0" w:type="dxa"/>
            <w:vAlign w:val="bottom"/>
          </w:tcPr>
          <w:p>
            <w:pPr>
              <w:spacing w:after="0"/>
              <w:rPr>
                <w:sz w:val="1"/>
                <w:szCs w:val="1"/>
                <w:color w:val="auto"/>
              </w:rPr>
            </w:pPr>
          </w:p>
        </w:tc>
      </w:tr>
      <w:tr>
        <w:trPr>
          <w:trHeight w:val="216"/>
        </w:trPr>
        <w:tc>
          <w:tcPr>
            <w:tcW w:w="3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Payment delay: 6 months</w:t>
            </w: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4"/>
                <w:szCs w:val="14"/>
                <w:color w:val="auto"/>
              </w:rPr>
            </w:pPr>
          </w:p>
        </w:tc>
        <w:tc>
          <w:tcPr>
            <w:tcW w:w="2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Rate reduction: 150 basis points;</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Payment delay: 6 months</w:t>
            </w: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Rate Reduction, Payment Delay &amp; Extension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Rate reduction: 75 basis points; Payment</w:t>
            </w: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4"/>
                <w:szCs w:val="14"/>
                <w:color w:val="auto"/>
              </w:rPr>
            </w:pPr>
          </w:p>
        </w:tc>
        <w:tc>
          <w:tcPr>
            <w:tcW w:w="2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delay: 6 months;</w:t>
            </w:r>
          </w:p>
        </w:tc>
        <w:tc>
          <w:tcPr>
            <w:tcW w:w="0" w:type="dxa"/>
            <w:vAlign w:val="bottom"/>
          </w:tcPr>
          <w:p>
            <w:pPr>
              <w:spacing w:after="0"/>
              <w:rPr>
                <w:sz w:val="1"/>
                <w:szCs w:val="1"/>
                <w:color w:val="auto"/>
              </w:rPr>
            </w:pPr>
          </w:p>
        </w:tc>
      </w:tr>
      <w:tr>
        <w:trPr>
          <w:trHeight w:val="213"/>
        </w:trPr>
        <w:tc>
          <w:tcPr>
            <w:tcW w:w="3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Extension: 3 years</w:t>
            </w: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Rate reduction: 267 basis points; Payment</w:t>
            </w:r>
          </w:p>
        </w:tc>
        <w:tc>
          <w:tcPr>
            <w:tcW w:w="0" w:type="dxa"/>
            <w:vAlign w:val="bottom"/>
          </w:tcPr>
          <w:p>
            <w:pPr>
              <w:spacing w:after="0"/>
              <w:rPr>
                <w:sz w:val="1"/>
                <w:szCs w:val="1"/>
                <w:color w:val="auto"/>
              </w:rPr>
            </w:pPr>
          </w:p>
        </w:tc>
      </w:tr>
      <w:tr>
        <w:trPr>
          <w:trHeight w:val="162"/>
        </w:trPr>
        <w:tc>
          <w:tcPr>
            <w:tcW w:w="32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80" w:type="dxa"/>
            <w:vAlign w:val="bottom"/>
            <w:shd w:val="clear" w:color="auto" w:fill="CCEEFF"/>
          </w:tcPr>
          <w:p>
            <w:pPr>
              <w:spacing w:after="0"/>
              <w:rPr>
                <w:sz w:val="14"/>
                <w:szCs w:val="14"/>
                <w:color w:val="auto"/>
              </w:rPr>
            </w:pPr>
          </w:p>
        </w:tc>
        <w:tc>
          <w:tcPr>
            <w:tcW w:w="29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delay: 6 months;</w:t>
            </w:r>
          </w:p>
        </w:tc>
        <w:tc>
          <w:tcPr>
            <w:tcW w:w="0" w:type="dxa"/>
            <w:vAlign w:val="bottom"/>
          </w:tcPr>
          <w:p>
            <w:pPr>
              <w:spacing w:after="0"/>
              <w:rPr>
                <w:sz w:val="1"/>
                <w:szCs w:val="1"/>
                <w:color w:val="auto"/>
              </w:rPr>
            </w:pPr>
          </w:p>
        </w:tc>
      </w:tr>
      <w:tr>
        <w:trPr>
          <w:trHeight w:val="216"/>
        </w:trPr>
        <w:tc>
          <w:tcPr>
            <w:tcW w:w="3200" w:type="dxa"/>
            <w:vAlign w:val="bottom"/>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Extension: 4.5 years</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8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15,423</w:t>
            </w:r>
          </w:p>
        </w:tc>
        <w:tc>
          <w:tcPr>
            <w:tcW w:w="8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65,263</w:t>
            </w:r>
          </w:p>
        </w:tc>
        <w:tc>
          <w:tcPr>
            <w:tcW w:w="8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 delay FDMs in bankruptcy are excluded from the weighted average payment delay calculation.</w:t>
      </w:r>
    </w:p>
    <w:p>
      <w:pPr>
        <w:spacing w:after="0" w:line="70" w:lineRule="exact"/>
        <w:rPr>
          <w:rFonts w:ascii="Times New Roman" w:cs="Times New Roman" w:eastAsia="Times New Roman" w:hAnsi="Times New Roman"/>
          <w:sz w:val="21"/>
          <w:szCs w:val="21"/>
          <w:color w:val="auto"/>
          <w:vertAlign w:val="superscript"/>
        </w:rPr>
      </w:pPr>
    </w:p>
    <w:p>
      <w:pPr>
        <w:ind w:left="160" w:hanging="152"/>
        <w:spacing w:after="0" w:line="233" w:lineRule="auto"/>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Payment delays in this category reflect principal payment delays, while interest payments continue in accordance with loan terms.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periods presented, United used a one-year reasonable and supportable forecast period. Expected credit losses were estimated using a regression model for each segment based on historical data from peer banks combined with a baseline economic forecast to predict the change in credit losses. These estimates were then combined with a starting value that was based on United’s recent charge-off experience to produce an expected default rate, with the results subject to a floor.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2025, the baseline economic forecast had worsened slightly relative to the forecasts at March 31, 2025 and December 31, 2024 as the implemented tariffs were larger than anticipated, which negatively affected forecasted unemployment and GDP. However, the decrease in United’s charge-offs lowered the initial expected default rates for some segments and thus contributed to a lower modeled ACL balance. At June 30, 2025, United applied a qualitative adjustment to increase the model’s calculated ACL for the income producing CRE portfolio, partially offset by qualitative adjustments to decrease the model’s calculated ACL for the residential mortgage and commercial and industrial portfolios. These qualitative adjustments were applied to better reflect management’s expectations of future performance as indicated by internal credit performance measures. In addition, at June 30, 2025, United’s qualitative adjustment to estimate losses for loans to borrowers affected by Hurricane Helene added $4.42 million to the ACL balance, compared to $9.80 million at December 31, 2024.</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the peer data was adjusted for changes in lending practices designed to mitigate the magnitude of losses observed during the 2008 mortgage crisis.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 and activity in the ACL by portfolio segment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6"/>
                <w:szCs w:val="16"/>
                <w:b w:val="1"/>
                <w:bCs w:val="1"/>
                <w:color w:val="auto"/>
              </w:rPr>
              <w:t>Initial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Ending</w:t>
            </w: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Beginning</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Charge-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66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6"/>
              </w:rPr>
              <w:t>Ending</w:t>
            </w:r>
          </w:p>
        </w:tc>
        <w:tc>
          <w:tcPr>
            <w:tcW w:w="0" w:type="dxa"/>
            <w:vAlign w:val="bottom"/>
          </w:tcPr>
          <w:p>
            <w:pPr>
              <w:spacing w:after="0"/>
              <w:rPr>
                <w:sz w:val="1"/>
                <w:szCs w:val="1"/>
                <w:color w:val="auto"/>
              </w:rPr>
            </w:pPr>
          </w:p>
        </w:tc>
      </w:tr>
      <w:tr>
        <w:trPr>
          <w:trHeight w:val="162"/>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6"/>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ACL -PCD   Charge-</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6"/>
                <w:szCs w:val="16"/>
                <w:b w:val="1"/>
                <w:bCs w:val="1"/>
                <w:color w:val="auto"/>
                <w:w w:val="90"/>
              </w:rPr>
              <w:t xml:space="preserve">loans </w:t>
            </w:r>
            <w:r>
              <w:rPr>
                <w:rFonts w:ascii="Times New Roman" w:cs="Times New Roman" w:eastAsia="Times New Roman" w:hAnsi="Times New Roman"/>
                <w:sz w:val="20"/>
                <w:szCs w:val="20"/>
                <w:b w:val="1"/>
                <w:bCs w:val="1"/>
                <w:color w:val="auto"/>
                <w:w w:val="90"/>
                <w:vertAlign w:val="superscript"/>
              </w:rPr>
              <w:t>(2)</w:t>
            </w:r>
          </w:p>
        </w:tc>
        <w:tc>
          <w:tcPr>
            <w:tcW w:w="14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Offs</w:t>
            </w:r>
          </w:p>
        </w:tc>
        <w:tc>
          <w:tcPr>
            <w:tcW w:w="860" w:type="dxa"/>
            <w:vAlign w:val="bottom"/>
            <w:gridSpan w:val="3"/>
            <w:vMerge w:val="continue"/>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2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4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Offs</w:t>
            </w:r>
          </w:p>
        </w:tc>
        <w:tc>
          <w:tcPr>
            <w:tcW w:w="860" w:type="dxa"/>
            <w:vAlign w:val="bottom"/>
            <w:gridSpan w:val="3"/>
            <w:vMerge w:val="continue"/>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8"/>
                <w:szCs w:val="18"/>
                <w:color w:val="auto"/>
              </w:rPr>
            </w:pPr>
          </w:p>
        </w:tc>
        <w:tc>
          <w:tcPr>
            <w:tcW w:w="6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209"/>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21,787</w:t>
            </w: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42,894</w:t>
            </w: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32,101</w:t>
            </w: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19,617</w:t>
            </w: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45,115</w:t>
            </w: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 xml:space="preserve">Manufactured housing </w:t>
            </w:r>
            <w:r>
              <w:rPr>
                <w:rFonts w:ascii="Times New Roman" w:cs="Times New Roman" w:eastAsia="Times New Roman" w:hAnsi="Times New Roman"/>
                <w:sz w:val="20"/>
                <w:szCs w:val="20"/>
                <w:color w:val="auto"/>
                <w:vertAlign w:val="superscript"/>
              </w:rPr>
              <w:t>(1)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w:t>
            </w: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14"/>
        </w:trPr>
        <w:tc>
          <w:tcPr>
            <w:tcW w:w="19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ACL - loans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211,974</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(11,761)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210,934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(15,601)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213,022</w:t>
            </w:r>
          </w:p>
        </w:tc>
        <w:tc>
          <w:tcPr>
            <w:tcW w:w="0" w:type="dxa"/>
            <w:vAlign w:val="bottom"/>
          </w:tcPr>
          <w:p>
            <w:pPr>
              <w:spacing w:after="0"/>
              <w:rPr>
                <w:sz w:val="1"/>
                <w:szCs w:val="1"/>
                <w:color w:val="auto"/>
              </w:rPr>
            </w:pPr>
          </w:p>
        </w:tc>
      </w:tr>
      <w:tr>
        <w:trPr>
          <w:trHeight w:val="148"/>
        </w:trPr>
        <w:tc>
          <w:tcPr>
            <w:tcW w:w="1920" w:type="dxa"/>
            <w:vAlign w:val="bottom"/>
          </w:tcPr>
          <w:p>
            <w:pPr>
              <w:ind w:left="140"/>
              <w:spacing w:after="0" w:line="148" w:lineRule="exact"/>
              <w:rPr>
                <w:sz w:val="20"/>
                <w:szCs w:val="20"/>
                <w:color w:val="auto"/>
              </w:rPr>
            </w:pPr>
            <w:r>
              <w:rPr>
                <w:rFonts w:ascii="Times New Roman" w:cs="Times New Roman" w:eastAsia="Times New Roman" w:hAnsi="Times New Roman"/>
                <w:sz w:val="16"/>
                <w:szCs w:val="16"/>
                <w:color w:val="auto"/>
              </w:rPr>
              <w:t>ACL - unfunded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11,227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11,718</w:t>
            </w:r>
          </w:p>
        </w:tc>
        <w:tc>
          <w:tcPr>
            <w:tcW w:w="0" w:type="dxa"/>
            <w:vAlign w:val="bottom"/>
          </w:tcPr>
          <w:p>
            <w:pPr>
              <w:spacing w:after="0"/>
              <w:rPr>
                <w:sz w:val="1"/>
                <w:szCs w:val="1"/>
                <w:color w:val="auto"/>
              </w:rPr>
            </w:pPr>
          </w:p>
        </w:tc>
      </w:tr>
      <w:tr>
        <w:trPr>
          <w:trHeight w:val="211"/>
        </w:trPr>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223,201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(11,761)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(15,601)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224,740</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9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9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40" w:type="dxa"/>
            <w:vAlign w:val="bottom"/>
          </w:tcPr>
          <w:p>
            <w:pPr>
              <w:spacing w:after="0"/>
              <w:rPr>
                <w:sz w:val="12"/>
                <w:szCs w:val="12"/>
                <w:color w:val="auto"/>
              </w:rPr>
            </w:pPr>
          </w:p>
        </w:tc>
        <w:tc>
          <w:tcPr>
            <w:tcW w:w="920" w:type="dxa"/>
            <w:vAlign w:val="bottom"/>
            <w:gridSpan w:val="4"/>
          </w:tcPr>
          <w:p>
            <w:pPr>
              <w:ind w:left="40"/>
              <w:spacing w:after="0" w:line="148" w:lineRule="exact"/>
              <w:rPr>
                <w:sz w:val="20"/>
                <w:szCs w:val="20"/>
                <w:color w:val="auto"/>
              </w:rPr>
            </w:pPr>
            <w:r>
              <w:rPr>
                <w:rFonts w:ascii="Times New Roman" w:cs="Times New Roman" w:eastAsia="Times New Roman" w:hAnsi="Times New Roman"/>
                <w:sz w:val="16"/>
                <w:szCs w:val="16"/>
                <w:b w:val="1"/>
                <w:bCs w:val="1"/>
                <w:color w:val="auto"/>
              </w:rPr>
              <w:t>Initial ACL</w:t>
            </w: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Charge-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Ending</w:t>
            </w: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Beginning</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Charge-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66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6"/>
              </w:rPr>
              <w:t>Ending</w:t>
            </w:r>
          </w:p>
        </w:tc>
        <w:tc>
          <w:tcPr>
            <w:tcW w:w="0" w:type="dxa"/>
            <w:vAlign w:val="bottom"/>
          </w:tcPr>
          <w:p>
            <w:pPr>
              <w:spacing w:after="0"/>
              <w:rPr>
                <w:sz w:val="1"/>
                <w:szCs w:val="1"/>
                <w:color w:val="auto"/>
              </w:rPr>
            </w:pPr>
          </w:p>
        </w:tc>
      </w:tr>
      <w:tr>
        <w:trPr>
          <w:trHeight w:val="160"/>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 PCD</w:t>
            </w:r>
          </w:p>
        </w:tc>
        <w:tc>
          <w:tcPr>
            <w:tcW w:w="820" w:type="dxa"/>
            <w:vAlign w:val="bottom"/>
            <w:gridSpan w:val="3"/>
            <w:vMerge w:val="continue"/>
          </w:tcPr>
          <w:p>
            <w:pPr>
              <w:spacing w:after="0"/>
              <w:rPr>
                <w:sz w:val="13"/>
                <w:szCs w:val="13"/>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0"/>
              </w:rPr>
              <w:t xml:space="preserve">loans </w:t>
            </w:r>
            <w:r>
              <w:rPr>
                <w:rFonts w:ascii="Times New Roman" w:cs="Times New Roman" w:eastAsia="Times New Roman" w:hAnsi="Times New Roman"/>
                <w:sz w:val="20"/>
                <w:szCs w:val="20"/>
                <w:b w:val="1"/>
                <w:bCs w:val="1"/>
                <w:color w:val="auto"/>
                <w:w w:val="90"/>
                <w:vertAlign w:val="superscript"/>
              </w:rPr>
              <w:t>(2)</w:t>
            </w:r>
          </w:p>
        </w:tc>
        <w:tc>
          <w:tcPr>
            <w:tcW w:w="14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Offs</w:t>
            </w:r>
          </w:p>
        </w:tc>
        <w:tc>
          <w:tcPr>
            <w:tcW w:w="860" w:type="dxa"/>
            <w:vAlign w:val="bottom"/>
            <w:gridSpan w:val="3"/>
            <w:vMerge w:val="continue"/>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2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4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Offs</w:t>
            </w:r>
          </w:p>
        </w:tc>
        <w:tc>
          <w:tcPr>
            <w:tcW w:w="860" w:type="dxa"/>
            <w:vAlign w:val="bottom"/>
            <w:gridSpan w:val="3"/>
            <w:vMerge w:val="continue"/>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8"/>
                <w:szCs w:val="18"/>
                <w:color w:val="auto"/>
              </w:rPr>
            </w:pPr>
          </w:p>
        </w:tc>
        <w:tc>
          <w:tcPr>
            <w:tcW w:w="6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209"/>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21,787</w:t>
            </w: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42,894</w:t>
            </w: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32,101</w:t>
            </w: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19,617</w:t>
            </w: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(11,864)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(13,893)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45,115</w:t>
            </w: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 xml:space="preserve">Manufactured housing </w:t>
            </w:r>
            <w:r>
              <w:rPr>
                <w:rFonts w:ascii="Times New Roman" w:cs="Times New Roman" w:eastAsia="Times New Roman" w:hAnsi="Times New Roman"/>
                <w:sz w:val="20"/>
                <w:szCs w:val="20"/>
                <w:color w:val="auto"/>
                <w:vertAlign w:val="superscript"/>
              </w:rPr>
              <w:t>(1)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w:t>
            </w: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14"/>
        </w:trPr>
        <w:tc>
          <w:tcPr>
            <w:tcW w:w="1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(24,140)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26,083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208,071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(31,010)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213,022</w:t>
            </w:r>
          </w:p>
        </w:tc>
        <w:tc>
          <w:tcPr>
            <w:tcW w:w="0" w:type="dxa"/>
            <w:vAlign w:val="bottom"/>
          </w:tcPr>
          <w:p>
            <w:pPr>
              <w:spacing w:after="0"/>
              <w:rPr>
                <w:sz w:val="1"/>
                <w:szCs w:val="1"/>
                <w:color w:val="auto"/>
              </w:rPr>
            </w:pPr>
          </w:p>
        </w:tc>
      </w:tr>
      <w:tr>
        <w:trPr>
          <w:trHeight w:val="152"/>
        </w:trPr>
        <w:tc>
          <w:tcPr>
            <w:tcW w:w="1920" w:type="dxa"/>
            <w:vAlign w:val="bottom"/>
          </w:tcPr>
          <w:p>
            <w:pPr>
              <w:ind w:left="140"/>
              <w:spacing w:after="0" w:line="152" w:lineRule="exact"/>
              <w:rPr>
                <w:sz w:val="20"/>
                <w:szCs w:val="20"/>
                <w:color w:val="auto"/>
              </w:rPr>
            </w:pPr>
            <w:r>
              <w:rPr>
                <w:rFonts w:ascii="Times New Roman" w:cs="Times New Roman" w:eastAsia="Times New Roman" w:hAnsi="Times New Roman"/>
                <w:sz w:val="16"/>
                <w:szCs w:val="16"/>
                <w:color w:val="auto"/>
              </w:rPr>
              <w:t>ACL - unfunded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10,391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11,718</w:t>
            </w:r>
          </w:p>
        </w:tc>
        <w:tc>
          <w:tcPr>
            <w:tcW w:w="0" w:type="dxa"/>
            <w:vAlign w:val="bottom"/>
          </w:tcPr>
          <w:p>
            <w:pPr>
              <w:spacing w:after="0"/>
              <w:rPr>
                <w:sz w:val="1"/>
                <w:szCs w:val="1"/>
                <w:color w:val="auto"/>
              </w:rPr>
            </w:pPr>
          </w:p>
        </w:tc>
      </w:tr>
      <w:tr>
        <w:trPr>
          <w:trHeight w:val="209"/>
        </w:trPr>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217,389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(24,140)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27,237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(31,010)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224,740</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 w:firstLine="8"/>
        <w:spacing w:after="0" w:line="328" w:lineRule="auto"/>
        <w:tabs>
          <w:tab w:leader="none" w:pos="149"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The release of ACL presented for manufactured housing loans for the </w:t>
      </w:r>
      <w:r>
        <w:rPr>
          <w:rFonts w:ascii="Times New Roman" w:cs="Times New Roman" w:eastAsia="Times New Roman" w:hAnsi="Times New Roman"/>
          <w:sz w:val="15"/>
          <w:szCs w:val="15"/>
          <w:color w:val="auto"/>
        </w:rPr>
        <w:t>six months ended</w:t>
      </w:r>
      <w:r>
        <w:rPr>
          <w:rFonts w:ascii="Times New Roman" w:cs="Times New Roman" w:eastAsia="Times New Roman" w:hAnsi="Times New Roman"/>
          <w:sz w:val="14"/>
          <w:szCs w:val="14"/>
          <w:color w:val="auto"/>
        </w:rPr>
        <w:t xml:space="preserve"> June 30, 2025 represents a reclassification of the allowance to the consumer line where these loan balances are reflected as of June 30, 2025.</w:t>
      </w: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initial ACL related to PCD loans acquired in the ANB transaction.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Derivatives and Hedging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derivative financial instruments, which are included in other assets and other liabilities on the consolidated balance sheet, as of the dates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84"/>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214"/>
        </w:trPr>
        <w:tc>
          <w:tcPr>
            <w:tcW w:w="4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19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flow hedges of trust preferred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 value hedges of AFS debt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802,731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hedges of loans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2,972,731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2,591,507</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1,225,732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63,703</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Risk participations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 loan commitments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3,085,930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60,877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2,766,326</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35,687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6,058,661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5,357,833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of June 30, 2025 and December 31, 2024, United utilized interest rate caps and swaps to hedge the variability of cash flows due to changes in interest rates on certain of its variable-rate subordinated debt and trust preferred securities. Gains and losses related to changes in fair value are reclassified into earnings in the periods the hedged forecasted transactions occur. Over the next twelve months, United expects to reclassify $4.03 million of gains from AOCI into earnings related to these agreements.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United uses interest rate derivatives to manage its exposure to changes in fair value attributable to changes in interest rates on certain of its fixed-rate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derivatives in hedging relationships, all of which are interest rate contracts, on net interest income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198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3820" w:type="dxa"/>
            <w:vAlign w:val="bottom"/>
          </w:tcPr>
          <w:p>
            <w:pPr>
              <w:spacing w:after="0"/>
              <w:rPr>
                <w:sz w:val="18"/>
                <w:szCs w:val="18"/>
                <w:color w:val="auto"/>
              </w:rPr>
            </w:pPr>
          </w:p>
        </w:tc>
        <w:tc>
          <w:tcPr>
            <w:tcW w:w="2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Affected Income Statement Line Item</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9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line="20" w:lineRule="exact"/>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Increase/(Decrease) to Earnings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2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AFS securities:</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Amounts related to interest settlements on</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center"/>
              <w:ind w:left="179"/>
              <w:spacing w:after="0"/>
              <w:rPr>
                <w:sz w:val="20"/>
                <w:szCs w:val="20"/>
                <w:color w:val="auto"/>
              </w:rPr>
            </w:pPr>
            <w:r>
              <w:rPr>
                <w:rFonts w:ascii="Times New Roman" w:cs="Times New Roman" w:eastAsia="Times New Roman" w:hAnsi="Times New Roman"/>
                <w:sz w:val="16"/>
                <w:szCs w:val="16"/>
                <w:color w:val="auto"/>
              </w:rPr>
              <w:t>5,976</w:t>
            </w: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derivatives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gain recognized on derivative</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9,852</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Gain (loss) recognized on hedged items</w:t>
            </w:r>
          </w:p>
        </w:tc>
        <w:tc>
          <w:tcPr>
            <w:tcW w:w="2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color w:val="auto"/>
              </w:rPr>
              <w:t>(9,488)</w:t>
            </w:r>
          </w:p>
        </w:tc>
        <w:tc>
          <w:tcPr>
            <w:tcW w:w="0" w:type="dxa"/>
            <w:vAlign w:val="bottom"/>
          </w:tcPr>
          <w:p>
            <w:pPr>
              <w:spacing w:after="0"/>
              <w:rPr>
                <w:sz w:val="1"/>
                <w:szCs w:val="1"/>
                <w:color w:val="auto"/>
              </w:rPr>
            </w:pPr>
          </w:p>
        </w:tc>
      </w:tr>
      <w:tr>
        <w:trPr>
          <w:trHeight w:val="145"/>
        </w:trPr>
        <w:tc>
          <w:tcPr>
            <w:tcW w:w="382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6"/>
                <w:szCs w:val="16"/>
                <w:color w:val="auto"/>
              </w:rPr>
              <w:t>Net income recognized on AFS securities fair value</w:t>
            </w:r>
          </w:p>
        </w:tc>
        <w:tc>
          <w:tcPr>
            <w:tcW w:w="2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 - investment securities</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6,340</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hedges</w:t>
            </w:r>
          </w:p>
        </w:tc>
        <w:tc>
          <w:tcPr>
            <w:tcW w:w="292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2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Amounts related to interest settlements on</w:t>
            </w:r>
          </w:p>
        </w:tc>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4,963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(loss) recognized on derivatives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5,625</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recognized on hedged items</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(5,646)</w:t>
            </w:r>
          </w:p>
        </w:tc>
        <w:tc>
          <w:tcPr>
            <w:tcW w:w="0" w:type="dxa"/>
            <w:vAlign w:val="bottom"/>
          </w:tcPr>
          <w:p>
            <w:pPr>
              <w:spacing w:after="0"/>
              <w:rPr>
                <w:sz w:val="1"/>
                <w:szCs w:val="1"/>
                <w:color w:val="auto"/>
              </w:rPr>
            </w:pPr>
          </w:p>
        </w:tc>
      </w:tr>
      <w:tr>
        <w:trPr>
          <w:trHeight w:val="142"/>
        </w:trPr>
        <w:tc>
          <w:tcPr>
            <w:tcW w:w="382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Net income (loss) recognized on loan fair value</w:t>
            </w:r>
          </w:p>
        </w:tc>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revenue - loans, including fees</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center"/>
              <w:ind w:left="179"/>
              <w:spacing w:after="0"/>
              <w:rPr>
                <w:sz w:val="20"/>
                <w:szCs w:val="20"/>
                <w:color w:val="auto"/>
              </w:rPr>
            </w:pPr>
            <w:r>
              <w:rPr>
                <w:rFonts w:ascii="Times New Roman" w:cs="Times New Roman" w:eastAsia="Times New Roman" w:hAnsi="Times New Roman"/>
                <w:sz w:val="16"/>
                <w:szCs w:val="16"/>
                <w:color w:val="auto"/>
              </w:rPr>
              <w:t>4,942</w:t>
            </w:r>
          </w:p>
        </w:tc>
        <w:tc>
          <w:tcPr>
            <w:tcW w:w="0" w:type="dxa"/>
            <w:vAlign w:val="bottom"/>
          </w:tcPr>
          <w:p>
            <w:pPr>
              <w:spacing w:after="0"/>
              <w:rPr>
                <w:sz w:val="1"/>
                <w:szCs w:val="1"/>
                <w:color w:val="auto"/>
              </w:rPr>
            </w:pPr>
          </w:p>
        </w:tc>
      </w:tr>
      <w:tr>
        <w:trPr>
          <w:trHeight w:val="194"/>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hedges</w:t>
            </w:r>
          </w:p>
        </w:tc>
        <w:tc>
          <w:tcPr>
            <w:tcW w:w="2920" w:type="dxa"/>
            <w:vAlign w:val="bottom"/>
            <w:gridSpan w:val="2"/>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1"/>
                <w:szCs w:val="21"/>
                <w:color w:val="auto"/>
                <w:vertAlign w:val="superscript"/>
              </w:rPr>
              <w:t>(1)</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long term debt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2,878</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firstLine="51"/>
        <w:spacing w:after="0" w:line="247" w:lineRule="auto"/>
        <w:tabs>
          <w:tab w:leader="none" w:pos="221"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Includes premium amortization expense excluded from the assessment of hedge effectiveness of $234,000 and $235,000 for the </w:t>
      </w:r>
      <w:r>
        <w:rPr>
          <w:rFonts w:ascii="Times New Roman" w:cs="Times New Roman" w:eastAsia="Times New Roman" w:hAnsi="Times New Roman"/>
          <w:sz w:val="17"/>
          <w:szCs w:val="17"/>
          <w:color w:val="auto"/>
        </w:rPr>
        <w:t>six months ended 2025</w:t>
      </w:r>
      <w:r>
        <w:rPr>
          <w:rFonts w:ascii="Times New Roman" w:cs="Times New Roman" w:eastAsia="Times New Roman" w:hAnsi="Times New Roman"/>
          <w:sz w:val="16"/>
          <w:szCs w:val="16"/>
          <w:color w:val="auto"/>
        </w:rPr>
        <w:t xml:space="preserve"> and 2024, respectively.</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carrying amount of hedged items and cumulative fair value hedging basis adjustments for the periods presented. All fair value hedges of AFS debt securities and loans at June 30, 2025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8"/>
          <w:szCs w:val="18"/>
          <w:color w:val="auto"/>
        </w:rPr>
        <w:t xml:space="preserve"> December 31, 2024 were designated under the portfolio layer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00" w:type="dxa"/>
            <w:vAlign w:val="bottom"/>
          </w:tcPr>
          <w:p>
            <w:pPr>
              <w:spacing w:after="0"/>
              <w:rPr>
                <w:sz w:val="13"/>
                <w:szCs w:val="13"/>
                <w:color w:val="auto"/>
              </w:rPr>
            </w:pPr>
          </w:p>
        </w:tc>
        <w:tc>
          <w:tcPr>
            <w:tcW w:w="13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120" w:type="dxa"/>
            <w:vAlign w:val="bottom"/>
          </w:tcPr>
          <w:p>
            <w:pPr>
              <w:spacing w:after="0"/>
              <w:rPr>
                <w:sz w:val="13"/>
                <w:szCs w:val="13"/>
                <w:color w:val="auto"/>
              </w:rPr>
            </w:pP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20" w:type="dxa"/>
            <w:vAlign w:val="bottom"/>
          </w:tcPr>
          <w:p>
            <w:pPr>
              <w:spacing w:after="0"/>
              <w:rPr>
                <w:sz w:val="13"/>
                <w:szCs w:val="13"/>
                <w:color w:val="auto"/>
              </w:rPr>
            </w:pPr>
          </w:p>
        </w:tc>
        <w:tc>
          <w:tcPr>
            <w:tcW w:w="132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0" w:type="dxa"/>
            <w:vAlign w:val="bottom"/>
          </w:tcPr>
          <w:p>
            <w:pPr>
              <w:spacing w:after="0"/>
              <w:rPr>
                <w:sz w:val="1"/>
                <w:szCs w:val="1"/>
                <w:color w:val="auto"/>
              </w:rPr>
            </w:pPr>
          </w:p>
        </w:tc>
      </w:tr>
      <w:tr>
        <w:trPr>
          <w:trHeight w:val="214"/>
        </w:trPr>
        <w:tc>
          <w:tcPr>
            <w:tcW w:w="21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Layer</w:t>
            </w: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2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Layer</w:t>
            </w:r>
          </w:p>
        </w:tc>
        <w:tc>
          <w:tcPr>
            <w:tcW w:w="0" w:type="dxa"/>
            <w:vAlign w:val="bottom"/>
          </w:tcPr>
          <w:p>
            <w:pPr>
              <w:spacing w:after="0"/>
              <w:rPr>
                <w:sz w:val="1"/>
                <w:szCs w:val="1"/>
                <w:color w:val="auto"/>
              </w:rPr>
            </w:pPr>
          </w:p>
        </w:tc>
      </w:tr>
      <w:tr>
        <w:trPr>
          <w:trHeight w:val="211"/>
        </w:trPr>
        <w:tc>
          <w:tcPr>
            <w:tcW w:w="2000" w:type="dxa"/>
            <w:vAlign w:val="bottom"/>
            <w:tcBorders>
              <w:top w:val="single" w:sz="8" w:color="auto"/>
            </w:tcBorders>
            <w:shd w:val="clear" w:color="auto" w:fill="CCEEFF"/>
          </w:tcPr>
          <w:p>
            <w:pPr>
              <w:ind w:left="40"/>
              <w:spacing w:after="0" w:line="212" w:lineRule="exact"/>
              <w:rPr>
                <w:sz w:val="20"/>
                <w:szCs w:val="20"/>
                <w:color w:val="auto"/>
              </w:rPr>
            </w:pPr>
            <w:r>
              <w:rPr>
                <w:rFonts w:ascii="Times New Roman" w:cs="Times New Roman" w:eastAsia="Times New Roman" w:hAnsi="Times New Roman"/>
                <w:sz w:val="16"/>
                <w:szCs w:val="16"/>
                <w:color w:val="auto"/>
              </w:rPr>
              <w:t xml:space="preserve">Debt securities AFS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802,731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821,507</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Loans and leases held for</w:t>
            </w: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4,289,904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2,050,000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4,628,030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0" w:type="dxa"/>
            <w:vAlign w:val="bottom"/>
          </w:tcPr>
          <w:p>
            <w:pPr>
              <w:spacing w:after="0"/>
              <w:rPr>
                <w:sz w:val="1"/>
                <w:szCs w:val="1"/>
                <w:color w:val="auto"/>
              </w:rPr>
            </w:pPr>
          </w:p>
        </w:tc>
      </w:tr>
      <w:tr>
        <w:trPr>
          <w:trHeight w:val="21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w:t>
            </w: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for AFS debt securities reflects amortized cost, which excludes the hedge accounting basis adjustment.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economic hedges of market-linked brokered certificates of deposit, which contain embedded derivatives that are bifurcated from the host instruments. The fair value marks on the swaps and the bifurcated embedded derivatives tend to move in opposite directions and therefore provide an economic hedge.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connection with residential mortgage loans that are originated with the intention of selling them, United enters into commitments to originate residential mortgage loans and forward loan sales commitments.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gains and losses recognized in income on derivatives not designated as hedging instruments for the periods indicated.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gridSpan w:val="9"/>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 of Gain (Loss) Recognized in Income on Derivatives</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2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 of Gain (Loss)</w:t>
            </w:r>
          </w:p>
        </w:tc>
        <w:tc>
          <w:tcPr>
            <w:tcW w:w="280" w:type="dxa"/>
            <w:vAlign w:val="bottom"/>
          </w:tcPr>
          <w:p>
            <w:pPr>
              <w:spacing w:after="0"/>
              <w:rPr>
                <w:sz w:val="16"/>
                <w:szCs w:val="16"/>
                <w:color w:val="auto"/>
              </w:rPr>
            </w:pPr>
          </w:p>
        </w:tc>
        <w:tc>
          <w:tcPr>
            <w:tcW w:w="19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5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960" w:type="dxa"/>
            <w:vAlign w:val="bottom"/>
            <w:gridSpan w:val="3"/>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20" w:type="dxa"/>
            <w:vAlign w:val="bottom"/>
            <w:gridSpan w:val="5"/>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5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rPr>
              <w:t>Recognized in Income on</w:t>
            </w:r>
          </w:p>
        </w:tc>
        <w:tc>
          <w:tcPr>
            <w:tcW w:w="2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Borders>
              <w:bottom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62"/>
        </w:trPr>
        <w:tc>
          <w:tcPr>
            <w:tcW w:w="3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Bifurcated embedded derivatives and dealer</w:t>
            </w:r>
          </w:p>
        </w:tc>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offsets</w:t>
            </w:r>
          </w:p>
        </w:tc>
        <w:tc>
          <w:tcPr>
            <w:tcW w:w="25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5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Mortgage loan gains and other</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1,352</w:t>
            </w:r>
          </w:p>
        </w:tc>
        <w:tc>
          <w:tcPr>
            <w:tcW w:w="0" w:type="dxa"/>
            <w:vAlign w:val="bottom"/>
          </w:tcPr>
          <w:p>
            <w:pPr>
              <w:spacing w:after="0"/>
              <w:rPr>
                <w:sz w:val="1"/>
                <w:szCs w:val="1"/>
                <w:color w:val="auto"/>
              </w:rPr>
            </w:pPr>
          </w:p>
        </w:tc>
      </w:tr>
      <w:tr>
        <w:trPr>
          <w:trHeight w:val="216"/>
        </w:trPr>
        <w:tc>
          <w:tcPr>
            <w:tcW w:w="3220" w:type="dxa"/>
            <w:vAlign w:val="bottom"/>
            <w:vMerge w:val="continue"/>
            <w:shd w:val="clear" w:color="auto" w:fill="CCEEFF"/>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fees</w:t>
            </w: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4"/>
        </w:trPr>
        <w:tc>
          <w:tcPr>
            <w:tcW w:w="322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1,878</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1,366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and other intangible assets as of the dates indicated is summarized below</w:t>
      </w:r>
      <w:r>
        <w:rPr>
          <w:rFonts w:ascii="Times New Roman" w:cs="Times New Roman" w:eastAsia="Times New Roman" w:hAnsi="Times New Roman"/>
          <w:sz w:val="18"/>
          <w:szCs w:val="18"/>
          <w:i w:val="1"/>
          <w:iCs w:val="1"/>
          <w:color w:val="auto"/>
        </w:rPr>
        <w: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ind w:left="17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940" w:type="dxa"/>
            <w:vAlign w:val="bottom"/>
            <w:tcBorders>
              <w:top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Core deposit intangible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100,694</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(51,141)</w:t>
            </w:r>
          </w:p>
        </w:tc>
        <w:tc>
          <w:tcPr>
            <w:tcW w:w="1760" w:type="dxa"/>
            <w:vAlign w:val="bottom"/>
            <w:tcBorders>
              <w:bottom w:val="single" w:sz="8" w:color="CCEEFF"/>
            </w:tcBorders>
          </w:tcPr>
          <w:p>
            <w:pPr>
              <w:spacing w:after="0"/>
              <w:rPr>
                <w:sz w:val="18"/>
                <w:szCs w:val="18"/>
                <w:color w:val="auto"/>
              </w:rPr>
            </w:pPr>
          </w:p>
        </w:tc>
      </w:tr>
      <w:tr>
        <w:trPr>
          <w:trHeight w:val="212"/>
        </w:trPr>
        <w:tc>
          <w:tcPr>
            <w:tcW w:w="5940" w:type="dxa"/>
            <w:vAlign w:val="bottom"/>
            <w:shd w:val="clear" w:color="auto" w:fill="CCEEFF"/>
          </w:tcPr>
          <w:p>
            <w:pPr>
              <w:ind w:left="1960"/>
              <w:spacing w:after="0" w:line="213" w:lineRule="exact"/>
              <w:rPr>
                <w:sz w:val="20"/>
                <w:szCs w:val="20"/>
                <w:color w:val="auto"/>
              </w:rPr>
            </w:pPr>
            <w:r>
              <w:rPr>
                <w:rFonts w:ascii="Times New Roman" w:cs="Times New Roman" w:eastAsia="Times New Roman" w:hAnsi="Times New Roman"/>
                <w:sz w:val="16"/>
                <w:szCs w:val="16"/>
                <w:color w:val="auto"/>
              </w:rPr>
              <w:t xml:space="preserve">Net core deposit intangible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49,553</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1760" w:type="dxa"/>
            <w:vAlign w:val="bottom"/>
            <w:tcBorders>
              <w:bottom w:val="single" w:sz="8" w:color="CCEEFF"/>
            </w:tcBorders>
          </w:tcPr>
          <w:p>
            <w:pPr>
              <w:spacing w:after="0"/>
              <w:rPr>
                <w:sz w:val="18"/>
                <w:szCs w:val="18"/>
                <w:color w:val="auto"/>
              </w:rPr>
            </w:pPr>
          </w:p>
        </w:tc>
      </w:tr>
      <w:tr>
        <w:trPr>
          <w:trHeight w:val="237"/>
        </w:trPr>
        <w:tc>
          <w:tcPr>
            <w:tcW w:w="59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974,385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956,643</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04"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intangible assets become fully amortized, they are excluded from balances presented.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2025, in connection with the ANB acquisition, United recorded a core deposit intangible of $6.29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for the periods indicated.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6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4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r>
      <w:tr>
        <w:trPr>
          <w:trHeight w:val="21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907,090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921,253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919,914</w:t>
            </w:r>
          </w:p>
        </w:tc>
      </w:tr>
      <w:tr>
        <w:trPr>
          <w:trHeight w:val="216"/>
        </w:trPr>
        <w:tc>
          <w:tcPr>
            <w:tcW w:w="4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 of ANB </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Measurement period adjustment - First Miami</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FinTrust goodwill write-down</w:t>
            </w:r>
          </w:p>
        </w:tc>
        <w:tc>
          <w:tcPr>
            <w:tcW w:w="9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r>
      <w:tr>
        <w:trPr>
          <w:trHeight w:val="237"/>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925,119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916,153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916,153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See Note 3 for further details.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color w:val="auto"/>
        </w:rPr>
        <w:t>The estimated aggregate amortization expense for future periods for finite-lived intangibles is as follows:</w:t>
      </w:r>
    </w:p>
    <w:p>
      <w:pPr>
        <w:spacing w:after="0" w:line="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3500" w:type="dxa"/>
            <w:vAlign w:val="bottom"/>
            <w:tcBorders>
              <w:top w:val="single" w:sz="8" w:color="CCEEFF"/>
            </w:tcBorders>
            <w:shd w:val="clear" w:color="auto" w:fill="CCEEFF"/>
          </w:tcPr>
          <w:p>
            <w:pPr>
              <w:spacing w:after="0"/>
              <w:rPr>
                <w:sz w:val="18"/>
                <w:szCs w:val="18"/>
                <w:color w:val="auto"/>
              </w:rPr>
            </w:pPr>
          </w:p>
        </w:tc>
      </w:tr>
      <w:tr>
        <w:trPr>
          <w:trHeight w:val="213"/>
        </w:trPr>
        <w:tc>
          <w:tcPr>
            <w:tcW w:w="6060" w:type="dxa"/>
            <w:vAlign w:val="bottom"/>
            <w:gridSpan w:val="2"/>
          </w:tcPr>
          <w:p>
            <w:pPr>
              <w:ind w:left="350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11,501</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9,498</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gridSpan w:val="2"/>
          </w:tcPr>
          <w:p>
            <w:pPr>
              <w:ind w:left="350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7,592</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2029</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3500" w:type="dxa"/>
            <w:vAlign w:val="bottom"/>
            <w:shd w:val="clear" w:color="auto" w:fill="CCEEFF"/>
          </w:tcPr>
          <w:p>
            <w:pPr>
              <w:spacing w:after="0"/>
              <w:rPr>
                <w:sz w:val="19"/>
                <w:szCs w:val="19"/>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3500" w:type="dxa"/>
            <w:vAlign w:val="bottom"/>
            <w:tcBorders>
              <w:bottom w:val="single" w:sz="8" w:color="CCEEFF"/>
            </w:tcBorders>
          </w:tcPr>
          <w:p>
            <w:pPr>
              <w:spacing w:after="0"/>
              <w:rPr>
                <w:sz w:val="18"/>
                <w:szCs w:val="18"/>
                <w:color w:val="auto"/>
              </w:rPr>
            </w:pP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49,266</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Assets and Liabilities Measured at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for an asset or paid to transfer a liability in the principal or most advantageous market available to the entity in an orderly transaction between market participants on the measurement date. Fair values are categorized within a three-level measurement hierarchy: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(other than quoted prices), such as interest rates, foreign exchange rates, and yield curves that are observable at commonly quoted intervals.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which are typically based on an entity’s own assumptions, as there is little, if any, related market activity.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has processes in place to review the significant valuation inputs and to assesses on a quarterly basis how instruments are classified within the valuation framework. Transfers into or out of fair value hierarchy levels are made as the observability of input assumptions change. During the six months ended June 30, 2025, there were no changes to valuation approaches or techniques that warranted a hierarchy level change.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table below presents United’s assets and liabilities measured at fair value on a recurring basis as of the dates indicated, aggregated by the level in the fair value hierarchy within which those measurements fall.</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334,492</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295,691</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157,422</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2,079,812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2,079,812</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769,056</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137,830</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301,020</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37,143</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14,415</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39,677</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39,824</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3,809,705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4,220,757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14,417</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60,877</w:t>
            </w:r>
          </w:p>
        </w:tc>
        <w:tc>
          <w:tcPr>
            <w:tcW w:w="0" w:type="dxa"/>
            <w:vAlign w:val="bottom"/>
          </w:tcPr>
          <w:p>
            <w:pPr>
              <w:spacing w:after="0"/>
              <w:rPr>
                <w:sz w:val="1"/>
                <w:szCs w:val="1"/>
                <w:color w:val="auto"/>
              </w:rPr>
            </w:pPr>
          </w:p>
        </w:tc>
      </w:tr>
      <w:tr>
        <w:trPr>
          <w:trHeight w:val="209"/>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51,660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75,294</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50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503,669</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320,267</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158,232</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2,229,959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2,229,959</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822,897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152,620</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4,025,498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4,609,845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212"/>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65,548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93,165</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Fair Value Measurements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significant unobservable inputs related to United’s material categories of Level 3 financial instruments measured at fair value on a recurring basis as of the dates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440" w:type="dxa"/>
            <w:vAlign w:val="bottom"/>
            <w:gridSpan w:val="4"/>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360" w:type="dxa"/>
            <w:vAlign w:val="bottom"/>
            <w:gridSpan w:val="3"/>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2620" w:type="dxa"/>
            <w:vAlign w:val="bottom"/>
            <w:gridSpan w:val="2"/>
            <w:vMerge w:val="continue"/>
          </w:tcPr>
          <w:p>
            <w:pPr>
              <w:spacing w:after="0"/>
              <w:rPr>
                <w:sz w:val="18"/>
                <w:szCs w:val="18"/>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440" w:type="dxa"/>
            <w:vAlign w:val="bottom"/>
            <w:gridSpan w:val="4"/>
            <w:vMerge w:val="continue"/>
          </w:tcPr>
          <w:p>
            <w:pPr>
              <w:spacing w:after="0"/>
              <w:rPr>
                <w:sz w:val="18"/>
                <w:szCs w:val="18"/>
                <w:color w:val="auto"/>
              </w:rPr>
            </w:pPr>
          </w:p>
        </w:tc>
        <w:tc>
          <w:tcPr>
            <w:tcW w:w="2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3"/>
                <w:szCs w:val="13"/>
                <w:color w:val="auto"/>
              </w:rPr>
            </w:pPr>
          </w:p>
        </w:tc>
        <w:tc>
          <w:tcPr>
            <w:tcW w:w="122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4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20" w:type="dxa"/>
            <w:vAlign w:val="bottom"/>
            <w:gridSpan w:val="2"/>
            <w:vMerge w:val="continue"/>
          </w:tcPr>
          <w:p>
            <w:pPr>
              <w:spacing w:after="0"/>
              <w:rPr>
                <w:sz w:val="11"/>
                <w:szCs w:val="11"/>
                <w:color w:val="auto"/>
              </w:rPr>
            </w:pPr>
          </w:p>
        </w:tc>
        <w:tc>
          <w:tcPr>
            <w:tcW w:w="11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85"/>
        </w:trPr>
        <w:tc>
          <w:tcPr>
            <w:tcW w:w="2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10.0 - 12.5</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10.0 - 14.0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6.5 - 25.8</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6.5 - 77.6</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 model</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73.0 - 100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70.4 - 100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and liabilities - other</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0.0 - 7.1</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0.0 - 7.1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89.3 - 100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89.3 - 100</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the beginning and ending balances of Level 3 assets and liabilities measured at fair value on a recurring basis for the periods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SBA/USDA</w:t>
            </w:r>
          </w:p>
        </w:tc>
        <w:tc>
          <w:tcPr>
            <w:tcW w:w="9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Contingent</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SBA/USDA</w:t>
            </w:r>
          </w:p>
        </w:tc>
        <w:tc>
          <w:tcPr>
            <w:tcW w:w="9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Loan</w:t>
            </w:r>
          </w:p>
        </w:tc>
        <w:tc>
          <w:tcPr>
            <w:tcW w:w="9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Mortgage</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Loan</w:t>
            </w:r>
          </w:p>
        </w:tc>
        <w:tc>
          <w:tcPr>
            <w:tcW w:w="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0" w:type="dxa"/>
            <w:vAlign w:val="bottom"/>
          </w:tcPr>
          <w:p>
            <w:pPr>
              <w:spacing w:after="0"/>
              <w:rPr>
                <w:sz w:val="1"/>
                <w:szCs w:val="1"/>
                <w:color w:val="auto"/>
              </w:rPr>
            </w:pPr>
          </w:p>
        </w:tc>
      </w:tr>
      <w:tr>
        <w:trPr>
          <w:trHeight w:val="162"/>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6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Servicing</w:t>
            </w:r>
          </w:p>
        </w:tc>
        <w:tc>
          <w:tcPr>
            <w:tcW w:w="9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Servicing</w:t>
            </w:r>
          </w:p>
        </w:tc>
        <w:tc>
          <w:tcPr>
            <w:tcW w:w="860" w:type="dxa"/>
            <w:vAlign w:val="bottom"/>
            <w:gridSpan w:val="3"/>
            <w:vMerge w:val="continue"/>
          </w:tcPr>
          <w:p>
            <w:pPr>
              <w:spacing w:after="0"/>
              <w:rPr>
                <w:sz w:val="14"/>
                <w:szCs w:val="14"/>
                <w:color w:val="auto"/>
              </w:rPr>
            </w:pPr>
          </w:p>
        </w:tc>
        <w:tc>
          <w:tcPr>
            <w:tcW w:w="11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Consideration</w:t>
            </w:r>
          </w:p>
        </w:tc>
        <w:tc>
          <w:tcPr>
            <w:tcW w:w="88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Servicing</w:t>
            </w:r>
          </w:p>
        </w:tc>
        <w:tc>
          <w:tcPr>
            <w:tcW w:w="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Servicing</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3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Bonds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Bonds</w:t>
            </w:r>
          </w:p>
        </w:tc>
        <w:tc>
          <w:tcPr>
            <w:tcW w:w="0" w:type="dxa"/>
            <w:vAlign w:val="bottom"/>
          </w:tcPr>
          <w:p>
            <w:pPr>
              <w:spacing w:after="0"/>
              <w:rPr>
                <w:sz w:val="1"/>
                <w:szCs w:val="1"/>
                <w:color w:val="auto"/>
              </w:rPr>
            </w:pPr>
          </w:p>
        </w:tc>
      </w:tr>
      <w:tr>
        <w:trPr>
          <w:trHeight w:val="210"/>
        </w:trPr>
        <w:tc>
          <w:tcPr>
            <w:tcW w:w="2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Sales and</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included in OCI</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included in</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39,677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Transfers from</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Sales and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included in OCI</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included in</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generally records mortgage loans held for sale at fair value under the fair value option. Interest income on these loans is calculated based on the note rate of the loan and is recorded in interest revenue. The following tables present the fair value and outstanding principal balance of loans accounted for under the fair value option, as well as the gain or loss recognized from the change in fair value for the periods indicated.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35,885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37,143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3"/>
        </w:trPr>
        <w:tc>
          <w:tcPr>
            <w:tcW w:w="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11"/>
          </w:tcPr>
          <w:p>
            <w:pPr>
              <w:jc w:val="center"/>
              <w:ind w:left="1199"/>
              <w:spacing w:after="0"/>
              <w:rPr>
                <w:sz w:val="20"/>
                <w:szCs w:val="20"/>
                <w:color w:val="auto"/>
              </w:rPr>
            </w:pPr>
            <w:r>
              <w:rPr>
                <w:rFonts w:ascii="Times New Roman" w:cs="Times New Roman" w:eastAsia="Times New Roman" w:hAnsi="Times New Roman"/>
                <w:sz w:val="16"/>
                <w:szCs w:val="16"/>
                <w:b w:val="1"/>
                <w:bCs w:val="1"/>
                <w:color w:val="auto"/>
              </w:rPr>
              <w:t>Gain (Loss) from Change in Fair Value on Mortgage Loans Held for Sale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20" w:type="dxa"/>
            <w:vAlign w:val="bottom"/>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0" w:type="dxa"/>
            <w:vAlign w:val="bottom"/>
            <w:gridSpan w:val="6"/>
          </w:tcPr>
          <w:p>
            <w:pPr>
              <w:jc w:val="center"/>
              <w:ind w:left="319"/>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center"/>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20" w:type="dxa"/>
            <w:vAlign w:val="bottom"/>
            <w:tcBorders>
              <w:bottom w:val="single" w:sz="8" w:color="CCEEFF"/>
            </w:tcBorders>
            <w:gridSpan w:val="2"/>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4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Mortgage loan gains (losses) and other related fees</w:t>
            </w:r>
          </w:p>
        </w:tc>
        <w:tc>
          <w:tcPr>
            <w:tcW w:w="1620" w:type="dxa"/>
            <w:vAlign w:val="bottom"/>
            <w:gridSpan w:val="2"/>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June 30, 2025 and December 31, 2024, for which a nonrecurring fair value adjustment was recorded during the year-to-date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8,213</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170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r>
      <w:tr>
        <w:trPr>
          <w:trHeight w:val="211"/>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27,313</w:t>
            </w:r>
          </w:p>
        </w:tc>
        <w:tc>
          <w:tcPr>
            <w:tcW w:w="172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held for investment that are reported above are generally impaired loans that have either been partially charged off or have specific reserves assigned to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disclosure provides estimated fair values for financial instruments not carried at fair value on the Consolidated Balance Sheets. 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1,935,748</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18,704,375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18,082,340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18,082,340</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23,963,012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23,959,284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23,959,284</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151,070</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1,925,964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1,944,126</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17,325,630</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23,453,487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23,453,487</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Reclassifications Out of AOCI</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details regarding amounts reclassified out of AOCI for the periods indicated. Amounts shown in parentheses reduce earnings.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168"/>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ind w:left="120"/>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4"/>
                <w:szCs w:val="14"/>
                <w:color w:val="auto"/>
              </w:rPr>
            </w:pPr>
          </w:p>
        </w:tc>
        <w:tc>
          <w:tcPr>
            <w:tcW w:w="1920" w:type="dxa"/>
            <w:vAlign w:val="bottom"/>
            <w:gridSpan w:val="4"/>
          </w:tcPr>
          <w:p>
            <w:pPr>
              <w:jc w:val="right"/>
              <w:ind w:right="359"/>
              <w:spacing w:after="0" w:line="16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3180" w:type="dxa"/>
            <w:vAlign w:val="bottom"/>
          </w:tcPr>
          <w:p>
            <w:pPr>
              <w:spacing w:after="0"/>
              <w:rPr>
                <w:sz w:val="14"/>
                <w:szCs w:val="14"/>
                <w:color w:val="auto"/>
              </w:rPr>
            </w:pPr>
          </w:p>
        </w:tc>
      </w:tr>
      <w:tr>
        <w:trPr>
          <w:trHeight w:val="216"/>
        </w:trPr>
        <w:tc>
          <w:tcPr>
            <w:tcW w:w="3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08"/>
        </w:trPr>
        <w:tc>
          <w:tcPr>
            <w:tcW w:w="3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1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1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net gains on AFS securities: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3"/>
        </w:trPr>
        <w:tc>
          <w:tcPr>
            <w:tcW w:w="37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 gains, net</w:t>
            </w:r>
          </w:p>
        </w:tc>
      </w:tr>
      <w:tr>
        <w:trPr>
          <w:trHeight w:val="219"/>
        </w:trPr>
        <w:tc>
          <w:tcPr>
            <w:tcW w:w="3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0"/>
        </w:trPr>
        <w:tc>
          <w:tcPr>
            <w:tcW w:w="37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r>
      <w:tr>
        <w:trPr>
          <w:trHeight w:val="213"/>
        </w:trPr>
        <w:tc>
          <w:tcPr>
            <w:tcW w:w="5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9"/>
        </w:trPr>
        <w:tc>
          <w:tcPr>
            <w:tcW w:w="37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3"/>
        </w:trPr>
        <w:tc>
          <w:tcPr>
            <w:tcW w:w="3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3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700" w:type="dxa"/>
            <w:vAlign w:val="bottom"/>
            <w:tcBorders>
              <w:top w:val="single" w:sz="8" w:color="CCEEFF"/>
            </w:tcBorders>
            <w:gridSpan w:val="3"/>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r>
      <w:tr>
        <w:trPr>
          <w:trHeight w:val="163"/>
        </w:trPr>
        <w:tc>
          <w:tcPr>
            <w:tcW w:w="37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180" w:type="dxa"/>
            <w:vAlign w:val="bottom"/>
          </w:tcPr>
          <w:p>
            <w:pPr>
              <w:spacing w:after="0"/>
              <w:rPr>
                <w:sz w:val="14"/>
                <w:szCs w:val="14"/>
                <w:color w:val="auto"/>
              </w:rPr>
            </w:pPr>
          </w:p>
        </w:tc>
      </w:tr>
      <w:tr>
        <w:trPr>
          <w:trHeight w:val="216"/>
        </w:trPr>
        <w:tc>
          <w:tcPr>
            <w:tcW w:w="5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Reclassifications related to derivative instruments accounted for as cash flow hedges: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3"/>
        </w:trPr>
        <w:tc>
          <w:tcPr>
            <w:tcW w:w="3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contracts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6"/>
        </w:trPr>
        <w:tc>
          <w:tcPr>
            <w:tcW w:w="3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2"/>
        </w:trPr>
        <w:tc>
          <w:tcPr>
            <w:tcW w:w="37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r>
      <w:tr>
        <w:trPr>
          <w:trHeight w:val="213"/>
        </w:trPr>
        <w:tc>
          <w:tcPr>
            <w:tcW w:w="59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3"/>
        </w:trPr>
        <w:tc>
          <w:tcPr>
            <w:tcW w:w="3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3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r>
      <w:tr>
        <w:trPr>
          <w:trHeight w:val="163"/>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241"/>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120" w:type="dxa"/>
            <w:vAlign w:val="bottom"/>
          </w:tcPr>
          <w:p>
            <w:pPr>
              <w:spacing w:after="0"/>
              <w:rPr>
                <w:sz w:val="16"/>
                <w:szCs w:val="16"/>
                <w:color w:val="auto"/>
              </w:rPr>
            </w:pPr>
          </w:p>
        </w:tc>
      </w:tr>
      <w:tr>
        <w:trPr>
          <w:trHeight w:val="212"/>
        </w:trPr>
        <w:tc>
          <w:tcPr>
            <w:tcW w:w="38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20" w:type="dxa"/>
            <w:vAlign w:val="bottom"/>
            <w:tcBorders>
              <w:bottom w:val="single" w:sz="8" w:color="auto"/>
            </w:tcBorders>
          </w:tcPr>
          <w:p>
            <w:pPr>
              <w:spacing w:after="0"/>
              <w:rPr>
                <w:sz w:val="18"/>
                <w:szCs w:val="18"/>
                <w:color w:val="auto"/>
              </w:rPr>
            </w:pPr>
          </w:p>
        </w:tc>
      </w:tr>
      <w:tr>
        <w:trPr>
          <w:trHeight w:val="211"/>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78,733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150,146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129,246</w:t>
            </w: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w:t>
            </w: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r>
      <w:tr>
        <w:trPr>
          <w:trHeight w:val="21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76,722</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64,674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146,150</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125,387</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3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4"/>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121,377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120,714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119,694</w:t>
            </w:r>
          </w:p>
        </w:tc>
      </w:tr>
      <w:tr>
        <w:trPr>
          <w:trHeight w:val="21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3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119,763</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5"/>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no potentially dilutive shares of common stock issuable upon exercise of stock options were excluded from the computation of earnings per share because of their antidilutive effect. For the three and six months ended June 30, 2024, respectively, 58,734 and 984 potentially dilutive shares of common stock issuable upon exercise of stock options were excluded from the computation of earnings per share because of their antidilutive effect.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Regulatory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June 30, 2025, and there have been no conditions or events since quarter-end that would change the status of well-capitalized.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Regulatory capital ratios at June 30, 2025 and December 31, 2024, along with the minimum amounts required for capital adequacy purposes and to be well-capitalized under regulatory requirements in effect at such times, are presented below for United and the Bank: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40" w:type="dxa"/>
            <w:vAlign w:val="bottom"/>
          </w:tcPr>
          <w:p>
            <w:pPr>
              <w:spacing w:after="0"/>
              <w:rPr>
                <w:sz w:val="16"/>
                <w:szCs w:val="16"/>
                <w:color w:val="auto"/>
              </w:rPr>
            </w:pPr>
          </w:p>
        </w:tc>
        <w:tc>
          <w:tcPr>
            <w:tcW w:w="25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(Consolidated)</w:t>
            </w:r>
          </w:p>
        </w:tc>
        <w:tc>
          <w:tcPr>
            <w:tcW w:w="240" w:type="dxa"/>
            <w:vAlign w:val="bottom"/>
          </w:tcPr>
          <w:p>
            <w:pPr>
              <w:spacing w:after="0"/>
              <w:rPr>
                <w:sz w:val="18"/>
                <w:szCs w:val="18"/>
                <w:color w:val="auto"/>
              </w:rPr>
            </w:pPr>
          </w:p>
        </w:tc>
        <w:tc>
          <w:tcPr>
            <w:tcW w:w="25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Well-</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20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2,728,423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2,608,136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2,569,206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2,816,689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2,696,402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2,569,206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3,096,192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2,982,273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2,783,709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2,756,811</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20,456,677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19,655,227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20,385,881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19,582,815</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27,153,560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27,059,513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27,104,174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27,014,385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June 30, 2025 and December 31, 2024, the minimum ratios as presented were subject to an additional capital conservation buffer of 2.50%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amount of significant off-balance sheet instruments as of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4,335,416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3,970,991</w:t>
            </w: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57,983</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June 30, 2025 and December 31, 2024 and our results of operations for the three and six months ended June 30, 2025 and 2024.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2024 10-K and the other reports we have filed with the SEC after we filed the 2024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solutions through a network of 200 banking offices in Georgia, South Carolina, North Carolina, Tennessee, Florida and Alabama. Our equipment finance and SBA/USDA lending businesses operate throughout the United States. At June 30, 2025, we had consolidated total assets of $28.1 billion and 3,050 full-time equivalent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2025, we completed the acquisition of ANB, which was headquartered in Oakland Park, Florida where it operated one banking location. We acquired $447 million of assets, including goodwill, and assumed $381 million of liabilities in the acquisition, which included $301 million in loans and $374 million in deposits. Our operating results for the three and six months ended June 30, 2025 include ANB’s operating results for the period subsequent to the acquisition date.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U.S. enacted the One Big Beautiful Bill Act, which includes a broad range of tax reform provisions affecting businesses. Of note, the 21% corporate tax rate provided by the Tax Cuts and Jobs Act of 2017, which was scheduled to sunset on December 31, 2025, was made permanent with the passing of this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reported net income and diluted earnings per common share of $78.7 million and $0.63, respectively, for the second quarter of 2025, compared to $66.6 million and $0.54, respectively, for the same period in 2024. For the six months ended June 30, 2025 and 2024, we reported net income of $150 million and $129 million, respectively, and diluted earnings per common share of $1.21 and $1.05, respectively.</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revenue for the second quarter and first half of 2025 was $226 million and $438 million, respectively, compared to $209 million and $408 million, respectively, for the same periods of 2024. The increase in net interest revenue was mostly driven by lower deposit interest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margin for the second quarter and first half of 2025 increased to 3.50% and 3.43%, respectively, from 3.37% and 3.28%, respectively, for the comparative 2024 periods. The increases in net interest margin were primarily due to the larger decrease in interest rates paid on deposits compared to the decrease in interest rates earned on loans.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provision for credit losses of $11.8 million and $27.2 million for the second quarter and first half of 2025, respectively, which included $2.49 million for the initial ACL for ANB non-PCD loans and unfunded commitments. Provision expense for the comparative periods of 2024 was $12.2 million and $25.1 million.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of $34.7 million and $70.4 million for the second quarter and first half of 2025 decreased by $1.85 million and $5.78 million, respectively, compared to the same periods of 2024. The decrease was mostly driven by negative fair value adjustments to our mortgage servicing asset and a decrease in wealth management fees. The decrease in wealth management fees is reflective of the decrease in assets under management following the sale of FinTrust in the fourth quarter of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of $148 million and $289 million in the second quarter and first six months of 2025 were relatively consistent with the expense reported for the comparative periods of 2024. The three and six months of 2025 included ANB merger-related expense and higher communications and equipment expense, while the comparative periods of 2024 included a $5.10 million goodwill write-down related to the sale of FinTrust.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Results for the second quarter and first six months of 2025 are discussed in further detail throughout the following sections of MD&amp;A.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customary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2024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 and Explanation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“noninterest income - operating,” “noninterest expense - operating,” “net income – operating,” “diluted income per common share – operating,” “tangible book value per common share,” “return on common equity – operating,” “return on tangible common equity – operating,” “return on assets – operating,” “efficiency ratio – operating” and “tangible common equity to tangible assets”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data)</w:t>
            </w:r>
          </w:p>
        </w:tc>
        <w:tc>
          <w:tcPr>
            <w:tcW w:w="160" w:type="dxa"/>
            <w:vAlign w:val="bottom"/>
          </w:tcPr>
          <w:p>
            <w:pPr>
              <w:spacing w:after="0"/>
              <w:rPr>
                <w:sz w:val="12"/>
                <w:szCs w:val="12"/>
                <w:color w:val="auto"/>
              </w:rPr>
            </w:pPr>
          </w:p>
        </w:tc>
        <w:tc>
          <w:tcPr>
            <w:tcW w:w="1040" w:type="dxa"/>
            <w:vAlign w:val="bottom"/>
            <w:gridSpan w:val="3"/>
          </w:tcPr>
          <w:p>
            <w:pPr>
              <w:jc w:val="right"/>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Second</w:t>
            </w:r>
          </w:p>
        </w:tc>
        <w:tc>
          <w:tcPr>
            <w:tcW w:w="220" w:type="dxa"/>
            <w:vAlign w:val="bottom"/>
          </w:tcPr>
          <w:p>
            <w:pPr>
              <w:spacing w:after="0"/>
              <w:rPr>
                <w:sz w:val="12"/>
                <w:szCs w:val="12"/>
                <w:color w:val="auto"/>
              </w:rPr>
            </w:pPr>
          </w:p>
        </w:tc>
        <w:tc>
          <w:tcPr>
            <w:tcW w:w="1020" w:type="dxa"/>
            <w:vAlign w:val="bottom"/>
            <w:gridSpan w:val="3"/>
          </w:tcPr>
          <w:p>
            <w:pPr>
              <w:jc w:val="right"/>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020" w:type="dxa"/>
            <w:vAlign w:val="bottom"/>
            <w:gridSpan w:val="2"/>
            <w:vMerge w:val="restart"/>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Second</w:t>
            </w: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Fourth</w:t>
            </w: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8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20" w:type="dxa"/>
            <w:vAlign w:val="bottom"/>
            <w:gridSpan w:val="2"/>
          </w:tcPr>
          <w:p>
            <w:pPr>
              <w:jc w:val="right"/>
              <w:ind w:right="70"/>
              <w:spacing w:after="0" w:line="143" w:lineRule="exact"/>
              <w:rPr>
                <w:sz w:val="20"/>
                <w:szCs w:val="20"/>
                <w:color w:val="auto"/>
              </w:rPr>
            </w:pPr>
            <w:r>
              <w:rPr>
                <w:rFonts w:ascii="Times New Roman" w:cs="Times New Roman" w:eastAsia="Times New Roman" w:hAnsi="Times New Roman"/>
                <w:sz w:val="14"/>
                <w:szCs w:val="14"/>
                <w:b w:val="1"/>
                <w:bCs w:val="1"/>
                <w:color w:val="auto"/>
              </w:rPr>
              <w:t>2025 - 2024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1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1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SUMMARY</w:t>
            </w: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347,365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335,357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344,962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349,086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346,965</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682,722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683,693</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121,834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123,336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134,629</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139,900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138,265</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245,170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275,844</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revenue</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225,531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212,021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210,333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209,186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208,700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437,552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407,849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86"/>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34,708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35,656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40,522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8,091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36,556</w:t>
            </w:r>
          </w:p>
        </w:tc>
        <w:tc>
          <w:tcPr>
            <w:tcW w:w="102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70,364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76,143</w:t>
            </w:r>
          </w:p>
        </w:tc>
        <w:tc>
          <w:tcPr>
            <w:tcW w:w="84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6"/>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260,239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247,677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250,855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217,277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245,256</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507,916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483,992</w:t>
            </w: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11,818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15,419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11,389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14,428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12,235</w:t>
            </w: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27,237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25,134</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147,919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141,099</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143,056</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143,065</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147,044</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289,018</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292,046</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9"/>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16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100,502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91,159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96,410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59,784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85,977</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191,661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166,812</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21,769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19,746</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20,606</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12,437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19,362</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41,515</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37,566</w:t>
            </w: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9"/>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78,733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71,413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75,804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47,347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66,615</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150,146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129,246</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items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4,833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2,203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29,385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6,493</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n/m</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6,130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8,680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35"/>
        </w:trPr>
        <w:tc>
          <w:tcPr>
            <w:tcW w:w="24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Income tax benefit of non-operating</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items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(6,276)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(1,462)</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4"/>
                <w:szCs w:val="14"/>
                <w:color w:val="auto"/>
              </w:rPr>
              <w:t>n/m</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(1,955)</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Net income - operating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82,519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72,429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77,536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70,456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71,646</w:t>
            </w:r>
          </w:p>
        </w:tc>
        <w:tc>
          <w:tcPr>
            <w:tcW w:w="10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154,948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135,971</w:t>
            </w:r>
          </w:p>
        </w:tc>
        <w:tc>
          <w:tcPr>
            <w:tcW w:w="8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Per common share: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 net income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0.63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0.38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0.54</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1.05</w:t>
            </w: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Diluted net income - operating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0.58</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1.10</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0.23</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0.48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0.46</w:t>
            </w: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Book value</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27.87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27.18</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27.18</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20"/>
              <w:spacing w:after="0" w:line="193" w:lineRule="exact"/>
              <w:rPr>
                <w:sz w:val="20"/>
                <w:szCs w:val="20"/>
                <w:color w:val="auto"/>
              </w:rPr>
            </w:pPr>
            <w:r>
              <w:rPr>
                <w:rFonts w:ascii="Times New Roman" w:cs="Times New Roman" w:eastAsia="Times New Roman" w:hAnsi="Times New Roman"/>
                <w:sz w:val="14"/>
                <w:szCs w:val="14"/>
                <w:color w:val="auto"/>
              </w:rPr>
              <w:t xml:space="preserve">Tangible book value </w:t>
            </w:r>
            <w:r>
              <w:rPr>
                <w:rFonts w:ascii="Times New Roman" w:cs="Times New Roman" w:eastAsia="Times New Roman" w:hAnsi="Times New Roman"/>
                <w:sz w:val="18"/>
                <w:szCs w:val="18"/>
                <w:color w:val="auto"/>
                <w:vertAlign w:val="superscript"/>
              </w:rPr>
              <w:t>(3)</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19.66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19.13</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19.13</w:t>
            </w: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Key performance ratios: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220"/>
              <w:spacing w:after="0" w:line="138" w:lineRule="exact"/>
              <w:rPr>
                <w:sz w:val="20"/>
                <w:szCs w:val="20"/>
                <w:color w:val="auto"/>
              </w:rPr>
            </w:pPr>
            <w:r>
              <w:rPr>
                <w:rFonts w:ascii="Times New Roman" w:cs="Times New Roman" w:eastAsia="Times New Roman" w:hAnsi="Times New Roman"/>
                <w:sz w:val="13"/>
                <w:szCs w:val="13"/>
                <w:color w:val="auto"/>
              </w:rPr>
              <w:t xml:space="preserve">Return on common equity - GAAP </w:t>
            </w:r>
            <w:r>
              <w:rPr>
                <w:rFonts w:ascii="Times New Roman" w:cs="Times New Roman" w:eastAsia="Times New Roman" w:hAnsi="Times New Roman"/>
                <w:sz w:val="16"/>
                <w:szCs w:val="16"/>
                <w:color w:val="auto"/>
                <w:vertAlign w:val="superscript"/>
              </w:rPr>
              <w:t>(2)</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8.45 %</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8.40 %</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7.53 %</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8.18 %</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4"/>
                <w:szCs w:val="14"/>
                <w:color w:val="auto"/>
              </w:rPr>
              <w:t>Return on common equity -</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bscript"/>
              </w:rPr>
              <w:t>operating</w:t>
            </w:r>
            <w:r>
              <w:rPr>
                <w:rFonts w:ascii="Times New Roman" w:cs="Times New Roman" w:eastAsia="Times New Roman" w:hAnsi="Times New Roman"/>
                <w:sz w:val="8"/>
                <w:szCs w:val="8"/>
                <w:color w:val="auto"/>
              </w:rPr>
              <w:t xml:space="preserve"> (1)(2)(4)</w:t>
            </w:r>
          </w:p>
        </w:tc>
        <w:tc>
          <w:tcPr>
            <w:tcW w:w="160" w:type="dxa"/>
            <w:vAlign w:val="bottom"/>
          </w:tcPr>
          <w:p>
            <w:pPr>
              <w:spacing w:after="0"/>
              <w:rPr>
                <w:sz w:val="17"/>
                <w:szCs w:val="17"/>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Return on tangible common equity -</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bscript"/>
              </w:rPr>
              <w:t>operating</w:t>
            </w:r>
            <w:r>
              <w:rPr>
                <w:rFonts w:ascii="Times New Roman" w:cs="Times New Roman" w:eastAsia="Times New Roman" w:hAnsi="Times New Roman"/>
                <w:sz w:val="8"/>
                <w:szCs w:val="8"/>
                <w:color w:val="auto"/>
              </w:rPr>
              <w:t xml:space="preserve"> (1)(2)(3)(4)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Return on assets - GAAP </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0.97</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0.94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Return on assets - operating </w:t>
            </w:r>
            <w:r>
              <w:rPr>
                <w:rFonts w:ascii="Times New Roman" w:cs="Times New Roman" w:eastAsia="Times New Roman" w:hAnsi="Times New Roman"/>
                <w:sz w:val="18"/>
                <w:szCs w:val="18"/>
                <w:color w:val="auto"/>
                <w:vertAlign w:val="superscript"/>
              </w:rPr>
              <w:t>(1)(4)</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0.99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Net interest margin (FTE) </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Efficiency ratio - GAAP</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56.69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56.74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56.05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59.70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56.71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Efficiency ratio - operating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54.84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56.22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57.06</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58.08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to total assets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12.38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4"/>
                <w:szCs w:val="14"/>
                <w:color w:val="auto"/>
              </w:rPr>
              <w:t>Tangible common equity to tangible</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assets </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17"/>
                <w:szCs w:val="17"/>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NPAs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83,959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93,290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115,635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114,960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116,722</w:t>
            </w: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83,959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116,722</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ACL - loans</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216,500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211,974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206,998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205,290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213,022</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216,500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213,022</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charge-offs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8,225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9,607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9,517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23,651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11,614</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n/m</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17,832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24,522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ACL - loans to loans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140"/>
              <w:spacing w:after="0" w:line="193" w:lineRule="exact"/>
              <w:rPr>
                <w:sz w:val="20"/>
                <w:szCs w:val="20"/>
                <w:color w:val="auto"/>
              </w:rPr>
            </w:pPr>
            <w:r>
              <w:rPr>
                <w:rFonts w:ascii="Times New Roman" w:cs="Times New Roman" w:eastAsia="Times New Roman" w:hAnsi="Times New Roman"/>
                <w:sz w:val="14"/>
                <w:szCs w:val="14"/>
                <w:color w:val="auto"/>
              </w:rPr>
              <w:t xml:space="preserve">Net charge-offs to average loans </w:t>
            </w:r>
            <w:r>
              <w:rPr>
                <w:rFonts w:ascii="Times New Roman" w:cs="Times New Roman" w:eastAsia="Times New Roman" w:hAnsi="Times New Roman"/>
                <w:sz w:val="18"/>
                <w:szCs w:val="18"/>
                <w:color w:val="auto"/>
                <w:vertAlign w:val="superscript"/>
              </w:rPr>
              <w:t>(4)</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0.52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NPAs to total assets</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i w:val="1"/>
                <w:iCs w:val="1"/>
                <w:color w:val="auto"/>
              </w:rPr>
              <w:t>($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18,921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18,425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18,176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17,964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18,211</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18,921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18,211</w:t>
            </w: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6,382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6,661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6,804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6,038</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6,382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6,038</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28,086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27,874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27,720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27,373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27,057</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28,086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27,057</w:t>
            </w: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23,963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23,762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23,461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23,253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22,982</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23,963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22,982</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3,613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3,501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3,432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3,343</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3,613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3,343</w:t>
            </w: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35"/>
        </w:trPr>
        <w:tc>
          <w:tcPr>
            <w:tcW w:w="24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outstanding</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121,431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119,514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119,364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119,283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119,175</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121,431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119,175</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firstLine="8"/>
        <w:spacing w:after="0" w:line="365" w:lineRule="auto"/>
        <w:tabs>
          <w:tab w:leader="none" w:pos="115" w:val="left"/>
        </w:tabs>
        <w:numPr>
          <w:ilvl w:val="0"/>
          <w:numId w:val="1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E</w:t>
      </w:r>
      <w:r>
        <w:rPr>
          <w:rFonts w:ascii="Times New Roman" w:cs="Times New Roman" w:eastAsia="Times New Roman" w:hAnsi="Times New Roman"/>
          <w:sz w:val="11"/>
          <w:szCs w:val="11"/>
          <w:color w:val="auto"/>
        </w:rPr>
        <w:t>xcludes non-operating items as detailed on Non-GAAP Performance Measures Reconciliation on next page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color w:val="auto"/>
        </w:rPr>
        <w:t>Net income less preferred stock dividends, divided by average realized common</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color w:val="auto"/>
        </w:rPr>
        <w:t xml:space="preserve">equity, which excludes AOCI. </w:t>
      </w:r>
      <w:r>
        <w:rPr>
          <w:rFonts w:ascii="Times New Roman" w:cs="Times New Roman" w:eastAsia="Times New Roman" w:hAnsi="Times New Roman"/>
          <w:sz w:val="8"/>
          <w:szCs w:val="8"/>
          <w:color w:val="auto"/>
        </w:rPr>
        <w:t>(3)</w:t>
      </w:r>
      <w:r>
        <w:rPr>
          <w:rFonts w:ascii="Times New Roman" w:cs="Times New Roman" w:eastAsia="Times New Roman" w:hAnsi="Times New Roman"/>
          <w:sz w:val="11"/>
          <w:szCs w:val="11"/>
          <w:color w:val="auto"/>
        </w:rPr>
        <w:t xml:space="preserve"> Excludes effect of acquisition related intangibles and associated amortization. </w:t>
      </w:r>
      <w:r>
        <w:rPr>
          <w:rFonts w:ascii="Times New Roman" w:cs="Times New Roman" w:eastAsia="Times New Roman" w:hAnsi="Times New Roman"/>
          <w:sz w:val="8"/>
          <w:szCs w:val="8"/>
          <w:color w:val="auto"/>
        </w:rPr>
        <w:t>(4)</w:t>
      </w:r>
      <w:r>
        <w:rPr>
          <w:rFonts w:ascii="Times New Roman" w:cs="Times New Roman" w:eastAsia="Times New Roman" w:hAnsi="Times New Roman"/>
          <w:sz w:val="11"/>
          <w:szCs w:val="11"/>
          <w:color w:val="auto"/>
        </w:rPr>
        <w:t xml:space="preserve"> Annualized.</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37" w:name="page38"/>
    <w:bookmarkEnd w:id="37"/>
    <w:p>
      <w:pPr>
        <w:ind w:left="20"/>
        <w:spacing w:after="0"/>
        <w:rPr>
          <w:sz w:val="20"/>
          <w:szCs w:val="20"/>
          <w:color w:val="auto"/>
        </w:rPr>
      </w:pPr>
      <w:r>
        <w:rPr>
          <w:rFonts w:ascii="Times New Roman" w:cs="Times New Roman" w:eastAsia="Times New Roman" w:hAnsi="Times New Roman"/>
          <w:sz w:val="15"/>
          <w:szCs w:val="15"/>
          <w:b w:val="1"/>
          <w:bCs w:val="1"/>
          <w:color w:val="auto"/>
        </w:rPr>
        <w:t>UNITED COMMUNITY BANKS,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Table 1 (Continued) - Financial Highlights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Non-GAAP Performance Measures Reconciliation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5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5"/>
          </w:tcPr>
          <w:p>
            <w:pPr>
              <w:ind w:left="40"/>
              <w:spacing w:after="0" w:line="150" w:lineRule="exact"/>
              <w:rPr>
                <w:sz w:val="20"/>
                <w:szCs w:val="20"/>
                <w:color w:val="auto"/>
              </w:rPr>
            </w:pPr>
            <w:r>
              <w:rPr>
                <w:rFonts w:ascii="Times New Roman" w:cs="Times New Roman" w:eastAsia="Times New Roman" w:hAnsi="Times New Roman"/>
                <w:sz w:val="15"/>
                <w:szCs w:val="15"/>
                <w:b w:val="1"/>
                <w:bCs w:val="1"/>
                <w:color w:val="auto"/>
              </w:rPr>
              <w:t>For the Six Months Ended June</w:t>
            </w:r>
          </w:p>
        </w:tc>
      </w:tr>
      <w:tr>
        <w:trPr>
          <w:trHeight w:val="212"/>
        </w:trPr>
        <w:tc>
          <w:tcPr>
            <w:tcW w:w="3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30,</w:t>
            </w:r>
          </w:p>
        </w:tc>
        <w:tc>
          <w:tcPr>
            <w:tcW w:w="780" w:type="dxa"/>
            <w:vAlign w:val="bottom"/>
            <w:tcBorders>
              <w:bottom w:val="single" w:sz="8" w:color="auto"/>
            </w:tcBorders>
          </w:tcPr>
          <w:p>
            <w:pPr>
              <w:spacing w:after="0"/>
              <w:rPr>
                <w:sz w:val="18"/>
                <w:szCs w:val="18"/>
                <w:color w:val="auto"/>
              </w:rPr>
            </w:pPr>
          </w:p>
        </w:tc>
      </w:tr>
      <w:tr>
        <w:trPr>
          <w:trHeight w:val="146"/>
        </w:trPr>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5"/>
                <w:szCs w:val="15"/>
                <w:b w:val="1"/>
                <w:bCs w:val="1"/>
                <w:color w:val="auto"/>
              </w:rPr>
              <w:t>Second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5"/>
                <w:szCs w:val="15"/>
                <w:b w:val="1"/>
                <w:bCs w:val="1"/>
                <w:color w:val="auto"/>
              </w:rPr>
              <w:t>Fourth</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04"/>
              <w:spacing w:after="0" w:line="146" w:lineRule="exact"/>
              <w:rPr>
                <w:sz w:val="20"/>
                <w:szCs w:val="20"/>
                <w:color w:val="auto"/>
              </w:rPr>
            </w:pPr>
            <w:r>
              <w:rPr>
                <w:rFonts w:ascii="Times New Roman" w:cs="Times New Roman" w:eastAsia="Times New Roman" w:hAnsi="Times New Roman"/>
                <w:sz w:val="15"/>
                <w:szCs w:val="15"/>
                <w:b w:val="1"/>
                <w:bCs w:val="1"/>
                <w:color w:val="auto"/>
              </w:rPr>
              <w:t>Second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9"/>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Quarter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First Quarter</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Quarter</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Third Quarter</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Quarter</w:t>
            </w:r>
          </w:p>
        </w:tc>
        <w:tc>
          <w:tcPr>
            <w:tcW w:w="240" w:type="dxa"/>
            <w:vAlign w:val="bottom"/>
          </w:tcPr>
          <w:p>
            <w:pPr>
              <w:spacing w:after="0"/>
              <w:rPr>
                <w:sz w:val="18"/>
                <w:szCs w:val="18"/>
                <w:color w:val="auto"/>
              </w:rPr>
            </w:pPr>
          </w:p>
        </w:tc>
        <w:tc>
          <w:tcPr>
            <w:tcW w:w="7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5"/>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Noninterest income reconciliation</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Noninterest income (GAAP)</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34,708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35,656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40,522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36,556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70,364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76,143</w:t>
            </w: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27,209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(2,400)</w:t>
            </w:r>
          </w:p>
        </w:tc>
      </w:tr>
      <w:tr>
        <w:trPr>
          <w:trHeight w:val="198"/>
        </w:trPr>
        <w:tc>
          <w:tcPr>
            <w:tcW w:w="3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Noninterest income - operating</w:t>
            </w: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34,708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35,656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40,522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35,300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36,556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70,364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73,743</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0"/>
        </w:trPr>
        <w:tc>
          <w:tcPr>
            <w:tcW w:w="3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02"/>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Noninterest expense reconciliation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Noninterest expense (GAAP)</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147,919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141,099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143,056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143,065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147,044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289,018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292,046</w:t>
            </w: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(5,100)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(5,100)</w:t>
            </w:r>
          </w:p>
        </w:tc>
      </w:tr>
      <w:tr>
        <w:trPr>
          <w:trHeight w:val="20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(1,736)</w:t>
            </w:r>
          </w:p>
        </w:tc>
      </w:tr>
      <w:tr>
        <w:trPr>
          <w:trHeight w:val="20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(4,833)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(1,297)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(2,157)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(6,130)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(4,244)</w:t>
            </w:r>
          </w:p>
        </w:tc>
      </w:tr>
      <w:tr>
        <w:trPr>
          <w:trHeight w:val="223"/>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Noninterest expense - operating</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143,086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139,802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140,853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140,889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140,551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282,888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280,966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to operating income reconciliation</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(GAAP)</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78,733</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71,413</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75,804</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47,347</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66,615</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150,146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129,246</w:t>
            </w:r>
          </w:p>
        </w:tc>
      </w:tr>
      <w:tr>
        <w:trPr>
          <w:trHeight w:val="20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27,209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(2,400)</w:t>
            </w:r>
          </w:p>
        </w:tc>
      </w:tr>
      <w:tr>
        <w:trPr>
          <w:trHeight w:val="20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5,100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5,100</w:t>
            </w: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1,736</w:t>
            </w:r>
          </w:p>
        </w:tc>
      </w:tr>
      <w:tr>
        <w:trPr>
          <w:trHeight w:val="20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4,833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1,297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6,130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4,244</w:t>
            </w:r>
          </w:p>
        </w:tc>
      </w:tr>
      <w:tr>
        <w:trPr>
          <w:trHeight w:val="20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benefit of non-operating items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(1,047)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(281)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(471)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(6,276)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(1,462)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(1,328)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(1,955)</w:t>
            </w:r>
          </w:p>
        </w:tc>
      </w:tr>
      <w:tr>
        <w:trPr>
          <w:trHeight w:val="223"/>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 - operating</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82,519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72,429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77,536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70,456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71,646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154,948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135,971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Diluted income per common share reconciliation</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income per common share (GAAP)</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0.63</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0.58</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0.61</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0.38</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0.54</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1.05</w:t>
            </w:r>
          </w:p>
        </w:tc>
      </w:tr>
      <w:tr>
        <w:trPr>
          <w:trHeight w:val="20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(0.02)</w:t>
            </w:r>
          </w:p>
        </w:tc>
      </w:tr>
      <w:tr>
        <w:trPr>
          <w:trHeight w:val="20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0.03</w:t>
            </w: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0.02</w:t>
            </w: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0.02</w:t>
            </w:r>
          </w:p>
        </w:tc>
      </w:tr>
      <w:tr>
        <w:trPr>
          <w:trHeight w:val="198"/>
        </w:trPr>
        <w:tc>
          <w:tcPr>
            <w:tcW w:w="3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Diluted income per common share - operating</w:t>
            </w: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0.59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0.63</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0.58</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1.10</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0"/>
        </w:trPr>
        <w:tc>
          <w:tcPr>
            <w:tcW w:w="3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02"/>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Book value per common share reconciliation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Book value per common share (GAAP)</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27.87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27.68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27.18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27.18</w:t>
            </w:r>
          </w:p>
        </w:tc>
      </w:tr>
      <w:tr>
        <w:trPr>
          <w:trHeight w:val="20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(7.89)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(8.02)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(8.05)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(7.89)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(8.05)</w:t>
            </w:r>
          </w:p>
        </w:tc>
      </w:tr>
      <w:tr>
        <w:trPr>
          <w:trHeight w:val="223"/>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Tangible book value per common share</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20.58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19.66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19.13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19.13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Return on tangible common equity reconciliation</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Return on common equity (GAAP)</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7.34 %</w:t>
            </w:r>
          </w:p>
        </w:tc>
      </w:tr>
      <w:tr>
        <w:trPr>
          <w:trHeight w:val="20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(0.11)</w:t>
            </w:r>
          </w:p>
        </w:tc>
      </w:tr>
      <w:tr>
        <w:trPr>
          <w:trHeight w:val="20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0.23</w:t>
            </w:r>
          </w:p>
        </w:tc>
      </w:tr>
      <w:tr>
        <w:trPr>
          <w:trHeight w:val="200"/>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0.08</w:t>
            </w:r>
          </w:p>
        </w:tc>
      </w:tr>
      <w:tr>
        <w:trPr>
          <w:trHeight w:val="20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0.42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0.20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0.19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0.20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0.27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0.19</w:t>
            </w:r>
          </w:p>
        </w:tc>
      </w:tr>
      <w:tr>
        <w:trPr>
          <w:trHeight w:val="194"/>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Return on common equity - operating</w:t>
            </w:r>
          </w:p>
        </w:tc>
        <w:tc>
          <w:tcPr>
            <w:tcW w:w="180" w:type="dxa"/>
            <w:vAlign w:val="bottom"/>
          </w:tcPr>
          <w:p>
            <w:pPr>
              <w:spacing w:after="0"/>
              <w:rPr>
                <w:sz w:val="16"/>
                <w:szCs w:val="16"/>
                <w:color w:val="auto"/>
              </w:rPr>
            </w:pPr>
          </w:p>
        </w:tc>
        <w:tc>
          <w:tcPr>
            <w:tcW w:w="8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7.73</w:t>
            </w: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3.56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3.33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3.45</w:t>
            </w:r>
          </w:p>
        </w:tc>
      </w:tr>
      <w:tr>
        <w:trPr>
          <w:trHeight w:val="198"/>
        </w:trPr>
        <w:tc>
          <w:tcPr>
            <w:tcW w:w="3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Return on tangible common equity - operating</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12.34 %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12.12 %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11.17 %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11.68 %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11.78 %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11.18 %</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0"/>
        </w:trPr>
        <w:tc>
          <w:tcPr>
            <w:tcW w:w="3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0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type w:val="continuous"/>
        </w:sectPr>
      </w:pPr>
    </w:p>
    <w:bookmarkStart w:id="38" w:name="page39"/>
    <w:bookmarkEnd w:id="38"/>
    <w:p>
      <w:pPr>
        <w:ind w:left="20"/>
        <w:spacing w:after="0"/>
        <w:rPr>
          <w:sz w:val="20"/>
          <w:szCs w:val="20"/>
          <w:color w:val="auto"/>
        </w:rPr>
      </w:pPr>
      <w:r>
        <w:rPr>
          <w:rFonts w:ascii="Times New Roman" w:cs="Times New Roman" w:eastAsia="Times New Roman" w:hAnsi="Times New Roman"/>
          <w:sz w:val="15"/>
          <w:szCs w:val="15"/>
          <w:b w:val="1"/>
          <w:bCs w:val="1"/>
          <w:color w:val="auto"/>
        </w:rPr>
        <w:t>UNITED COMMUNITY BANKS,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Table 1 (Continued) - Financial Highlights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Non-GAAP Performance Measures Reconciliation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4"/>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For the Six Months Ended</w:t>
            </w:r>
          </w:p>
        </w:tc>
      </w:tr>
      <w:tr>
        <w:trPr>
          <w:trHeight w:val="212"/>
        </w:trPr>
        <w:tc>
          <w:tcPr>
            <w:tcW w:w="3660" w:type="dxa"/>
            <w:vAlign w:val="bottom"/>
          </w:tcPr>
          <w:p>
            <w:pPr>
              <w:spacing w:after="0"/>
              <w:rPr>
                <w:sz w:val="18"/>
                <w:szCs w:val="18"/>
                <w:color w:val="auto"/>
              </w:rPr>
            </w:pPr>
          </w:p>
        </w:tc>
        <w:tc>
          <w:tcPr>
            <w:tcW w:w="2100" w:type="dxa"/>
            <w:vAlign w:val="bottom"/>
            <w:tcBorders>
              <w:bottom w:val="single" w:sz="8" w:color="auto"/>
            </w:tcBorders>
            <w:gridSpan w:val="3"/>
          </w:tcPr>
          <w:p>
            <w:pPr>
              <w:jc w:val="right"/>
              <w:ind w:right="8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gridSpan w:val="3"/>
          </w:tcPr>
          <w:p>
            <w:pPr>
              <w:jc w:val="center"/>
              <w:ind w:left="62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00" w:type="dxa"/>
            <w:vAlign w:val="bottom"/>
            <w:tcBorders>
              <w:bottom w:val="single" w:sz="8" w:color="auto"/>
            </w:tcBorders>
          </w:tcPr>
          <w:p>
            <w:pPr>
              <w:spacing w:after="0"/>
              <w:rPr>
                <w:sz w:val="18"/>
                <w:szCs w:val="18"/>
                <w:color w:val="auto"/>
              </w:rPr>
            </w:pPr>
          </w:p>
        </w:tc>
      </w:tr>
      <w:tr>
        <w:trPr>
          <w:trHeight w:val="146"/>
        </w:trPr>
        <w:tc>
          <w:tcPr>
            <w:tcW w:w="3660" w:type="dxa"/>
            <w:vAlign w:val="bottom"/>
          </w:tcPr>
          <w:p>
            <w:pPr>
              <w:spacing w:after="0"/>
              <w:rPr>
                <w:sz w:val="12"/>
                <w:szCs w:val="12"/>
                <w:color w:val="auto"/>
              </w:rPr>
            </w:pPr>
          </w:p>
        </w:tc>
        <w:tc>
          <w:tcPr>
            <w:tcW w:w="11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rPr>
              <w:t>Second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rPr>
              <w:t>Fourth</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rPr>
              <w:t>Second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2"/>
        </w:trPr>
        <w:tc>
          <w:tcPr>
            <w:tcW w:w="366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Quarter</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First Quarter</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Quarter</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Third Quarter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Quarter</w:t>
            </w:r>
          </w:p>
        </w:tc>
        <w:tc>
          <w:tcPr>
            <w:tcW w:w="98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Return on assets reconciliation</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Return on assets (GAAP)</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1.06 %</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0.67 %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0.97 %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0.94 %</w:t>
            </w: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(0.01)</w:t>
            </w: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0.06</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0.03</w:t>
            </w: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tcPr>
          <w:p>
            <w:pPr>
              <w:spacing w:after="0"/>
              <w:rPr>
                <w:sz w:val="17"/>
                <w:szCs w:val="17"/>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0.01</w:t>
            </w: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0.05</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0.02</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0.02</w:t>
            </w:r>
          </w:p>
        </w:tc>
      </w:tr>
      <w:tr>
        <w:trPr>
          <w:trHeight w:val="198"/>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Return on assets - operating</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1.16 %</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1.01 %</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0.99 %</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9"/>
        </w:trPr>
        <w:tc>
          <w:tcPr>
            <w:tcW w:w="3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02"/>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Efficiency ratio reconciliation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Efficiency ratio (GAAP)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56.69 %</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56.74 %</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56.05 %</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65.51 %</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59.70 %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56.71 %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60.08 %</w:t>
            </w: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(7.15)</w:t>
            </w:r>
          </w:p>
        </w:tc>
        <w:tc>
          <w:tcPr>
            <w:tcW w:w="1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0.29</w:t>
            </w: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tcPr>
          <w:p>
            <w:pPr>
              <w:spacing w:after="0"/>
              <w:rPr>
                <w:sz w:val="17"/>
                <w:szCs w:val="17"/>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(1.05)</w:t>
            </w: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(0.36)</w:t>
            </w:r>
          </w:p>
        </w:tc>
      </w:tr>
      <w:tr>
        <w:trPr>
          <w:trHeight w:val="20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0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(1.85)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(0.52)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(0.87)</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(0.99)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(0.88)</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(0.88)</w:t>
            </w:r>
          </w:p>
        </w:tc>
      </w:tr>
      <w:tr>
        <w:trPr>
          <w:trHeight w:val="223"/>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Efficiency ratio - operating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54.84 %</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56.22 %</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55.18 %</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57.37 %</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57.06 %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55.51 %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58.08 %</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Tangible common equity to tangible assets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to total assets (GAAP)</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12.86 %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12.56 %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12.38 %</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12.45 %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12.35 %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12.86 %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12.35 %</w:t>
            </w: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10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(3.10)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(3.06)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(3.09)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(3.20)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(3.24)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(3.24)</w:t>
            </w:r>
          </w:p>
        </w:tc>
      </w:tr>
      <w:tr>
        <w:trPr>
          <w:trHeight w:val="20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preferred equity</w:t>
            </w:r>
          </w:p>
        </w:tc>
        <w:tc>
          <w:tcPr>
            <w:tcW w:w="10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(0.32)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(0.32)</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(0.32)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(0.33)</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(0.33)</w:t>
            </w:r>
          </w:p>
        </w:tc>
      </w:tr>
      <w:tr>
        <w:trPr>
          <w:trHeight w:val="223"/>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Tangible common equity to tangible assets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9.45 %</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9.18 %</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8.97 %</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8.93 %</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8.78 %</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quarter:</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FTE net interest revenue for the second quarter of 2025 was $227 million, an increase of $16.8 million from the same period in 2024. Net interest-rate spread and net interest margin were 2.62% and 3.50%, respectively, which were up 30 basis points and 13 basis points, respectively, compared to the second quarter of 2024. The interest rate changes during the past year included cuts of 100 basis points in the federal funds rate, which drove decreases in funding costs, and to a lesser extent, loan yields.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FTE net interest revenue for the first six months of 2025 and 2024 was $440 million and $410 million, respectively. During the first six months of 2025, our net interest spread increased 31 basis points and our net interest margin increased by 15 basis points compared to the same period of 2024. Changes in net interest revenue and related metrics for the six months ended 2025 were a result of the same factors affecting the quarter.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Months Ended June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18,664,228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288,023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18,213,384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291,378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6,492,288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5,952,414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25,962,631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348,348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25,028,756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348,026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1,637,125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1,605,558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27,981,847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27,016,327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6,051,489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36,956</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2.45</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5,866,038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43,910</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6,645,336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17,475,456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16,689,926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17,720,860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121,834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17,018,889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138,265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6,351,540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346,643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24,419,043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23,703,350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3,562,804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3,312,977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27,981,847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27,016,327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226,514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209,761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2.62 %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340" w:hanging="332"/>
        <w:spacing w:after="0" w:line="267" w:lineRule="auto"/>
        <w:tabs>
          <w:tab w:leader="none" w:pos="327"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includes a taxable-equivalent adjustment to reflect comparable interest on taxable securities and loans. The FTE adjustment totaled $983,000 and $1.06 million, respectively, for the three months ended June 30, 2025 and 2024. The tax rate used to calculate the adjustment was 25%, reflecting the statutory federal income tax rate and the federal tax adjusted state income tax rate.</w:t>
      </w:r>
    </w:p>
    <w:p>
      <w:pPr>
        <w:spacing w:after="0" w:line="1" w:lineRule="exact"/>
        <w:rPr>
          <w:rFonts w:ascii="Times New Roman" w:cs="Times New Roman" w:eastAsia="Times New Roman" w:hAnsi="Times New Roman"/>
          <w:sz w:val="9"/>
          <w:szCs w:val="9"/>
          <w:color w:val="auto"/>
        </w:rPr>
      </w:pPr>
    </w:p>
    <w:p>
      <w:pPr>
        <w:ind w:left="320" w:hanging="312"/>
        <w:spacing w:after="0" w:line="192" w:lineRule="auto"/>
        <w:tabs>
          <w:tab w:leader="none" w:pos="3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211" w:lineRule="auto"/>
        <w:tabs>
          <w:tab w:leader="none" w:pos="346" w:val="left"/>
        </w:tabs>
        <w:numPr>
          <w:ilvl w:val="0"/>
          <w:numId w:val="12"/>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Unrealized losses on AFS securities, including those related to the transfer from AFS to HTM, have been reclassified to other assets. Pretax unrealized losses of $240 million in 2025 and $344 million in 2024 are included in other assets for purposes of this presentation.</w:t>
      </w:r>
    </w:p>
    <w:p>
      <w:pPr>
        <w:ind w:left="320" w:hanging="312"/>
        <w:spacing w:after="0" w:line="192" w:lineRule="auto"/>
        <w:tabs>
          <w:tab w:leader="none" w:pos="3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0" w:name="page41"/>
    <w:bookmarkEnd w:id="40"/>
    <w:p>
      <w:pPr>
        <w:ind w:left="120"/>
        <w:spacing w:after="0"/>
        <w:rPr>
          <w:sz w:val="20"/>
          <w:szCs w:val="20"/>
          <w:color w:val="auto"/>
        </w:rPr>
      </w:pPr>
      <w:r>
        <w:rPr>
          <w:rFonts w:ascii="Times New Roman" w:cs="Times New Roman" w:eastAsia="Times New Roman" w:hAnsi="Times New Roman"/>
          <w:sz w:val="18"/>
          <w:szCs w:val="18"/>
          <w:b w:val="1"/>
          <w:bCs w:val="1"/>
          <w:color w:val="auto"/>
        </w:rPr>
        <w:t>Table 3 - Average Consolidated Balance Sheets and Net Interest Analysis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Six Months Ended June 30,</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20320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18,440,110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561,953</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6.15 %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18,256,562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575,338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6,614,294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111,363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5,890,408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93,079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426,415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25,836,249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684,696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25,098,923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685,817</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1,623,689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1,611,928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27,853,825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27,098,972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6,092,519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74,346</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2.46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5,972,065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90,121</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6,614,819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104,009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1,176,768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71,639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17,393,568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238,070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16,735,947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268,246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246,061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309,287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17,702,855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245,170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17,062,857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275,844</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6,273,313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6,340,783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395,713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24,334,395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23,799,353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3,519,430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3,299,619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27,853,825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27,098,972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439,526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409,973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6"/>
                <w:szCs w:val="16"/>
                <w:color w:val="auto"/>
              </w:rPr>
              <w:t>2.55 %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3.43 %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280" w:hanging="280"/>
        <w:spacing w:after="0" w:line="267" w:lineRule="auto"/>
        <w:tabs>
          <w:tab w:leader="none" w:pos="267"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includes a taxable-equivalent adjustment to reflect comparable interest on taxable securities and loans. The FTE adjustment totaled $1.97 million and $2.12 million, respectively, for the six months ended June 30, 2025 and 2024. The tax rate used to calculate the adjustment was 25%, reflecting the statutory federal income tax rate and the federal tax adjusted state income tax rate.</w:t>
      </w:r>
    </w:p>
    <w:p>
      <w:pPr>
        <w:spacing w:after="0" w:line="1" w:lineRule="exact"/>
        <w:rPr>
          <w:rFonts w:ascii="Times New Roman" w:cs="Times New Roman" w:eastAsia="Times New Roman" w:hAnsi="Times New Roman"/>
          <w:sz w:val="9"/>
          <w:szCs w:val="9"/>
          <w:color w:val="auto"/>
        </w:rPr>
      </w:pPr>
    </w:p>
    <w:p>
      <w:pPr>
        <w:ind w:left="260" w:hanging="260"/>
        <w:spacing w:after="0" w:line="192" w:lineRule="auto"/>
        <w:tabs>
          <w:tab w:leader="none" w:pos="2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280" w:hanging="280"/>
        <w:spacing w:after="0" w:line="211" w:lineRule="auto"/>
        <w:tabs>
          <w:tab w:leader="none" w:pos="286" w:val="left"/>
        </w:tabs>
        <w:numPr>
          <w:ilvl w:val="0"/>
          <w:numId w:val="13"/>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Unrealized gains and losses on AFS securities, including those related to the transfer from AFS to HTM, have been reclassified to other assets. Pretax unrealized losses of $254 million and $333 million in 2025 and 2024, respectively, are included in other assets for purposes of this presentation.</w:t>
      </w:r>
    </w:p>
    <w:p>
      <w:pPr>
        <w:ind w:left="260" w:hanging="260"/>
        <w:spacing w:after="0" w:line="192" w:lineRule="auto"/>
        <w:tabs>
          <w:tab w:leader="none" w:pos="2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is taxable equivalent net-interest revenue divided by average interest-earning assets.</w:t>
      </w:r>
    </w:p>
    <w:p>
      <w:pPr>
        <w:sectPr>
          <w:pgSz w:w="11900" w:h="16838" w:orient="portrait"/>
          <w:cols w:equalWidth="0" w:num="1">
            <w:col w:w="11340"/>
          </w:cols>
          <w:pgMar w:left="220" w:top="968"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968"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4 - Noninterest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800" w:type="dxa"/>
            <w:vAlign w:val="bottom"/>
            <w:gridSpan w:val="4"/>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6"/>
                <w:szCs w:val="16"/>
                <w:color w:val="auto"/>
              </w:rPr>
            </w:pPr>
          </w:p>
        </w:tc>
        <w:tc>
          <w:tcPr>
            <w:tcW w:w="21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6"/>
                <w:szCs w:val="16"/>
                <w:color w:val="auto"/>
              </w:rPr>
            </w:pPr>
          </w:p>
        </w:tc>
        <w:tc>
          <w:tcPr>
            <w:tcW w:w="1700" w:type="dxa"/>
            <w:vAlign w:val="bottom"/>
            <w:gridSpan w:val="3"/>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97"/>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Overdraft fees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ATM and debit card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7"/>
        </w:trPr>
        <w:tc>
          <w:tcPr>
            <w:tcW w:w="2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Wealth management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sales of other loans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Lending and loan servicing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gains,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derivative fees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investment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2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2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0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10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mortgage loan gains and related fees for the three and six months ended June 30, 2025 compared to the same periods of 2024 was primarily a result of negative fair value adjustments to our mortgage servicing asset which were less favorable by $1.40 million and $2.98 million, respectively, compared to the fair value adjustments for the comparable periods of 2024. This decrease was partially offset by higher gains on mortgage sales and rate lock volume. The following table provides additional mortgage metrics for the periods indicated.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5 - Mortgage Loan Metrics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440" w:type="dxa"/>
            <w:vAlign w:val="bottom"/>
            <w:tcBorders>
              <w:top w:val="single" w:sz="8" w:color="auto"/>
            </w:tcBorders>
          </w:tcPr>
          <w:p>
            <w:pPr>
              <w:spacing w:after="0"/>
              <w:rPr>
                <w:sz w:val="13"/>
                <w:szCs w:val="13"/>
                <w:color w:val="auto"/>
              </w:rPr>
            </w:pPr>
          </w:p>
        </w:tc>
      </w:tr>
      <w:tr>
        <w:trPr>
          <w:trHeight w:val="214"/>
        </w:trPr>
        <w:tc>
          <w:tcPr>
            <w:tcW w:w="2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440" w:type="dxa"/>
            <w:vAlign w:val="bottom"/>
            <w:tcBorders>
              <w:bottom w:val="single" w:sz="8" w:color="auto"/>
            </w:tcBorders>
          </w:tcPr>
          <w:p>
            <w:pPr>
              <w:spacing w:after="0"/>
              <w:rPr>
                <w:sz w:val="18"/>
                <w:szCs w:val="18"/>
                <w:color w:val="auto"/>
              </w:rPr>
            </w:pPr>
          </w:p>
        </w:tc>
      </w:tr>
      <w:tr>
        <w:trPr>
          <w:trHeight w:val="209"/>
        </w:trPr>
        <w:tc>
          <w:tcPr>
            <w:tcW w:w="2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rate locks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294,935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554,512</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24 %</w:t>
            </w:r>
          </w:p>
        </w:tc>
      </w:tr>
      <w:tr>
        <w:trPr>
          <w:trHeight w:val="216"/>
        </w:trPr>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sold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144,651</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270,590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17</w:t>
            </w:r>
          </w:p>
        </w:tc>
      </w:tr>
      <w:tr>
        <w:trPr>
          <w:trHeight w:val="216"/>
        </w:trPr>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191,060</w:t>
            </w:r>
          </w:p>
        </w:tc>
        <w:tc>
          <w:tcPr>
            <w:tcW w:w="120" w:type="dxa"/>
            <w:vAlign w:val="bottom"/>
          </w:tcPr>
          <w:p>
            <w:pPr>
              <w:spacing w:after="0"/>
              <w:rPr>
                <w:sz w:val="18"/>
                <w:szCs w:val="18"/>
                <w:color w:val="auto"/>
              </w:rPr>
            </w:pPr>
          </w:p>
        </w:tc>
        <w:tc>
          <w:tcPr>
            <w:tcW w:w="1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414,867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339,285</w:t>
            </w:r>
          </w:p>
        </w:tc>
        <w:tc>
          <w:tcPr>
            <w:tcW w:w="120" w:type="dxa"/>
            <w:vAlign w:val="bottom"/>
          </w:tcPr>
          <w:p>
            <w:pPr>
              <w:spacing w:after="0"/>
              <w:rPr>
                <w:sz w:val="18"/>
                <w:szCs w:val="18"/>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22</w:t>
            </w:r>
          </w:p>
        </w:tc>
      </w:tr>
      <w:tr>
        <w:trPr>
          <w:trHeight w:val="216"/>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Refinances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23,791</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46,551</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23</w:t>
            </w:r>
          </w:p>
        </w:tc>
      </w:tr>
      <w:tr>
        <w:trPr>
          <w:trHeight w:val="212"/>
        </w:trPr>
        <w:tc>
          <w:tcPr>
            <w:tcW w:w="2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285,030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214,851</w:t>
            </w:r>
          </w:p>
        </w:tc>
        <w:tc>
          <w:tcPr>
            <w:tcW w:w="120" w:type="dxa"/>
            <w:vAlign w:val="bottom"/>
          </w:tcPr>
          <w:p>
            <w:pPr>
              <w:spacing w:after="0"/>
              <w:rPr>
                <w:sz w:val="18"/>
                <w:szCs w:val="18"/>
                <w:color w:val="auto"/>
              </w:rPr>
            </w:pPr>
          </w:p>
        </w:tc>
        <w:tc>
          <w:tcPr>
            <w:tcW w:w="1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472,262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385,836</w:t>
            </w:r>
          </w:p>
        </w:tc>
        <w:tc>
          <w:tcPr>
            <w:tcW w:w="120" w:type="dxa"/>
            <w:vAlign w:val="bottom"/>
          </w:tcPr>
          <w:p>
            <w:pPr>
              <w:spacing w:after="0"/>
              <w:rPr>
                <w:sz w:val="18"/>
                <w:szCs w:val="18"/>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22</w:t>
            </w:r>
          </w:p>
        </w:tc>
      </w:tr>
      <w:tr>
        <w:trPr>
          <w:trHeight w:val="21"/>
        </w:trPr>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wealth management fees reflects the decrease in assets under management and advisement as a result of the FinTrust sale in the fourth quarter of 2024. Assets under management and advisement totaled $3.29 billion and $5.30 billion at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Customer derivative fees for the three and six months ended June 30, 2025 were up due to stronger loan growth and increased product demand, attributable to the lower rates compared to the same periods of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investment income was primarily driven by weaker market conditions for the 2025 reporting periods, particularly related to our mutual fund and fintech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other noninterest income was largely driven by a positive change in collateral charges related to derivative positions.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 provision for credit losses of $11.8 million and $27.2 million for the three and six months ended June 30, 2025, compared to $12.2 million and $25.1 million for the same periods of 2024. For the three and six months ended June 30, 2025, the provision for credit losses included the initial provision for ANB’s non-PCD loans and unfunded commitments of $2.49 million. Additional discussion on credit quality and the ACL is included in the “Asset Quality and Risk Elements” section of MD&amp;A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 for the periods indicated.</w:t>
      </w: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6 - Noninterest Expense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204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6"/>
                <w:szCs w:val="16"/>
                <w:color w:val="auto"/>
              </w:rPr>
            </w:pPr>
          </w:p>
        </w:tc>
        <w:tc>
          <w:tcPr>
            <w:tcW w:w="19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6"/>
                <w:szCs w:val="16"/>
                <w:color w:val="auto"/>
              </w:rPr>
            </w:pPr>
          </w:p>
        </w:tc>
        <w:tc>
          <w:tcPr>
            <w:tcW w:w="1200" w:type="dxa"/>
            <w:vAlign w:val="bottom"/>
            <w:gridSpan w:val="3"/>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171,264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1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1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FDIC assessments and other regulatory</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1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16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16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Communications and equipment expense for the second quarter and first half of 2025 compared to the same periods of 2024 increased primarily due to new software contracts and incremental software contract costs on existing contracts, including volume based increases.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outside services - electronic banking reflects both volume-based cost increases and enhancements to our digital banking solutions.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FDIC assessments and other regulatory charges decreased for the first six months of 2025 as the comparative period of 2024 included $1.74 million of FDIC special assessment accrued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amortization of intangibles was primarily driven by the natural decline in amortization expense of our core deposit intangibles over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partially offset by ANB core deposit intangible amortization expense starting in May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merger-related and other charges for the second quarter and first half of 2025 was primarily driven by ANB merger-related costs.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Other noninterest expense for the three and six months ended 2025 was down compared to the same periods of last year as 2024 included a goodwill write-down of $5.10 million related to the sale of FinTrust.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income tax expense and the effective tax rate for the periods indicated.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 Income Tax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gridSpan w:val="3"/>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6"/>
              </w:rPr>
              <w:t>100,502</w:t>
            </w:r>
          </w:p>
        </w:tc>
        <w:tc>
          <w:tcPr>
            <w:tcW w:w="76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85,977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191,661</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166,812</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6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21,769</w:t>
            </w:r>
          </w:p>
        </w:tc>
        <w:tc>
          <w:tcPr>
            <w:tcW w:w="7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41,515</w:t>
            </w:r>
          </w:p>
        </w:tc>
        <w:tc>
          <w:tcPr>
            <w:tcW w:w="4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37,566</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at June 30, 2025 and December 31, 2024 were $28.1 billion and $27.7 billion, respectively. Total liabilities at June 30, 2025 and December 31, 2024 were $24.5 billion and $24.3 billion, respectively. Shareholders’ equity totaled $3.61 billion and $3.43 billion at June 30, 2025 and December 31,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loan portfolio is our largest category of interest-earning assets. The following table presents the loan portfolio and the allocation of the ACL by loan type for the periods indicated.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 Loan Portfolio Composition and ACL Allocation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11"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19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7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13"/>
                <w:szCs w:val="13"/>
                <w:color w:val="auto"/>
              </w:rPr>
            </w:pPr>
          </w:p>
        </w:tc>
        <w:tc>
          <w:tcPr>
            <w:tcW w:w="1400" w:type="dxa"/>
            <w:vAlign w:val="bottom"/>
            <w:gridSpan w:val="3"/>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7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ACL to</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3"/>
                <w:szCs w:val="13"/>
                <w:color w:val="auto"/>
              </w:rPr>
            </w:pPr>
          </w:p>
        </w:tc>
        <w:tc>
          <w:tcPr>
            <w:tcW w:w="136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of portfolio</w:t>
            </w: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ACL</w:t>
            </w:r>
          </w:p>
        </w:tc>
        <w:tc>
          <w:tcPr>
            <w:tcW w:w="100" w:type="dxa"/>
            <w:vAlign w:val="bottom"/>
          </w:tcPr>
          <w:p>
            <w:pPr>
              <w:spacing w:after="0"/>
              <w:rPr>
                <w:sz w:val="13"/>
                <w:szCs w:val="13"/>
                <w:color w:val="auto"/>
              </w:rPr>
            </w:pPr>
          </w:p>
        </w:tc>
        <w:tc>
          <w:tcPr>
            <w:tcW w:w="92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ACL to</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3,563,126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20,967</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0.58 %</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4,548,235</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49,072</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41,427</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2,515,360</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38,693</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1,751,850</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15,979</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1,777,936</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47,900</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47,415</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7"/>
        </w:trPr>
        <w:tc>
          <w:tcPr>
            <w:tcW w:w="1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commercial</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14,156,507</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172,611</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160,526</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3,210,430</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30,217</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32,259</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1,180,455</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173,829</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Manufactured housing </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20" w:type="dxa"/>
            <w:vAlign w:val="bottom"/>
          </w:tcPr>
          <w:p>
            <w:pPr>
              <w:spacing w:after="0"/>
              <w:rPr>
                <w:sz w:val="18"/>
                <w:szCs w:val="18"/>
                <w:color w:val="auto"/>
              </w:rPr>
            </w:pPr>
          </w:p>
        </w:tc>
        <w:tc>
          <w:tcPr>
            <w:tcW w:w="136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26.12</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190,958</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10"/>
        </w:trPr>
        <w:tc>
          <w:tcPr>
            <w:tcW w:w="1940" w:type="dxa"/>
            <w:vAlign w:val="bottom"/>
          </w:tcPr>
          <w:p>
            <w:pPr>
              <w:ind w:left="220"/>
              <w:spacing w:after="0" w:line="210"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18,912,179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216,500</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Loans presented exclude fair value hedge basis adjustments.</w:t>
      </w:r>
    </w:p>
    <w:p>
      <w:pPr>
        <w:ind w:left="180" w:hanging="172"/>
        <w:spacing w:after="0" w:line="191" w:lineRule="auto"/>
        <w:tabs>
          <w:tab w:leader="none" w:pos="1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2025, manufactured housing loans were included in consumer loans.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our income producing CRE portfolio as of June 30, 2025 and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CRE - Income Producing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4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loans in</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category</w:t>
            </w: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40" w:type="dxa"/>
            <w:vAlign w:val="bottom"/>
            <w:gridSpan w:val="2"/>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0" w:type="dxa"/>
            <w:vAlign w:val="bottom"/>
          </w:tcPr>
          <w:p>
            <w:pPr>
              <w:spacing w:after="0"/>
              <w:rPr>
                <w:sz w:val="1"/>
                <w:szCs w:val="1"/>
                <w:color w:val="auto"/>
              </w:rPr>
            </w:pPr>
          </w:p>
        </w:tc>
      </w:tr>
      <w:tr>
        <w:trPr>
          <w:trHeight w:val="211"/>
        </w:trPr>
        <w:tc>
          <w:tcPr>
            <w:tcW w:w="4140" w:type="dxa"/>
            <w:vAlign w:val="bottom"/>
            <w:tcBorders>
              <w:top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Retail</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865,274</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765,987</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Office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823,711</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792,449</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633,296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Warehouse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544,620</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502,586</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517,332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475,898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Hotel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501,473</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467,139</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Rental 1-4 Family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326,286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Senior Care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219,986</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259,056</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Self Storage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158,064</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138,223</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4,548,235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See the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section of MD&amp;A in our 2024 10-K for additional information on the ACL.</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ACL for loans at June 30, 2025 totaled $217 million compared to $207 million at December 31, 2024. The ACL for loans as a percentage of total loans remained flat at 1.14%. The increase in the ACL was primarily attributable to loan growth and the initial allowance established for ANB, partially offset by a reduction in the Hurricane Helene related allowance based on our latest assessment of potential storm related-loan losses. The initial ACL for ANB loans totaled $3.65 million, $1.25 million of which was reclassified from the fair value of PCD loans with no impact to earnings. The Hurricane Helene related reserve totaled $4.42 million and $9.80 million at June 30, 2025 and December 31, 2024, respectively. Our ACL for unfunded commitments, which totaled $11.5 million, increased $1.15 million compared to December 31, 2024 mostly due to an increase in our construction commitments.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The following table provides a summary of net charge-offs to average loans for the periods indicated.</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10 - Net Charge-offs to Average Loans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8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Pr>
          <w:p>
            <w:pPr>
              <w:spacing w:after="0"/>
              <w:rPr>
                <w:sz w:val="18"/>
                <w:szCs w:val="18"/>
                <w:color w:val="auto"/>
              </w:rPr>
            </w:pPr>
          </w:p>
        </w:tc>
        <w:tc>
          <w:tcPr>
            <w:tcW w:w="3380" w:type="dxa"/>
            <w:vAlign w:val="bottom"/>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8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charge-offs (recoveries)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tcPr>
          <w:p>
            <w:pPr>
              <w:spacing w:after="0"/>
              <w:rPr>
                <w:sz w:val="18"/>
                <w:szCs w:val="18"/>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3,173</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5,187</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11,864</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2,719</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1,301</w:t>
            </w:r>
          </w:p>
        </w:tc>
      </w:tr>
      <w:tr>
        <w:trPr>
          <w:trHeight w:val="207"/>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charge-offs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8,225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11,614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17,832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24,522</w:t>
            </w:r>
          </w:p>
        </w:tc>
      </w:tr>
      <w:tr>
        <w:trPr>
          <w:trHeight w:val="199"/>
        </w:trPr>
        <w:tc>
          <w:tcPr>
            <w:tcW w:w="3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4"/>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3,492,599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3,288,757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3,438,970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3,283,715</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4,488,186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4,113,743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4,451,373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4,168,985</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2,507,891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2,341,253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2,479,055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2,371,413</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1,744,511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1,966,053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1,701,888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1,929,485</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1,723,360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1,555,641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1,689,191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1,547,562</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3,214,776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3,238,225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3,219,652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3,224,620</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1,134,274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972,630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1,100,224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967,075</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174,030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233,317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175,716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256,031</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322,998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327,220</w:t>
            </w:r>
          </w:p>
        </w:tc>
      </w:tr>
      <w:tr>
        <w:trPr>
          <w:trHeight w:val="213"/>
        </w:trPr>
        <w:tc>
          <w:tcPr>
            <w:tcW w:w="3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184,601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180,767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184,041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180,456</w:t>
            </w:r>
          </w:p>
        </w:tc>
      </w:tr>
      <w:tr>
        <w:trPr>
          <w:trHeight w:val="237"/>
        </w:trPr>
        <w:tc>
          <w:tcPr>
            <w:tcW w:w="3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average loans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18,664,228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18,213,384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18,440,110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18,256,562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Net charge-offs to average loans </w:t>
            </w:r>
            <w:r>
              <w:rPr>
                <w:rFonts w:ascii="Times New Roman" w:cs="Times New Roman" w:eastAsia="Times New Roman" w:hAnsi="Times New Roman"/>
                <w:sz w:val="21"/>
                <w:szCs w:val="21"/>
                <w:b w:val="1"/>
                <w:bCs w:val="1"/>
                <w:color w:val="auto"/>
                <w:vertAlign w:val="superscript"/>
              </w:rPr>
              <w:t>(1)</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0.02 %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0.02 %</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0.44</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3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r>
      <w:tr>
        <w:trPr>
          <w:trHeight w:val="212"/>
        </w:trPr>
        <w:tc>
          <w:tcPr>
            <w:tcW w:w="38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0.27</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Annualized.</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completed the sale of substantially all of our manufactured housing loan portfolio in the third quarter of 2024. For the second quarter and first six months of 2025, the average balance and net charge-offs related to the remaining manufactured housing loans are reflected in consumer loans. Equipment finance charge-offs for the three months ended June 30, 2025 decreased compared to the same period in 2024 due to lower long-haul trucking related losses.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summarizes NPAs for the periods indicated. NPAs include nonaccrual loans, OREO and repossessed assets. The decrease in NPAs since December 31, 2024 was primarily driven by $49.6 million in payoffs and paydowns of nonaccrual loans. Notably, we had two payoffs of senior care loans (included in income producing CRE) totaling $14.6 million and significant paydowns and payoffs for three larger relationships totaling $17.8 million included in commercial and industrial and owner occupied CRE loans.</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11 - NPAs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7"/>
                <w:szCs w:val="17"/>
                <w:color w:val="auto"/>
              </w:rPr>
            </w:pP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Nonaccrual loans: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Owner occupied CRE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11,674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Income producing CRE</w:t>
            </w:r>
          </w:p>
        </w:tc>
        <w:tc>
          <w:tcPr>
            <w:tcW w:w="28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14,624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25,357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15,422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29,339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8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7,400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Equipment financing</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11,731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8,925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Total commercial</w:t>
            </w:r>
          </w:p>
        </w:tc>
        <w:tc>
          <w:tcPr>
            <w:tcW w:w="280" w:type="dxa"/>
            <w:vAlign w:val="bottom"/>
          </w:tcPr>
          <w:p>
            <w:pPr>
              <w:spacing w:after="0"/>
              <w:rPr>
                <w:sz w:val="17"/>
                <w:szCs w:val="17"/>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51,352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82,695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(31,343)</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Residential mortgage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22,597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24,615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Home equity</w:t>
            </w:r>
          </w:p>
        </w:tc>
        <w:tc>
          <w:tcPr>
            <w:tcW w:w="28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4,093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4,630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520"/>
              <w:spacing w:after="0" w:line="216" w:lineRule="exact"/>
              <w:rPr>
                <w:sz w:val="20"/>
                <w:szCs w:val="20"/>
                <w:color w:val="auto"/>
              </w:rPr>
            </w:pPr>
            <w:r>
              <w:rPr>
                <w:rFonts w:ascii="Times New Roman" w:cs="Times New Roman" w:eastAsia="Times New Roman" w:hAnsi="Times New Roman"/>
                <w:sz w:val="16"/>
                <w:szCs w:val="16"/>
                <w:color w:val="auto"/>
              </w:rPr>
              <w:t xml:space="preserve">Manufactured housing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1,444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80,452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113,579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(33,127)</w:t>
            </w:r>
          </w:p>
        </w:tc>
        <w:tc>
          <w:tcPr>
            <w:tcW w:w="1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3,507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2,056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4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Total NPAs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83,959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115,635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Nonaccrual loans as a percentage of total loans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NPAs as a percentage of total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ACL - loans to nonaccrual loans coverage ratio</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2025, manufactured housing loans were included in consumer loans.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The table below summarizes the carrying value of our securities portfolio and other relevant portfolio metrics including weighted-average life and effective duration as of the dates presented. Effective duration represents the expected change in the price of a security when rates change by 100 basis points.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Table 12 - Investment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38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AFS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4,075,323</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64 %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4,436,291</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(360,968)</w:t>
            </w: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2,306,730</w:t>
            </w:r>
          </w:p>
        </w:tc>
        <w:tc>
          <w:tcPr>
            <w:tcW w:w="10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2,368,107</w:t>
            </w:r>
          </w:p>
        </w:tc>
        <w:tc>
          <w:tcPr>
            <w:tcW w:w="1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(61,377)</w:t>
            </w: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6,382,053</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6,804,398</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(422,345)</w:t>
            </w: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Investment securities as a % of total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Weighted average life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years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years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Swap adjusted effective duration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Effective duration</w:t>
            </w:r>
          </w:p>
        </w:tc>
        <w:tc>
          <w:tcPr>
            <w:tcW w:w="1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fair value hedges on a portion of our AFS securities portfolio in order to mitigate the impact of potential future unrealized losses on our tangible common equity. Gains and losses related to the hedge and hedged item are reflected in investment securities interest income. The changes in the fair value of the hedge and the hedged item substantially offset each other. See Note 6 to the financial statements for further detail.</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HTM debt securities had a fair value of $1.94 billion, indicating net unrealized losses of $371 million (pre-tax). Additional unrealized losses on HTM debt securities of $55.5 million (pre-tax) were included in AOCI as a result of the transfer of AFS debt securities to HTM in 2022. Unrealized losses were primarily attributable to changes in interest rates.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the consolidated financial statements for additional detail.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goodwill and other intangibles totaled $974 million and $957 million, respectively. In connection with the acquisition of ANB in the second quarter of 2025, we recorded goodwill and a core deposit intangible of $18.0 million and $6.29 million, respectively. See Notes 3 and 7 to the financial statements for further information.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We believe our high level of service, as evidenced by our strong customer satisfaction scores, is instrumental in attracting and retaining customer deposit accounts, which has continued to contribute to our organic deposit growth. Since December 31, 2024, customer deposits increased $514 million, which includes deposits of $374 million acquired in the ANB transaction as of the acquisition date. As of June 30, 2025, we had approximately $9.64 billion of uninsured deposits, of which $2.81 billion was collateralized by investment securities.</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13 - Deposits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4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7"/>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6,381,975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24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6,211,182</w:t>
            </w:r>
          </w:p>
        </w:tc>
        <w:tc>
          <w:tcPr>
            <w:tcW w:w="12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5,986,049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6,141,342</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and savings</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7,832,527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7,498,735</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w:t>
            </w: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3,606,511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3,441,424</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customer deposits</w:t>
            </w: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23,807,062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23,292,683</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r>
      <w:tr>
        <w:trPr>
          <w:trHeight w:val="216"/>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Brokered deposits</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168,292</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deposits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23,963,012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
        </w:trPr>
        <w:tc>
          <w:tcPr>
            <w:tcW w:w="4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and December 31, 2024, we had long-term debt outstanding of $155 million and $254 million, respectively, which includes senior debentures, subordinated debentures, and trust preferred securities. During the second quarter of 2025, we redeemed our $100 million 2030 senior debentures. At June 30, 2025 there were no short-term borrowings outstanding. At December 31, 2024, there were $195 million in short-term borrowings outstanding. The need to utilize wholesale funding sources has decreased because our liquidity needs have been met by our deposit and cash balances.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contractual obligations and off-balance sheet arrangements since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Repricing characteristics are the time frames within which the interest rates on interest-earning assets and interest-bearing liabilities are subject to change either at replacement, repricing or maturity.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uses an asset/liability simulation model to measure the potential change in net interest revenue over time using multiple interest rate scenarios. Our modeling is based on the 12-month impact on net interest revenue simulations with various interest rate shocks and ramps, which are compared to a base scenario that assumes rates remain unchanged. In the shock scenarios, rates immediately change the full amount at the scenario onset. In the ramp scenarios, rates change by 25 basis points per month until they reach the predetermined levels.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interest sensitivity position at the dates indicated. The scenario results presented assume parallel movements in the yield curve, which may differ from actual future curve behavior. Other than an assumption for the runoff of estimated surge deposits, which is assumed to be replaced with higher cost wholesale funding, this presentation generally assumes no change in deposit portfolio size or composition.</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14 - Interest Sensitivity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gridSpan w:val="8"/>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w:t>
            </w:r>
          </w:p>
        </w:tc>
      </w:tr>
      <w:tr>
        <w:trPr>
          <w:trHeight w:val="214"/>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at</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8"/>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560" w:type="dxa"/>
            <w:vAlign w:val="bottom"/>
          </w:tcPr>
          <w:p>
            <w:pPr>
              <w:spacing w:after="0"/>
              <w:rPr>
                <w:sz w:val="18"/>
                <w:szCs w:val="18"/>
                <w:color w:val="auto"/>
              </w:rPr>
            </w:pPr>
          </w:p>
        </w:tc>
      </w:tr>
      <w:tr>
        <w:trPr>
          <w:trHeight w:val="211"/>
        </w:trPr>
        <w:tc>
          <w:tcPr>
            <w:tcW w:w="152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60" w:type="dxa"/>
            <w:vAlign w:val="bottom"/>
          </w:tcPr>
          <w:p>
            <w:pPr>
              <w:spacing w:after="0"/>
              <w:rPr>
                <w:sz w:val="18"/>
                <w:szCs w:val="18"/>
                <w:color w:val="auto"/>
              </w:rPr>
            </w:pPr>
          </w:p>
        </w:tc>
      </w:tr>
      <w:tr>
        <w:trPr>
          <w:trHeight w:val="211"/>
        </w:trPr>
        <w:tc>
          <w:tcPr>
            <w:tcW w:w="15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3.59 %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0.92 %</w:t>
            </w:r>
          </w:p>
        </w:tc>
        <w:tc>
          <w:tcPr>
            <w:tcW w:w="1560" w:type="dxa"/>
            <w:vAlign w:val="bottom"/>
            <w:tcBorders>
              <w:top w:val="single" w:sz="8" w:color="CCEEFF"/>
            </w:tcBorders>
            <w:shd w:val="clear" w:color="auto" w:fill="CCEEFF"/>
          </w:tcPr>
          <w:p>
            <w:pPr>
              <w:spacing w:after="0"/>
              <w:rPr>
                <w:sz w:val="18"/>
                <w:szCs w:val="18"/>
                <w:color w:val="auto"/>
              </w:rPr>
            </w:pPr>
          </w:p>
        </w:tc>
      </w:tr>
      <w:tr>
        <w:trPr>
          <w:trHeight w:val="213"/>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1.18</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0.66</w:t>
            </w:r>
          </w:p>
        </w:tc>
        <w:tc>
          <w:tcPr>
            <w:tcW w:w="1560" w:type="dxa"/>
            <w:vAlign w:val="bottom"/>
          </w:tcPr>
          <w:p>
            <w:pPr>
              <w:spacing w:after="0"/>
              <w:rPr>
                <w:sz w:val="18"/>
                <w:szCs w:val="18"/>
                <w:color w:val="auto"/>
              </w:rPr>
            </w:pPr>
          </w:p>
        </w:tc>
      </w:tr>
      <w:tr>
        <w:trPr>
          <w:trHeight w:val="219"/>
        </w:trPr>
        <w:tc>
          <w:tcPr>
            <w:tcW w:w="15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(1.94)</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1560" w:type="dxa"/>
            <w:vAlign w:val="bottom"/>
            <w:shd w:val="clear" w:color="auto" w:fill="CCEEFF"/>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(3.08)</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(2.38)</w:t>
            </w:r>
          </w:p>
        </w:tc>
        <w:tc>
          <w:tcPr>
            <w:tcW w:w="1560" w:type="dxa"/>
            <w:vAlign w:val="bottom"/>
          </w:tcPr>
          <w:p>
            <w:pPr>
              <w:spacing w:after="0"/>
              <w:rPr>
                <w:sz w:val="18"/>
                <w:szCs w:val="18"/>
                <w:color w:val="auto"/>
              </w:rPr>
            </w:pP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results from December 31, 2024 to June 30, 2025 reflects more floating interest rate loans and a slight shortening of asset duration to address rising interest rate risk concerns. In addition, the balance sheet became slightly more asset sensitive at June 30, 2025 due to higher cash balances on hand at quarter-end.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repurchase agreements, Federal funds purchased, FHLB advances, and brokered deposits. These sources of liquidity are generally short-term in nature and are used as necessary to fund asset growth and meet other short-term liquidity needs. As part of our liquidity management, we focus on maximizing the amount of securities and loans available as collateral for contingent liquidity sources and calibrating our assumptions in our liquidity stress test on an ongoing basis, particularly as it relates to deposit duration. At June 30, 2025 and December 31, 2024, we had sufficient liquid funds and qualifying collateral to support additional borrowings, which are detailed in the table below.</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b w:val="1"/>
          <w:bCs w:val="1"/>
          <w:color w:val="auto"/>
        </w:rPr>
        <w:t>Table 15 - Liquid Funds and Unused Borrowing Capacity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2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b w:val="1"/>
                <w:bCs w:val="1"/>
                <w:color w:val="auto"/>
              </w:rPr>
              <w:t>Available liquid funds:</w:t>
            </w:r>
          </w:p>
        </w:tc>
        <w:tc>
          <w:tcPr>
            <w:tcW w:w="3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574,956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519,873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1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Availability of borrowings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FHLB</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1,921,234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1,917,905</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Federal Reserve - Discount Window</w:t>
            </w:r>
          </w:p>
        </w:tc>
        <w:tc>
          <w:tcPr>
            <w:tcW w:w="3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2,395,442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2,267,139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180"/>
              <w:spacing w:after="0" w:line="162" w:lineRule="exact"/>
              <w:rPr>
                <w:sz w:val="20"/>
                <w:szCs w:val="20"/>
                <w:color w:val="auto"/>
              </w:rPr>
            </w:pPr>
            <w:r>
              <w:rPr>
                <w:rFonts w:ascii="Times New Roman" w:cs="Times New Roman" w:eastAsia="Times New Roman" w:hAnsi="Times New Roman"/>
                <w:sz w:val="16"/>
                <w:szCs w:val="16"/>
                <w:b w:val="1"/>
                <w:bCs w:val="1"/>
                <w:color w:val="auto"/>
              </w:rPr>
              <w:t>Unpledged securities available as collateral for additional</w:t>
            </w:r>
          </w:p>
        </w:tc>
        <w:tc>
          <w:tcPr>
            <w:tcW w:w="38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3,571,790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3,603,885</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8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3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Based on collateral pledged.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sufficient liquid assets to meet these obligations. Holding Company liquidity is maintained at a level of at least 125% of the next 12 months of forecasted cash obligations.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opinion of management, our liquidity position at June 30, 2025 was sufficient to meet our expected cash flow requirements for the foreseeable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consolidated statement of cash flows for further detail.</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equity at June 30, 2025 was $3.61 billion, an increase of $181 million from December 31, 2024 primarily due to year-to-date earnings, other comprehensive income and the issuance of stock for the ANB acquisition, partially offset by dividends declared on common and 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June 30, 2025 and December 31, 2024. As of June 30, 2025, capital levels remained characterized as “well-capitalized” under regulatory requirements in effect at the time. Additional information related to capital ratios is provided in Note 11 to the consolidated financial statements.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16 - Capital Ratios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gridSpan w:val="4"/>
          </w:tcPr>
          <w:p>
            <w:pPr>
              <w:ind w:left="260"/>
              <w:spacing w:after="0" w:line="175" w:lineRule="exact"/>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660" w:type="dxa"/>
            <w:vAlign w:val="bottom"/>
            <w:tcBorders>
              <w:top w:val="single" w:sz="8" w:color="auto"/>
            </w:tcBorders>
            <w:gridSpan w:val="3"/>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8"/>
                <w:szCs w:val="18"/>
                <w:color w:val="auto"/>
              </w:rPr>
            </w:pPr>
          </w:p>
        </w:tc>
        <w:tc>
          <w:tcPr>
            <w:tcW w:w="26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Well-</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Minimum Capital Plus</w:t>
            </w:r>
          </w:p>
        </w:tc>
        <w:tc>
          <w:tcPr>
            <w:tcW w:w="100" w:type="dxa"/>
            <w:vAlign w:val="bottom"/>
          </w:tcPr>
          <w:p>
            <w:pPr>
              <w:spacing w:after="0"/>
              <w:rPr>
                <w:sz w:val="13"/>
                <w:szCs w:val="13"/>
                <w:color w:val="auto"/>
              </w:rPr>
            </w:pPr>
          </w:p>
        </w:tc>
        <w:tc>
          <w:tcPr>
            <w:tcW w:w="13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Capital Conservation</w:t>
            </w: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1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13.34 %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13.05 %</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13.66</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 following table shows capital composition as of June 30, 2025 and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17 - Capital Composition under Basel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5"/>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United Community Banks, Inc.</w:t>
            </w:r>
          </w:p>
        </w:tc>
        <w:tc>
          <w:tcPr>
            <w:tcW w:w="22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4"/>
            <w:vMerge w:val="restart"/>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United Community Bank</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220" w:type="dxa"/>
            <w:vAlign w:val="bottom"/>
          </w:tcPr>
          <w:p>
            <w:pPr>
              <w:spacing w:after="0"/>
              <w:rPr>
                <w:sz w:val="21"/>
                <w:szCs w:val="21"/>
                <w:color w:val="auto"/>
              </w:rPr>
            </w:pPr>
          </w:p>
        </w:tc>
        <w:tc>
          <w:tcPr>
            <w:tcW w:w="242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13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8"/>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4"/>
                <w:szCs w:val="14"/>
                <w:color w:val="auto"/>
              </w:rPr>
            </w:pPr>
          </w:p>
        </w:tc>
        <w:tc>
          <w:tcPr>
            <w:tcW w:w="13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8"/>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common shareholders' equity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3,524,658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3,343,861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3,358,442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3,282,263</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CECL transitional amount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 other than goodwill and mortgage servicing rights, net of associated DTLs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(42,334)</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DTAs arising from net operating loss and tax credit carryforwards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losses on AFS securities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176,777</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net gains on cash flow hedges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losses on HTM securities that are included in AOCI</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45,129</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7"/>
        </w:trPr>
        <w:tc>
          <w:tcPr>
            <w:tcW w:w="5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CET1 capital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2,728,423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2,608,136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2,569,206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net of issuance cost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Tier 1 capital</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2,816,689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2,696,402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2,569,206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2 capital instruments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Qualifying ACL</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200,870</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capital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3,096,192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2,982,273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2,783,709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2,756,811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June 30, 2025 from that presented in our 2024 10-K. Our interest rate sensitivity position at June 30, 2025 is set forth in Table 14 in MD&amp;A of this Report and incorporated herein by this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210"/>
        <w:spacing w:after="0" w:line="261" w:lineRule="auto"/>
        <w:tabs>
          <w:tab w:leader="none" w:pos="4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financial officer, we conducted an evaluation of our disclosure controls and procedures (as such term is defined in Exchange Act Rule 13a-15(e)) as of June 30, 2025. Based on that evaluation, our principal executive officer and chief financial officer concluded that our disclosure controls and procedures were effective as of the end of the period covered by this Report.</w:t>
      </w:r>
    </w:p>
    <w:p>
      <w:pPr>
        <w:spacing w:after="0" w:line="206" w:lineRule="exact"/>
        <w:rPr>
          <w:rFonts w:ascii="Times New Roman" w:cs="Times New Roman" w:eastAsia="Times New Roman" w:hAnsi="Times New Roman"/>
          <w:sz w:val="18"/>
          <w:szCs w:val="18"/>
          <w:color w:val="auto"/>
        </w:rPr>
      </w:pPr>
    </w:p>
    <w:p>
      <w:pPr>
        <w:jc w:val="both"/>
        <w:ind w:firstLine="285"/>
        <w:spacing w:after="0" w:line="267" w:lineRule="auto"/>
        <w:tabs>
          <w:tab w:leader="none" w:pos="5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June 30, 2025 that materially affected, or is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1" w:name="page52"/>
    <w:bookmarkEnd w:id="51"/>
    <w:p>
      <w:pPr>
        <w:ind w:left="42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Issuer Purchases of Equity Securities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made during the quarter ended June 30, 2025 by or on behalf of United or any “affiliated purchaser,” as defined by Rule 10b-18(a)(3) of the Exchange Act:</w:t>
      </w: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 Repurchases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vMerge w:val="restart"/>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 Part of Publicly</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jc w:val="center"/>
              <w:ind w:right="2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for per share amounts)</w:t>
            </w: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jc w:val="center"/>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jc w:val="center"/>
              <w:ind w:right="239"/>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the Plans or Programs </w:t>
            </w:r>
            <w:r>
              <w:rPr>
                <w:rFonts w:ascii="Times New Roman" w:cs="Times New Roman" w:eastAsia="Times New Roman" w:hAnsi="Times New Roman"/>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2025 - April 30, 2025</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343,338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90,622</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2025 - May 31,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86,058</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2025 - June 30, 2025</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86,058</w:t>
            </w:r>
          </w:p>
        </w:tc>
        <w:tc>
          <w:tcPr>
            <w:tcW w:w="0" w:type="dxa"/>
            <w:vAlign w:val="bottom"/>
          </w:tcPr>
          <w:p>
            <w:pPr>
              <w:spacing w:after="0"/>
              <w:rPr>
                <w:sz w:val="1"/>
                <w:szCs w:val="1"/>
                <w:color w:val="auto"/>
              </w:rPr>
            </w:pPr>
          </w:p>
        </w:tc>
      </w:tr>
      <w:tr>
        <w:trPr>
          <w:trHeight w:val="20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506,600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ind w:firstLine="8"/>
        <w:spacing w:after="0" w:line="278" w:lineRule="auto"/>
        <w:tabs>
          <w:tab w:leader="none" w:pos="149"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Under United’s common stock repurchase program, management is authorized to repurchase up to $100 million of its common stock. The program is scheduled to expire on the earlier of the repurchase of our common stock having an aggregate purchase price of $100 million or December 31, 2025. A more detailed description of United’s common stock repurchase plan is included in its 2024 10-K.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jc w:val="both"/>
        <w:ind w:firstLine="8"/>
        <w:spacing w:after="0" w:line="250" w:lineRule="auto"/>
        <w:tabs>
          <w:tab w:leader="none" w:pos="4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10, 2025, Lynn Harton, our President and Chief Executive Officer, entered into a”Rule 10b5-1 trading arrangement” (as defined in Item 408(a) of Regulation S-K), providing for the sale of 25,000 shares of United common stock beginning February 15, 2026 and continuing until March 16, 2026, or such earlier time as all shares covered by the trading arrangement are sold.</w:t>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other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below.</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right"/>
        <w:ind w:left="1080"/>
        <w:spacing w:after="0" w:line="222"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3.1   Restated Articles of Incorporation of United Community Banks, Inc. as amended through August 13, 2021 (incorporated herein by</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reference to Exhibit 3.1 to United Community Bank Inc.'s Quarterly Report on Form 10-Q for the period ended September 30, 2021,</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filed on November 5, 2021).</w:t>
        </w:r>
      </w:hyperlink>
    </w:p>
    <w:p>
      <w:pPr>
        <w:spacing w:after="0" w:line="165" w:lineRule="exact"/>
        <w:rPr>
          <w:sz w:val="20"/>
          <w:szCs w:val="20"/>
          <w:color w:val="auto"/>
        </w:rPr>
      </w:pPr>
    </w:p>
    <w:p>
      <w:pPr>
        <w:jc w:val="right"/>
        <w:ind w:left="1080"/>
        <w:spacing w:after="0" w:line="222"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3.2   Amended and Restated Bylaws of United Community Banks, Inc., as amended (incorporated herein by reference to Exhibit 3.2 to</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United Community Banks, Inc.’s Quarterly Report on Form 10-Q for the period ended March 31, 2015, filed with the SEC on May</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11, 2015).</w:t>
        </w:r>
      </w:hyperlink>
    </w:p>
    <w:p>
      <w:pPr>
        <w:spacing w:after="0" w:line="165" w:lineRule="exact"/>
        <w:rPr>
          <w:sz w:val="20"/>
          <w:szCs w:val="20"/>
          <w:color w:val="auto"/>
        </w:rPr>
      </w:pPr>
    </w:p>
    <w:p>
      <w:pPr>
        <w:ind w:left="160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31.1</w:t>
        <w:tab/>
        <w:t>Certification by H. Lynn Harton, President and Chief Executive Officer of United Community Banks, Inc., pursuant to Exchange Act Rule 13a-14(a).</w:t>
      </w:r>
    </w:p>
    <w:p>
      <w:pPr>
        <w:spacing w:after="0" w:line="172" w:lineRule="exact"/>
        <w:rPr>
          <w:sz w:val="20"/>
          <w:szCs w:val="20"/>
          <w:color w:val="auto"/>
        </w:rPr>
      </w:pPr>
    </w:p>
    <w:p>
      <w:pPr>
        <w:ind w:left="160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31.2</w:t>
        <w:tab/>
        <w:t>Certification by Jefferson L. Harralson, Executive Vice President and Chief Financial Officer of United Community Banks, Inc., pursuant to Exchange Act Rule 13a-14(a).</w:t>
      </w:r>
    </w:p>
    <w:p>
      <w:pPr>
        <w:spacing w:after="0" w:line="172"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32</w:t>
        <w:tab/>
        <w:t>Certification of CEO and CFO pursuant to 18 U.S.C. Section 1350.</w:t>
      </w:r>
    </w:p>
    <w:p>
      <w:pPr>
        <w:spacing w:after="0" w:line="185" w:lineRule="exact"/>
        <w:rPr>
          <w:sz w:val="20"/>
          <w:szCs w:val="20"/>
          <w:color w:val="auto"/>
        </w:rPr>
      </w:pPr>
    </w:p>
    <w:p>
      <w:pPr>
        <w:jc w:val="both"/>
        <w:ind w:left="1600" w:hanging="557"/>
        <w:spacing w:after="0" w:line="222" w:lineRule="auto"/>
        <w:tabs>
          <w:tab w:leader="none" w:pos="1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Interactive data files for United Community Bank, Inc.’s Quarterly Report on Form 10-Q for the quarter ended June 30, 2025, formatted in Inline XBRL: </w:t>
      </w:r>
      <w:r>
        <w:rPr>
          <w:rFonts w:ascii="Times New Roman" w:cs="Times New Roman" w:eastAsia="Times New Roman" w:hAnsi="Times New Roman"/>
          <w:sz w:val="18"/>
          <w:szCs w:val="18"/>
          <w:color w:val="212529"/>
        </w:rPr>
        <w:t>(i) the Consolidated Balance Sheets (unaudited); (ii) the Consolidated Statements of Income (unaudited);</w:t>
      </w:r>
    </w:p>
    <w:p>
      <w:pPr>
        <w:spacing w:after="0" w:line="1" w:lineRule="exact"/>
        <w:rPr>
          <w:rFonts w:ascii="Times New Roman" w:cs="Times New Roman" w:eastAsia="Times New Roman" w:hAnsi="Times New Roman"/>
          <w:sz w:val="18"/>
          <w:szCs w:val="18"/>
          <w:color w:val="auto"/>
        </w:rPr>
      </w:pPr>
    </w:p>
    <w:p>
      <w:pPr>
        <w:jc w:val="both"/>
        <w:ind w:left="1600" w:firstLine="5"/>
        <w:spacing w:after="0" w:line="218" w:lineRule="auto"/>
        <w:tabs>
          <w:tab w:leader="none" w:pos="1981" w:val="left"/>
        </w:tabs>
        <w:numPr>
          <w:ilvl w:val="1"/>
          <w:numId w:val="20"/>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Consolidated Statements of Comprehensive Income (unaudited); (iv) the Consolidated Statements of Changes in Shareholders’ Equity (unaudited); (v) the Consolidated Statements of Cash Flows (unaudited); and (vi) the Notes to Consolidated Financial Statements (unaudited)</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ind w:left="1600" w:hanging="557"/>
        <w:spacing w:after="0" w:line="237" w:lineRule="auto"/>
        <w:tabs>
          <w:tab w:leader="none" w:pos="1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United Community Bank’s Quarterly Report on Form 10-Q for the quarter ended June 30, 2025 (formatted in Inline XBRL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927" w:right="339" w:bottom="1440" w:gutter="0" w:footer="0" w:header="0"/>
        </w:sectPr>
      </w:pPr>
    </w:p>
    <w:bookmarkStart w:id="54" w:name="page55"/>
    <w:bookmarkEnd w:id="54"/>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 of the Registrant</w:t>
      </w:r>
    </w:p>
    <w:p>
      <w:pPr>
        <w:sectPr>
          <w:pgSz w:w="11900" w:h="16838" w:orient="portrait"/>
          <w:cols w:equalWidth="0" w:num="1">
            <w:col w:w="11240"/>
          </w:cols>
          <w:pgMar w:left="320" w:top="887" w:right="339" w:bottom="1440" w:gutter="0" w:footer="0" w:header="0"/>
        </w:sectPr>
      </w:pPr>
    </w:p>
    <w:bookmarkStart w:id="55" w:name="page56"/>
    <w:bookmarkEnd w:id="5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June 30, 2025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2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Lynn Harton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Lynn Harton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8, 2025</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8, 2025</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lvl w:ilvl="1">
      <w:lvlJc w:val="left"/>
      <w:lvlText w:val="(%2)"/>
      <w:numFmt w:val="lowerLetter"/>
      <w:start w:val="2"/>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3"/>
    </w:lvl>
  </w:abstractNum>
  <w:abstractNum w:abstractNumId="18">
    <w:nsid w:val="333AB105"/>
    <w:multiLevelType w:val="hybridMultilevel"/>
    <w:lvl w:ilvl="0">
      <w:lvlJc w:val="left"/>
      <w:lvlText w:val="(%1)"/>
      <w:numFmt w:val="lowerLetter"/>
      <w:start w:val="4"/>
    </w:lvl>
  </w:abstractNum>
  <w:abstractNum w:abstractNumId="19">
    <w:nsid w:val="721DA317"/>
    <w:multiLevelType w:val="hybridMultilevel"/>
    <w:lvl w:ilvl="0">
      <w:lvlJc w:val="left"/>
      <w:lvlText w:val="%1"/>
      <w:numFmt w:val="decimal"/>
      <w:start w:val="101"/>
    </w:lvl>
    <w:lvl w:ilvl="1">
      <w:lvlJc w:val="left"/>
      <w:lvlText w:val="(%2)"/>
      <w:numFmt w:val="lowerRoman"/>
      <w:start w:val="3"/>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7" Type="http://schemas.openxmlformats.org/officeDocument/2006/relationships/hyperlink" Target="https://www.sec.gov/Archives/edgar/data/857855/000085785521000109/ucbi93021ex31restatedartic.htm" TargetMode="External"/><Relationship Id="rId78" Type="http://schemas.openxmlformats.org/officeDocument/2006/relationships/hyperlink" Target="https://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2025-08-08T10:52:51Z</dcterms:created>
  <dcterms:modified xsi:type="dcterms:W3CDTF">2025-08-08T10:52:51Z</dcterms:modified>
</cp:coreProperties>
</file>