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4"/>
          <w:szCs w:val="24"/>
          <w:color w:val="auto"/>
        </w:rPr>
      </w:pPr>
    </w:p>
    <w:p>
      <w:pPr>
        <w:spacing w:after="0" w:line="22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June 8, 2026</w:t>
      </w:r>
    </w:p>
    <w:p>
      <w:pPr>
        <w:jc w:val="right"/>
        <w:ind w:right="179"/>
        <w:spacing w:after="0" w:line="233" w:lineRule="auto"/>
        <w:rPr>
          <w:sz w:val="20"/>
          <w:szCs w:val="20"/>
          <w:color w:val="auto"/>
        </w:rPr>
      </w:pPr>
      <w:r>
        <w:rPr>
          <w:rFonts w:ascii="Times New Roman" w:cs="Times New Roman" w:eastAsia="Times New Roman" w:hAnsi="Times New Roman"/>
          <w:sz w:val="15"/>
          <w:szCs w:val="15"/>
          <w:b w:val="1"/>
          <w:bCs w:val="1"/>
          <w:color w:val="auto"/>
        </w:rPr>
        <w:t>Registration No. 333-296306​</w:t>
      </w:r>
    </w:p>
    <w:p>
      <w:pPr>
        <w:spacing w:after="0" w:line="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273050</wp:posOffset>
            </wp:positionH>
            <wp:positionV relativeFrom="paragraph">
              <wp:posOffset>3810</wp:posOffset>
            </wp:positionV>
            <wp:extent cx="545401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4015" cy="15240"/>
                    </a:xfrm>
                    <a:prstGeom prst="rect">
                      <a:avLst/>
                    </a:prstGeom>
                    <a:noFill/>
                  </pic:spPr>
                </pic:pic>
              </a:graphicData>
            </a:graphic>
          </wp:anchor>
        </w:drawing>
        <w:drawing>
          <wp:anchor simplePos="0" relativeHeight="251657728" behindDoc="1" locked="0" layoutInCell="0" allowOverlap="1">
            <wp:simplePos x="0" y="0"/>
            <wp:positionH relativeFrom="column">
              <wp:posOffset>273050</wp:posOffset>
            </wp:positionH>
            <wp:positionV relativeFrom="paragraph">
              <wp:posOffset>33655</wp:posOffset>
            </wp:positionV>
            <wp:extent cx="54540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4015" cy="7620"/>
                    </a:xfrm>
                    <a:prstGeom prst="rect">
                      <a:avLst/>
                    </a:prstGeom>
                    <a:noFill/>
                  </pic:spPr>
                </pic:pic>
              </a:graphicData>
            </a:graphic>
          </wp:anchor>
        </w:drawing>
      </w:r>
    </w:p>
    <w:p>
      <w:pPr>
        <w:spacing w:after="0" w:line="55"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220"/>
        <w:spacing w:after="0" w:line="235"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2458720</wp:posOffset>
            </wp:positionH>
            <wp:positionV relativeFrom="paragraph">
              <wp:posOffset>43815</wp:posOffset>
            </wp:positionV>
            <wp:extent cx="10890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9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Amendment No. 1 to</w:t>
      </w:r>
    </w:p>
    <w:p>
      <w:pPr>
        <w:spacing w:after="0" w:line="2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5"/>
          <w:szCs w:val="25"/>
          <w:b w:val="1"/>
          <w:bCs w:val="1"/>
          <w:color w:val="auto"/>
        </w:rPr>
        <w:t>FORM S-4</w:t>
      </w:r>
    </w:p>
    <w:p>
      <w:pPr>
        <w:spacing w:after="0" w:line="1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5"/>
          <w:szCs w:val="15"/>
          <w:b w:val="1"/>
          <w:bCs w:val="1"/>
          <w:color w:val="auto"/>
        </w:rPr>
        <w:t>REGISTRATION STATEMENT</w:t>
      </w:r>
    </w:p>
    <w:p>
      <w:pPr>
        <w:spacing w:after="0" w:line="1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16"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2458720</wp:posOffset>
            </wp:positionH>
            <wp:positionV relativeFrom="paragraph">
              <wp:posOffset>43815</wp:posOffset>
            </wp:positionV>
            <wp:extent cx="10890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8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5" w:lineRule="exact"/>
        <w:rPr>
          <w:sz w:val="24"/>
          <w:szCs w:val="24"/>
          <w:color w:val="auto"/>
        </w:rPr>
      </w:pPr>
    </w:p>
    <w:tbl>
      <w:tblPr>
        <w:tblLayout w:type="fixed"/>
        <w:tblInd w:w="440" w:type="dxa"/>
        <w:tblCellMar>
          <w:top w:w="0" w:type="dxa"/>
          <w:left w:w="0" w:type="dxa"/>
          <w:bottom w:w="0" w:type="dxa"/>
          <w:right w:w="0" w:type="dxa"/>
        </w:tblCellMar>
      </w:tblPr>
      <w:tr>
        <w:trPr>
          <w:trHeight w:val="196"/>
        </w:trPr>
        <w:tc>
          <w:tcPr>
            <w:tcW w:w="3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gridSpan w:val="5"/>
          </w:tcPr>
          <w:p>
            <w:pPr>
              <w:jc w:val="center"/>
              <w:ind w:right="131"/>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r>
              <w:rPr>
                <w:rFonts w:ascii="Times New Roman" w:cs="Times New Roman" w:eastAsia="Times New Roman" w:hAnsi="Times New Roman"/>
                <w:sz w:val="15"/>
                <w:szCs w:val="15"/>
                <w:color w:val="auto"/>
              </w:rPr>
              <w:t>​</w:t>
            </w:r>
          </w:p>
        </w:tc>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5"/>
        </w:trPr>
        <w:tc>
          <w:tcPr>
            <w:tcW w:w="3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205"/>
        </w:trPr>
        <w:tc>
          <w:tcPr>
            <w:tcW w:w="3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2240" w:type="dxa"/>
            <w:vAlign w:val="bottom"/>
          </w:tcPr>
          <w:p>
            <w:pPr>
              <w:jc w:val="center"/>
              <w:ind w:left="149"/>
              <w:spacing w:after="0"/>
              <w:rPr>
                <w:sz w:val="20"/>
                <w:szCs w:val="20"/>
                <w:color w:val="auto"/>
              </w:rPr>
            </w:pPr>
            <w:r>
              <w:rPr>
                <w:rFonts w:ascii="Times New Roman" w:cs="Times New Roman" w:eastAsia="Times New Roman" w:hAnsi="Times New Roman"/>
                <w:sz w:val="15"/>
                <w:szCs w:val="15"/>
                <w:b w:val="1"/>
                <w:bCs w:val="1"/>
                <w:color w:val="auto"/>
                <w:w w:val="96"/>
              </w:rPr>
              <w:t>Georgia</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gridSpan w:val="2"/>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6022</w:t>
            </w:r>
          </w:p>
        </w:tc>
        <w:tc>
          <w:tcPr>
            <w:tcW w:w="44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2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58-1807304</w:t>
            </w:r>
          </w:p>
        </w:tc>
        <w:tc>
          <w:tcPr>
            <w:tcW w:w="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r>
      <w:tr>
        <w:trPr>
          <w:trHeight w:val="137"/>
        </w:trPr>
        <w:tc>
          <w:tcPr>
            <w:tcW w:w="340" w:type="dxa"/>
            <w:vAlign w:val="bottom"/>
          </w:tcPr>
          <w:p>
            <w:pPr>
              <w:spacing w:after="0"/>
              <w:rPr>
                <w:sz w:val="11"/>
                <w:szCs w:val="11"/>
                <w:color w:val="auto"/>
              </w:rPr>
            </w:pPr>
          </w:p>
        </w:tc>
        <w:tc>
          <w:tcPr>
            <w:tcW w:w="2240" w:type="dxa"/>
            <w:vAlign w:val="bottom"/>
          </w:tcPr>
          <w:p>
            <w:pPr>
              <w:jc w:val="center"/>
              <w:ind w:left="109"/>
              <w:spacing w:after="0" w:line="138"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gridSpan w:val="2"/>
          </w:tcPr>
          <w:p>
            <w:pPr>
              <w:jc w:val="center"/>
              <w:ind w:right="500"/>
              <w:spacing w:after="0" w:line="138" w:lineRule="exact"/>
              <w:rPr>
                <w:sz w:val="20"/>
                <w:szCs w:val="20"/>
                <w:color w:val="auto"/>
              </w:rPr>
            </w:pPr>
            <w:r>
              <w:rPr>
                <w:rFonts w:ascii="Times New Roman" w:cs="Times New Roman" w:eastAsia="Times New Roman" w:hAnsi="Times New Roman"/>
                <w:sz w:val="13"/>
                <w:szCs w:val="13"/>
                <w:color w:val="auto"/>
              </w:rPr>
              <w:t>(Primary Standard Industrial</w:t>
            </w:r>
          </w:p>
        </w:tc>
        <w:tc>
          <w:tcPr>
            <w:tcW w:w="320" w:type="dxa"/>
            <w:vAlign w:val="bottom"/>
          </w:tcPr>
          <w:p>
            <w:pPr>
              <w:spacing w:after="0"/>
              <w:rPr>
                <w:sz w:val="11"/>
                <w:szCs w:val="11"/>
                <w:color w:val="auto"/>
              </w:rPr>
            </w:pPr>
          </w:p>
        </w:tc>
        <w:tc>
          <w:tcPr>
            <w:tcW w:w="2240" w:type="dxa"/>
            <w:vAlign w:val="bottom"/>
          </w:tcPr>
          <w:p>
            <w:pPr>
              <w:jc w:val="center"/>
              <w:ind w:right="8"/>
              <w:spacing w:after="0" w:line="138" w:lineRule="exact"/>
              <w:rPr>
                <w:sz w:val="20"/>
                <w:szCs w:val="20"/>
                <w:color w:val="auto"/>
              </w:rPr>
            </w:pPr>
            <w:r>
              <w:rPr>
                <w:rFonts w:ascii="Times New Roman" w:cs="Times New Roman" w:eastAsia="Times New Roman" w:hAnsi="Times New Roman"/>
                <w:sz w:val="13"/>
                <w:szCs w:val="13"/>
                <w:color w:val="auto"/>
              </w:rPr>
              <w:t>(I.R.S. Employer</w:t>
            </w:r>
          </w:p>
        </w:tc>
        <w:tc>
          <w:tcPr>
            <w:tcW w:w="460" w:type="dxa"/>
            <w:vAlign w:val="bottom"/>
          </w:tcPr>
          <w:p>
            <w:pPr>
              <w:spacing w:after="0"/>
              <w:rPr>
                <w:sz w:val="11"/>
                <w:szCs w:val="11"/>
                <w:color w:val="auto"/>
              </w:rPr>
            </w:pPr>
          </w:p>
        </w:tc>
      </w:tr>
      <w:tr>
        <w:trPr>
          <w:trHeight w:val="196"/>
        </w:trPr>
        <w:tc>
          <w:tcPr>
            <w:tcW w:w="340" w:type="dxa"/>
            <w:vAlign w:val="bottom"/>
          </w:tcPr>
          <w:p>
            <w:pPr>
              <w:spacing w:after="0"/>
              <w:rPr>
                <w:sz w:val="17"/>
                <w:szCs w:val="17"/>
                <w:color w:val="auto"/>
              </w:rPr>
            </w:pPr>
          </w:p>
        </w:tc>
        <w:tc>
          <w:tcPr>
            <w:tcW w:w="2240" w:type="dxa"/>
            <w:vAlign w:val="bottom"/>
          </w:tcPr>
          <w:p>
            <w:pPr>
              <w:jc w:val="center"/>
              <w:ind w:left="169"/>
              <w:spacing w:after="0"/>
              <w:rPr>
                <w:sz w:val="20"/>
                <w:szCs w:val="20"/>
                <w:color w:val="auto"/>
              </w:rPr>
            </w:pPr>
            <w:r>
              <w:rPr>
                <w:rFonts w:ascii="Times New Roman" w:cs="Times New Roman" w:eastAsia="Times New Roman" w:hAnsi="Times New Roman"/>
                <w:sz w:val="13"/>
                <w:szCs w:val="13"/>
                <w:color w:val="auto"/>
              </w:rPr>
              <w:t>incorporation or organization)</w:t>
            </w: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color w:val="auto"/>
              </w:rPr>
              <w:t>Classification Code Number)</w:t>
            </w: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Identification Number)</w:t>
            </w:r>
          </w:p>
        </w:tc>
        <w:tc>
          <w:tcPr>
            <w:tcW w:w="460" w:type="dxa"/>
            <w:vAlign w:val="bottom"/>
          </w:tcPr>
          <w:p>
            <w:pPr>
              <w:spacing w:after="0"/>
              <w:rPr>
                <w:sz w:val="17"/>
                <w:szCs w:val="17"/>
                <w:color w:val="auto"/>
              </w:rPr>
            </w:pPr>
          </w:p>
        </w:tc>
      </w:tr>
      <w:tr>
        <w:trPr>
          <w:trHeight w:val="276"/>
        </w:trPr>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6"/>
              </w:rPr>
              <w:t>200 East Camperdown Way</w:t>
            </w: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55"/>
        </w:trPr>
        <w:tc>
          <w:tcPr>
            <w:tcW w:w="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gridSpan w:val="3"/>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w w:val="95"/>
              </w:rPr>
              <w:t>Greenville, South Carolina 29601</w:t>
            </w: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71"/>
        </w:trPr>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right"/>
              <w:ind w:right="327"/>
              <w:spacing w:after="0" w:line="171" w:lineRule="exact"/>
              <w:rPr>
                <w:sz w:val="20"/>
                <w:szCs w:val="20"/>
                <w:color w:val="auto"/>
              </w:rPr>
            </w:pPr>
            <w:r>
              <w:rPr>
                <w:rFonts w:ascii="Times New Roman" w:cs="Times New Roman" w:eastAsia="Times New Roman" w:hAnsi="Times New Roman"/>
                <w:sz w:val="15"/>
                <w:szCs w:val="15"/>
                <w:b w:val="1"/>
                <w:bCs w:val="1"/>
                <w:color w:val="auto"/>
              </w:rPr>
              <w:t>(800) 822-2651</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6"/>
        </w:trPr>
        <w:tc>
          <w:tcPr>
            <w:tcW w:w="340" w:type="dxa"/>
            <w:vAlign w:val="bottom"/>
          </w:tcPr>
          <w:p>
            <w:pPr>
              <w:spacing w:after="0"/>
              <w:rPr>
                <w:sz w:val="17"/>
                <w:szCs w:val="17"/>
                <w:color w:val="auto"/>
              </w:rPr>
            </w:pPr>
          </w:p>
        </w:tc>
        <w:tc>
          <w:tcPr>
            <w:tcW w:w="7800" w:type="dxa"/>
            <w:vAlign w:val="bottom"/>
            <w:gridSpan w:val="8"/>
          </w:tcPr>
          <w:p>
            <w:pPr>
              <w:jc w:val="center"/>
              <w:ind w:left="69"/>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r>
      <w:tr>
        <w:trPr>
          <w:trHeight w:val="61"/>
        </w:trPr>
        <w:tc>
          <w:tcPr>
            <w:tcW w:w="3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195"/>
        </w:trPr>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4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6"/>
              </w:rPr>
              <w:t>Melinda Davis Lux</w:t>
            </w:r>
          </w:p>
        </w:tc>
        <w:tc>
          <w:tcPr>
            <w:tcW w:w="3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54"/>
        </w:trPr>
        <w:tc>
          <w:tcPr>
            <w:tcW w:w="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80" w:type="dxa"/>
            <w:vAlign w:val="bottom"/>
            <w:gridSpan w:val="4"/>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w w:val="95"/>
              </w:rPr>
              <w:t>General Counsel and Corporate Secretary</w:t>
            </w: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43"/>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3"/>
          </w:tcPr>
          <w:p>
            <w:pPr>
              <w:jc w:val="center"/>
              <w:ind w:right="180"/>
              <w:spacing w:after="0" w:line="144" w:lineRule="exact"/>
              <w:rPr>
                <w:sz w:val="20"/>
                <w:szCs w:val="20"/>
                <w:color w:val="auto"/>
              </w:rPr>
            </w:pPr>
            <w:r>
              <w:rPr>
                <w:rFonts w:ascii="Times New Roman" w:cs="Times New Roman" w:eastAsia="Times New Roman" w:hAnsi="Times New Roman"/>
                <w:sz w:val="15"/>
                <w:szCs w:val="15"/>
                <w:b w:val="1"/>
                <w:bCs w:val="1"/>
                <w:color w:val="auto"/>
                <w:w w:val="96"/>
              </w:rPr>
              <w:t>United Community Banks, Inc.</w:t>
            </w:r>
          </w:p>
        </w:tc>
        <w:tc>
          <w:tcPr>
            <w:tcW w:w="3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5"/>
        </w:trPr>
        <w:tc>
          <w:tcPr>
            <w:tcW w:w="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gridSpan w:val="3"/>
          </w:tcPr>
          <w:p>
            <w:pPr>
              <w:jc w:val="center"/>
              <w:ind w:right="160"/>
              <w:spacing w:after="0" w:line="155" w:lineRule="exact"/>
              <w:rPr>
                <w:sz w:val="20"/>
                <w:szCs w:val="20"/>
                <w:color w:val="auto"/>
              </w:rPr>
            </w:pPr>
            <w:r>
              <w:rPr>
                <w:rFonts w:ascii="Times New Roman" w:cs="Times New Roman" w:eastAsia="Times New Roman" w:hAnsi="Times New Roman"/>
                <w:sz w:val="15"/>
                <w:szCs w:val="15"/>
                <w:b w:val="1"/>
                <w:bCs w:val="1"/>
                <w:color w:val="auto"/>
                <w:w w:val="96"/>
              </w:rPr>
              <w:t>200 East Camperdown Way</w:t>
            </w: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4"/>
        </w:trPr>
        <w:tc>
          <w:tcPr>
            <w:tcW w:w="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gridSpan w:val="3"/>
          </w:tcPr>
          <w:p>
            <w:pPr>
              <w:jc w:val="center"/>
              <w:ind w:right="180"/>
              <w:spacing w:after="0" w:line="154" w:lineRule="exact"/>
              <w:rPr>
                <w:sz w:val="20"/>
                <w:szCs w:val="20"/>
                <w:color w:val="auto"/>
              </w:rPr>
            </w:pPr>
            <w:r>
              <w:rPr>
                <w:rFonts w:ascii="Times New Roman" w:cs="Times New Roman" w:eastAsia="Times New Roman" w:hAnsi="Times New Roman"/>
                <w:sz w:val="15"/>
                <w:szCs w:val="15"/>
                <w:b w:val="1"/>
                <w:bCs w:val="1"/>
                <w:color w:val="auto"/>
                <w:w w:val="95"/>
              </w:rPr>
              <w:t>Greenville, South Carolina 29601</w:t>
            </w: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71"/>
        </w:trPr>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2"/>
          </w:tcPr>
          <w:p>
            <w:pPr>
              <w:jc w:val="center"/>
              <w:ind w:right="440"/>
              <w:spacing w:after="0" w:line="172" w:lineRule="exact"/>
              <w:rPr>
                <w:sz w:val="20"/>
                <w:szCs w:val="20"/>
                <w:color w:val="auto"/>
              </w:rPr>
            </w:pPr>
            <w:r>
              <w:rPr>
                <w:rFonts w:ascii="Times New Roman" w:cs="Times New Roman" w:eastAsia="Times New Roman" w:hAnsi="Times New Roman"/>
                <w:sz w:val="15"/>
                <w:szCs w:val="15"/>
                <w:b w:val="1"/>
                <w:bCs w:val="1"/>
                <w:color w:val="auto"/>
                <w:w w:val="95"/>
              </w:rPr>
              <w:t>Telephone: (864) 241-8736</w:t>
            </w:r>
          </w:p>
        </w:tc>
        <w:tc>
          <w:tcPr>
            <w:tcW w:w="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6"/>
        </w:trPr>
        <w:tc>
          <w:tcPr>
            <w:tcW w:w="340" w:type="dxa"/>
            <w:vAlign w:val="bottom"/>
          </w:tcPr>
          <w:p>
            <w:pPr>
              <w:spacing w:after="0"/>
              <w:rPr>
                <w:sz w:val="17"/>
                <w:szCs w:val="17"/>
                <w:color w:val="auto"/>
              </w:rPr>
            </w:pPr>
          </w:p>
        </w:tc>
        <w:tc>
          <w:tcPr>
            <w:tcW w:w="7800" w:type="dxa"/>
            <w:vAlign w:val="bottom"/>
            <w:gridSpan w:val="8"/>
          </w:tcPr>
          <w:p>
            <w:pPr>
              <w:jc w:val="center"/>
              <w:ind w:left="69"/>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r>
      <w:tr>
        <w:trPr>
          <w:trHeight w:val="61"/>
        </w:trPr>
        <w:tc>
          <w:tcPr>
            <w:tcW w:w="3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229"/>
        </w:trPr>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i w:val="1"/>
                <w:iCs w:val="1"/>
                <w:color w:val="auto"/>
              </w:rPr>
              <w:t>Copies to:</w:t>
            </w:r>
          </w:p>
        </w:tc>
        <w:tc>
          <w:tcPr>
            <w:tcW w:w="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81"/>
        </w:trPr>
        <w:tc>
          <w:tcPr>
            <w:tcW w:w="3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240" w:type="dxa"/>
            <w:vAlign w:val="bottom"/>
          </w:tcPr>
          <w:p>
            <w:pPr>
              <w:jc w:val="center"/>
              <w:ind w:right="149"/>
              <w:spacing w:after="0"/>
              <w:rPr>
                <w:sz w:val="20"/>
                <w:szCs w:val="20"/>
                <w:color w:val="auto"/>
              </w:rPr>
            </w:pPr>
            <w:r>
              <w:rPr>
                <w:rFonts w:ascii="Times New Roman" w:cs="Times New Roman" w:eastAsia="Times New Roman" w:hAnsi="Times New Roman"/>
                <w:sz w:val="15"/>
                <w:szCs w:val="15"/>
                <w:b w:val="1"/>
                <w:bCs w:val="1"/>
                <w:color w:val="auto"/>
                <w:w w:val="96"/>
              </w:rPr>
              <w:t>Brandon C. Price, Esq.</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7"/>
              </w:rPr>
              <w:t>Ronald G. Quinn</w:t>
            </w:r>
          </w:p>
        </w:tc>
        <w:tc>
          <w:tcPr>
            <w:tcW w:w="3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 ​</w:t>
            </w:r>
          </w:p>
        </w:tc>
        <w:tc>
          <w:tcPr>
            <w:tcW w:w="2240" w:type="dxa"/>
            <w:vAlign w:val="bottom"/>
          </w:tcPr>
          <w:p>
            <w:pPr>
              <w:jc w:val="center"/>
              <w:ind w:left="248"/>
              <w:spacing w:after="0"/>
              <w:rPr>
                <w:sz w:val="20"/>
                <w:szCs w:val="20"/>
                <w:color w:val="auto"/>
              </w:rPr>
            </w:pPr>
            <w:r>
              <w:rPr>
                <w:rFonts w:ascii="Times New Roman" w:cs="Times New Roman" w:eastAsia="Times New Roman" w:hAnsi="Times New Roman"/>
                <w:sz w:val="15"/>
                <w:szCs w:val="15"/>
                <w:b w:val="1"/>
                <w:bCs w:val="1"/>
                <w:color w:val="auto"/>
                <w:w w:val="96"/>
              </w:rPr>
              <w:t>Mark Kanaly</w:t>
            </w:r>
          </w:p>
        </w:tc>
        <w:tc>
          <w:tcPr>
            <w:tcW w:w="46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1"/>
        </w:trPr>
        <w:tc>
          <w:tcPr>
            <w:tcW w:w="340" w:type="dxa"/>
            <w:vAlign w:val="bottom"/>
          </w:tcPr>
          <w:p>
            <w:pPr>
              <w:spacing w:after="0"/>
              <w:rPr>
                <w:sz w:val="16"/>
                <w:szCs w:val="16"/>
                <w:color w:val="auto"/>
              </w:rPr>
            </w:pPr>
          </w:p>
        </w:tc>
        <w:tc>
          <w:tcPr>
            <w:tcW w:w="2240" w:type="dxa"/>
            <w:vAlign w:val="bottom"/>
          </w:tcPr>
          <w:p>
            <w:pPr>
              <w:jc w:val="center"/>
              <w:ind w:right="149"/>
              <w:spacing w:after="0"/>
              <w:rPr>
                <w:sz w:val="20"/>
                <w:szCs w:val="20"/>
                <w:color w:val="auto"/>
              </w:rPr>
            </w:pPr>
            <w:r>
              <w:rPr>
                <w:rFonts w:ascii="Times New Roman" w:cs="Times New Roman" w:eastAsia="Times New Roman" w:hAnsi="Times New Roman"/>
                <w:sz w:val="15"/>
                <w:szCs w:val="15"/>
                <w:b w:val="1"/>
                <w:bCs w:val="1"/>
                <w:color w:val="auto"/>
                <w:w w:val="96"/>
              </w:rPr>
              <w:t>Wachtell, Lipton, Rosen &amp; Katz</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5"/>
              </w:rPr>
              <w:t>Peach State Bancshares, Inc.</w:t>
            </w:r>
          </w:p>
        </w:tc>
        <w:tc>
          <w:tcPr>
            <w:tcW w:w="320" w:type="dxa"/>
            <w:vAlign w:val="bottom"/>
          </w:tcPr>
          <w:p>
            <w:pPr>
              <w:spacing w:after="0"/>
              <w:rPr>
                <w:sz w:val="16"/>
                <w:szCs w:val="16"/>
                <w:color w:val="auto"/>
              </w:rPr>
            </w:pPr>
          </w:p>
        </w:tc>
        <w:tc>
          <w:tcPr>
            <w:tcW w:w="2240" w:type="dxa"/>
            <w:vAlign w:val="bottom"/>
          </w:tcPr>
          <w:p>
            <w:pPr>
              <w:jc w:val="center"/>
              <w:ind w:left="248"/>
              <w:spacing w:after="0"/>
              <w:rPr>
                <w:sz w:val="20"/>
                <w:szCs w:val="20"/>
                <w:color w:val="auto"/>
              </w:rPr>
            </w:pPr>
            <w:r>
              <w:rPr>
                <w:rFonts w:ascii="Times New Roman" w:cs="Times New Roman" w:eastAsia="Times New Roman" w:hAnsi="Times New Roman"/>
                <w:sz w:val="15"/>
                <w:szCs w:val="15"/>
                <w:b w:val="1"/>
                <w:bCs w:val="1"/>
                <w:color w:val="auto"/>
                <w:w w:val="96"/>
              </w:rPr>
              <w:t>Alston &amp; Bird LLP</w:t>
            </w:r>
          </w:p>
        </w:tc>
        <w:tc>
          <w:tcPr>
            <w:tcW w:w="460" w:type="dxa"/>
            <w:vAlign w:val="bottom"/>
          </w:tcPr>
          <w:p>
            <w:pPr>
              <w:spacing w:after="0"/>
              <w:rPr>
                <w:sz w:val="16"/>
                <w:szCs w:val="16"/>
                <w:color w:val="auto"/>
              </w:rPr>
            </w:pPr>
          </w:p>
        </w:tc>
      </w:tr>
      <w:tr>
        <w:trPr>
          <w:trHeight w:val="179"/>
        </w:trPr>
        <w:tc>
          <w:tcPr>
            <w:tcW w:w="340" w:type="dxa"/>
            <w:vAlign w:val="bottom"/>
          </w:tcPr>
          <w:p>
            <w:pPr>
              <w:spacing w:after="0"/>
              <w:rPr>
                <w:sz w:val="15"/>
                <w:szCs w:val="15"/>
                <w:color w:val="auto"/>
              </w:rPr>
            </w:pPr>
          </w:p>
        </w:tc>
        <w:tc>
          <w:tcPr>
            <w:tcW w:w="2240" w:type="dxa"/>
            <w:vAlign w:val="bottom"/>
          </w:tcPr>
          <w:p>
            <w:pPr>
              <w:jc w:val="center"/>
              <w:ind w:right="169"/>
              <w:spacing w:after="0"/>
              <w:rPr>
                <w:sz w:val="20"/>
                <w:szCs w:val="20"/>
                <w:color w:val="auto"/>
              </w:rPr>
            </w:pPr>
            <w:r>
              <w:rPr>
                <w:rFonts w:ascii="Times New Roman" w:cs="Times New Roman" w:eastAsia="Times New Roman" w:hAnsi="Times New Roman"/>
                <w:sz w:val="15"/>
                <w:szCs w:val="15"/>
                <w:b w:val="1"/>
                <w:bCs w:val="1"/>
                <w:color w:val="auto"/>
                <w:w w:val="96"/>
              </w:rPr>
              <w:t>51 West 52nd Street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6"/>
              </w:rPr>
              <w:t>121 E.E. Butler Parkway</w:t>
            </w:r>
          </w:p>
        </w:tc>
        <w:tc>
          <w:tcPr>
            <w:tcW w:w="320" w:type="dxa"/>
            <w:vAlign w:val="bottom"/>
          </w:tcPr>
          <w:p>
            <w:pPr>
              <w:spacing w:after="0"/>
              <w:rPr>
                <w:sz w:val="15"/>
                <w:szCs w:val="15"/>
                <w:color w:val="auto"/>
              </w:rPr>
            </w:pPr>
          </w:p>
        </w:tc>
        <w:tc>
          <w:tcPr>
            <w:tcW w:w="2700" w:type="dxa"/>
            <w:vAlign w:val="bottom"/>
            <w:gridSpan w:val="2"/>
          </w:tcPr>
          <w:p>
            <w:pPr>
              <w:jc w:val="center"/>
              <w:ind w:right="51"/>
              <w:spacing w:after="0"/>
              <w:rPr>
                <w:sz w:val="20"/>
                <w:szCs w:val="20"/>
                <w:color w:val="auto"/>
              </w:rPr>
            </w:pPr>
            <w:r>
              <w:rPr>
                <w:rFonts w:ascii="Times New Roman" w:cs="Times New Roman" w:eastAsia="Times New Roman" w:hAnsi="Times New Roman"/>
                <w:sz w:val="15"/>
                <w:szCs w:val="15"/>
                <w:b w:val="1"/>
                <w:bCs w:val="1"/>
                <w:color w:val="auto"/>
                <w:w w:val="95"/>
              </w:rPr>
              <w:t>1201 West Peachtree St NE, Suite 4900</w:t>
            </w:r>
          </w:p>
        </w:tc>
      </w:tr>
      <w:tr>
        <w:trPr>
          <w:trHeight w:val="179"/>
        </w:trPr>
        <w:tc>
          <w:tcPr>
            <w:tcW w:w="340" w:type="dxa"/>
            <w:vAlign w:val="bottom"/>
          </w:tcPr>
          <w:p>
            <w:pPr>
              <w:spacing w:after="0"/>
              <w:rPr>
                <w:sz w:val="15"/>
                <w:szCs w:val="15"/>
                <w:color w:val="auto"/>
              </w:rPr>
            </w:pPr>
          </w:p>
        </w:tc>
        <w:tc>
          <w:tcPr>
            <w:tcW w:w="2240" w:type="dxa"/>
            <w:vAlign w:val="bottom"/>
          </w:tcPr>
          <w:p>
            <w:pPr>
              <w:jc w:val="center"/>
              <w:ind w:right="149"/>
              <w:spacing w:after="0"/>
              <w:rPr>
                <w:sz w:val="20"/>
                <w:szCs w:val="20"/>
                <w:color w:val="auto"/>
              </w:rPr>
            </w:pPr>
            <w:r>
              <w:rPr>
                <w:rFonts w:ascii="Times New Roman" w:cs="Times New Roman" w:eastAsia="Times New Roman" w:hAnsi="Times New Roman"/>
                <w:sz w:val="15"/>
                <w:szCs w:val="15"/>
                <w:b w:val="1"/>
                <w:bCs w:val="1"/>
                <w:color w:val="auto"/>
                <w:w w:val="94"/>
              </w:rPr>
              <w:t>New York, New York 10019</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5"/>
              </w:rPr>
              <w:t>Gainesville, Georgia 30501</w:t>
            </w:r>
          </w:p>
        </w:tc>
        <w:tc>
          <w:tcPr>
            <w:tcW w:w="320" w:type="dxa"/>
            <w:vAlign w:val="bottom"/>
          </w:tcPr>
          <w:p>
            <w:pPr>
              <w:spacing w:after="0"/>
              <w:rPr>
                <w:sz w:val="15"/>
                <w:szCs w:val="15"/>
                <w:color w:val="auto"/>
              </w:rPr>
            </w:pPr>
          </w:p>
        </w:tc>
        <w:tc>
          <w:tcPr>
            <w:tcW w:w="2240" w:type="dxa"/>
            <w:vAlign w:val="bottom"/>
          </w:tcPr>
          <w:p>
            <w:pPr>
              <w:jc w:val="center"/>
              <w:ind w:left="248"/>
              <w:spacing w:after="0"/>
              <w:rPr>
                <w:sz w:val="20"/>
                <w:szCs w:val="20"/>
                <w:color w:val="auto"/>
              </w:rPr>
            </w:pPr>
            <w:r>
              <w:rPr>
                <w:rFonts w:ascii="Times New Roman" w:cs="Times New Roman" w:eastAsia="Times New Roman" w:hAnsi="Times New Roman"/>
                <w:sz w:val="15"/>
                <w:szCs w:val="15"/>
                <w:b w:val="1"/>
                <w:bCs w:val="1"/>
                <w:color w:val="auto"/>
                <w:w w:val="96"/>
              </w:rPr>
              <w:t>Atlanta, Georgia 30309</w:t>
            </w:r>
          </w:p>
        </w:tc>
        <w:tc>
          <w:tcPr>
            <w:tcW w:w="460" w:type="dxa"/>
            <w:vAlign w:val="bottom"/>
          </w:tcPr>
          <w:p>
            <w:pPr>
              <w:spacing w:after="0"/>
              <w:rPr>
                <w:sz w:val="15"/>
                <w:szCs w:val="15"/>
                <w:color w:val="auto"/>
              </w:rPr>
            </w:pPr>
          </w:p>
        </w:tc>
      </w:tr>
      <w:tr>
        <w:trPr>
          <w:trHeight w:val="200"/>
        </w:trPr>
        <w:tc>
          <w:tcPr>
            <w:tcW w:w="340" w:type="dxa"/>
            <w:vAlign w:val="bottom"/>
          </w:tcPr>
          <w:p>
            <w:pPr>
              <w:spacing w:after="0"/>
              <w:rPr>
                <w:sz w:val="17"/>
                <w:szCs w:val="17"/>
                <w:color w:val="auto"/>
              </w:rPr>
            </w:pPr>
          </w:p>
        </w:tc>
        <w:tc>
          <w:tcPr>
            <w:tcW w:w="2240" w:type="dxa"/>
            <w:vAlign w:val="bottom"/>
          </w:tcPr>
          <w:p>
            <w:pPr>
              <w:jc w:val="center"/>
              <w:ind w:right="129"/>
              <w:spacing w:after="0"/>
              <w:rPr>
                <w:sz w:val="20"/>
                <w:szCs w:val="20"/>
                <w:color w:val="auto"/>
              </w:rPr>
            </w:pPr>
            <w:r>
              <w:rPr>
                <w:rFonts w:ascii="Times New Roman" w:cs="Times New Roman" w:eastAsia="Times New Roman" w:hAnsi="Times New Roman"/>
                <w:sz w:val="15"/>
                <w:szCs w:val="15"/>
                <w:b w:val="1"/>
                <w:bCs w:val="1"/>
                <w:color w:val="auto"/>
                <w:w w:val="94"/>
              </w:rPr>
              <w:t>Telephone: (212) 403-1367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w w:val="94"/>
              </w:rPr>
              <w:t>Telephone: (770) 531-2767</w:t>
            </w:r>
          </w:p>
        </w:tc>
        <w:tc>
          <w:tcPr>
            <w:tcW w:w="320" w:type="dxa"/>
            <w:vAlign w:val="bottom"/>
          </w:tcPr>
          <w:p>
            <w:pPr>
              <w:spacing w:after="0"/>
              <w:rPr>
                <w:sz w:val="17"/>
                <w:szCs w:val="17"/>
                <w:color w:val="auto"/>
              </w:rPr>
            </w:pPr>
          </w:p>
        </w:tc>
        <w:tc>
          <w:tcPr>
            <w:tcW w:w="2240" w:type="dxa"/>
            <w:vAlign w:val="bottom"/>
          </w:tcPr>
          <w:p>
            <w:pPr>
              <w:jc w:val="center"/>
              <w:ind w:left="288"/>
              <w:spacing w:after="0"/>
              <w:rPr>
                <w:sz w:val="20"/>
                <w:szCs w:val="20"/>
                <w:color w:val="auto"/>
              </w:rPr>
            </w:pPr>
            <w:r>
              <w:rPr>
                <w:rFonts w:ascii="Times New Roman" w:cs="Times New Roman" w:eastAsia="Times New Roman" w:hAnsi="Times New Roman"/>
                <w:sz w:val="15"/>
                <w:szCs w:val="15"/>
                <w:b w:val="1"/>
                <w:bCs w:val="1"/>
                <w:color w:val="auto"/>
                <w:w w:val="94"/>
              </w:rPr>
              <w:t>Telephone: (404) 881-7975</w:t>
            </w:r>
          </w:p>
        </w:tc>
        <w:tc>
          <w:tcPr>
            <w:tcW w:w="460" w:type="dxa"/>
            <w:vAlign w:val="bottom"/>
          </w:tcPr>
          <w:p>
            <w:pPr>
              <w:spacing w:after="0"/>
              <w:rPr>
                <w:sz w:val="17"/>
                <w:szCs w:val="17"/>
                <w:color w:val="auto"/>
              </w:rPr>
            </w:pPr>
          </w:p>
        </w:tc>
      </w:tr>
    </w:tbl>
    <w:p>
      <w:pPr>
        <w:spacing w:after="0" w:line="14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the proposed sale of the securities to the public:</w:t>
      </w:r>
    </w:p>
    <w:p>
      <w:pPr>
        <w:spacing w:after="0" w:line="26" w:lineRule="exact"/>
        <w:rPr>
          <w:sz w:val="24"/>
          <w:szCs w:val="24"/>
          <w:color w:val="auto"/>
        </w:rPr>
      </w:pPr>
    </w:p>
    <w:p>
      <w:pPr>
        <w:jc w:val="center"/>
        <w:ind w:left="1620" w:right="40"/>
        <w:spacing w:after="0" w:line="233" w:lineRule="auto"/>
        <w:rPr>
          <w:sz w:val="20"/>
          <w:szCs w:val="20"/>
          <w:color w:val="auto"/>
        </w:rPr>
      </w:pPr>
      <w:r>
        <w:rPr>
          <w:rFonts w:ascii="Times New Roman" w:cs="Times New Roman" w:eastAsia="Times New Roman" w:hAnsi="Times New Roman"/>
          <w:sz w:val="15"/>
          <w:szCs w:val="15"/>
          <w:color w:val="auto"/>
        </w:rPr>
        <w:t>As soon as practicable after this Registration Statement becomes effective and upon completion of the merger described in the enclosed document.</w:t>
      </w:r>
    </w:p>
    <w:p>
      <w:pPr>
        <w:ind w:left="420" w:right="339" w:firstLine="318"/>
        <w:spacing w:after="0" w:line="172" w:lineRule="exact"/>
        <w:rPr>
          <w:sz w:val="20"/>
          <w:szCs w:val="20"/>
          <w:color w:val="auto"/>
        </w:rPr>
      </w:pPr>
      <w:r>
        <w:rPr>
          <w:rFonts w:ascii="Times New Roman" w:cs="Times New Roman" w:eastAsia="Times New Roman" w:hAnsi="Times New Roman"/>
          <w:sz w:val="15"/>
          <w:szCs w:val="15"/>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5"/>
          <w:szCs w:val="15"/>
          <w:color w:val="auto"/>
        </w:rPr>
        <w:t>☐</w:t>
      </w:r>
    </w:p>
    <w:p>
      <w:pPr>
        <w:ind w:left="740"/>
        <w:spacing w:after="0" w:line="215" w:lineRule="auto"/>
        <w:rPr>
          <w:sz w:val="20"/>
          <w:szCs w:val="20"/>
          <w:color w:val="auto"/>
        </w:rPr>
      </w:pPr>
      <w:r>
        <w:rPr>
          <w:rFonts w:ascii="Times New Roman" w:cs="Times New Roman" w:eastAsia="Times New Roman" w:hAnsi="Times New Roman"/>
          <w:sz w:val="15"/>
          <w:szCs w:val="15"/>
          <w:color w:val="auto"/>
        </w:rPr>
        <w:t>If this Form is filed to register additional securities for an offering pursuant to Rule 462(b) under the Securities Act of 1933, as</w:t>
      </w:r>
    </w:p>
    <w:p>
      <w:pPr>
        <w:spacing w:after="0" w:line="1" w:lineRule="exact"/>
        <w:rPr>
          <w:sz w:val="24"/>
          <w:szCs w:val="24"/>
          <w:color w:val="auto"/>
        </w:rPr>
      </w:pPr>
    </w:p>
    <w:p>
      <w:pPr>
        <w:ind w:left="420" w:right="839"/>
        <w:spacing w:after="0" w:line="167" w:lineRule="exact"/>
        <w:rPr>
          <w:sz w:val="20"/>
          <w:szCs w:val="20"/>
          <w:color w:val="auto"/>
        </w:rPr>
      </w:pPr>
      <w:r>
        <w:rPr>
          <w:rFonts w:ascii="Times New Roman" w:cs="Times New Roman" w:eastAsia="Times New Roman" w:hAnsi="Times New Roman"/>
          <w:sz w:val="15"/>
          <w:szCs w:val="15"/>
          <w:color w:val="auto"/>
        </w:rPr>
        <w:t xml:space="preserve">amended,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ind w:left="420" w:right="239" w:firstLine="318"/>
        <w:spacing w:after="0" w:line="167"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ind w:left="740"/>
        <w:spacing w:after="0" w:line="21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 smaller</w:t>
      </w:r>
    </w:p>
    <w:p>
      <w:pPr>
        <w:ind w:left="420" w:right="359"/>
        <w:spacing w:after="0" w:line="224" w:lineRule="auto"/>
        <w:rPr>
          <w:sz w:val="20"/>
          <w:szCs w:val="20"/>
          <w:color w:val="auto"/>
        </w:rPr>
      </w:pPr>
      <w:r>
        <w:rPr>
          <w:rFonts w:ascii="Times New Roman" w:cs="Times New Roman" w:eastAsia="Times New Roman" w:hAnsi="Times New Roman"/>
          <w:sz w:val="15"/>
          <w:szCs w:val="15"/>
          <w:color w:val="auto"/>
        </w:rPr>
        <w:t>reporting company. See the definitions of “large accelerated filer,” “accelerated filer” and “smaller reporting company” in Rule 12b-2 of the Exchange Act. (Check one):</w:t>
      </w:r>
    </w:p>
    <w:tbl>
      <w:tblPr>
        <w:tblLayout w:type="fixed"/>
        <w:tblInd w:w="740" w:type="dxa"/>
        <w:tblCellMar>
          <w:top w:w="0" w:type="dxa"/>
          <w:left w:w="0" w:type="dxa"/>
          <w:bottom w:w="0" w:type="dxa"/>
          <w:right w:w="0" w:type="dxa"/>
        </w:tblCellMar>
      </w:tblPr>
      <w:tr>
        <w:trPr>
          <w:trHeight w:val="146"/>
        </w:trPr>
        <w:tc>
          <w:tcPr>
            <w:tcW w:w="164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​Large accelerated filer</w:t>
            </w:r>
          </w:p>
        </w:tc>
        <w:tc>
          <w:tcPr>
            <w:tcW w:w="1860" w:type="dxa"/>
            <w:vAlign w:val="bottom"/>
          </w:tcPr>
          <w:p>
            <w:pPr>
              <w:ind w:left="260"/>
              <w:spacing w:after="0" w:line="146" w:lineRule="exact"/>
              <w:rPr>
                <w:sz w:val="20"/>
                <w:szCs w:val="20"/>
                <w:color w:val="auto"/>
              </w:rPr>
            </w:pPr>
            <w:r>
              <w:rPr>
                <w:rFonts w:ascii="MS PGothic" w:cs="MS PGothic" w:eastAsia="MS PGothic" w:hAnsi="MS PGothic"/>
                <w:sz w:val="15"/>
                <w:szCs w:val="15"/>
                <w:color w:val="auto"/>
              </w:rPr>
              <w:t>☒</w:t>
            </w:r>
          </w:p>
        </w:tc>
        <w:tc>
          <w:tcPr>
            <w:tcW w:w="3540" w:type="dxa"/>
            <w:vAlign w:val="bottom"/>
            <w:gridSpan w:val="2"/>
          </w:tcPr>
          <w:p>
            <w:pPr>
              <w:ind w:left="1460"/>
              <w:spacing w:after="0" w:line="146" w:lineRule="exact"/>
              <w:rPr>
                <w:sz w:val="20"/>
                <w:szCs w:val="20"/>
                <w:color w:val="auto"/>
              </w:rPr>
            </w:pPr>
            <w:r>
              <w:rPr>
                <w:rFonts w:ascii="Times New Roman" w:cs="Times New Roman" w:eastAsia="Times New Roman" w:hAnsi="Times New Roman"/>
                <w:sz w:val="15"/>
                <w:szCs w:val="15"/>
                <w:color w:val="auto"/>
              </w:rPr>
              <w:t>​ ​ Accelerated filer</w:t>
            </w:r>
          </w:p>
        </w:tc>
        <w:tc>
          <w:tcPr>
            <w:tcW w:w="620" w:type="dxa"/>
            <w:vAlign w:val="bottom"/>
          </w:tcPr>
          <w:p>
            <w:pPr>
              <w:ind w:left="200"/>
              <w:spacing w:after="0" w:line="146" w:lineRule="exact"/>
              <w:rPr>
                <w:sz w:val="20"/>
                <w:szCs w:val="20"/>
                <w:color w:val="auto"/>
              </w:rPr>
            </w:pPr>
            <w:r>
              <w:rPr>
                <w:rFonts w:ascii="MS PGothic" w:cs="MS PGothic" w:eastAsia="MS PGothic" w:hAnsi="MS PGothic"/>
                <w:sz w:val="15"/>
                <w:szCs w:val="15"/>
                <w:color w:val="auto"/>
              </w:rPr>
              <w:t>☐</w:t>
            </w:r>
          </w:p>
        </w:tc>
        <w:tc>
          <w:tcPr>
            <w:tcW w:w="340" w:type="dxa"/>
            <w:vAlign w:val="bottom"/>
          </w:tcPr>
          <w:p>
            <w:pPr>
              <w:ind w:left="300"/>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3"/>
        </w:trPr>
        <w:tc>
          <w:tcPr>
            <w:tcW w:w="1640" w:type="dxa"/>
            <w:vAlign w:val="bottom"/>
          </w:tcPr>
          <w:p>
            <w:pPr>
              <w:spacing w:after="0" w:line="143" w:lineRule="exact"/>
              <w:rPr>
                <w:sz w:val="20"/>
                <w:szCs w:val="20"/>
                <w:color w:val="auto"/>
              </w:rPr>
            </w:pPr>
            <w:r>
              <w:rPr>
                <w:rFonts w:ascii="Times New Roman" w:cs="Times New Roman" w:eastAsia="Times New Roman" w:hAnsi="Times New Roman"/>
                <w:sz w:val="15"/>
                <w:szCs w:val="15"/>
                <w:color w:val="auto"/>
              </w:rPr>
              <w:t>​</w:t>
            </w:r>
          </w:p>
        </w:tc>
        <w:tc>
          <w:tcPr>
            <w:tcW w:w="1860" w:type="dxa"/>
            <w:vAlign w:val="bottom"/>
            <w:vMerge w:val="restart"/>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1620" w:type="dxa"/>
            <w:vAlign w:val="bottom"/>
          </w:tcPr>
          <w:p>
            <w:pPr>
              <w:ind w:left="1460"/>
              <w:spacing w:after="0" w:line="143" w:lineRule="exact"/>
              <w:rPr>
                <w:sz w:val="20"/>
                <w:szCs w:val="20"/>
                <w:color w:val="auto"/>
              </w:rPr>
            </w:pPr>
            <w:r>
              <w:rPr>
                <w:rFonts w:ascii="Times New Roman" w:cs="Times New Roman" w:eastAsia="Times New Roman" w:hAnsi="Times New Roman"/>
                <w:sz w:val="15"/>
                <w:szCs w:val="15"/>
                <w:color w:val="auto"/>
              </w:rPr>
              <w:t>​ ​</w:t>
            </w:r>
          </w:p>
        </w:tc>
        <w:tc>
          <w:tcPr>
            <w:tcW w:w="1920" w:type="dxa"/>
            <w:vAlign w:val="bottom"/>
            <w:vMerge w:val="restart"/>
          </w:tcPr>
          <w:p>
            <w:pPr>
              <w:ind w:left="20"/>
              <w:spacing w:after="0" w:line="167" w:lineRule="exact"/>
              <w:rPr>
                <w:sz w:val="20"/>
                <w:szCs w:val="20"/>
                <w:color w:val="auto"/>
              </w:rPr>
            </w:pPr>
            <w:r>
              <w:rPr>
                <w:rFonts w:ascii="Times New Roman" w:cs="Times New Roman" w:eastAsia="Times New Roman" w:hAnsi="Times New Roman"/>
                <w:sz w:val="15"/>
                <w:szCs w:val="15"/>
                <w:color w:val="auto"/>
              </w:rPr>
              <w:t>Smaller reporting company</w:t>
            </w:r>
          </w:p>
        </w:tc>
        <w:tc>
          <w:tcPr>
            <w:tcW w:w="620" w:type="dxa"/>
            <w:vAlign w:val="bottom"/>
            <w:vMerge w:val="restart"/>
          </w:tcPr>
          <w:p>
            <w:pPr>
              <w:ind w:left="200"/>
              <w:spacing w:after="0" w:line="151" w:lineRule="exact"/>
              <w:rPr>
                <w:sz w:val="20"/>
                <w:szCs w:val="20"/>
                <w:color w:val="auto"/>
              </w:rPr>
            </w:pPr>
            <w:r>
              <w:rPr>
                <w:rFonts w:ascii="MS PGothic" w:cs="MS PGothic" w:eastAsia="MS PGothic" w:hAnsi="MS PGothic"/>
                <w:sz w:val="15"/>
                <w:szCs w:val="15"/>
                <w:color w:val="auto"/>
              </w:rPr>
              <w:t>☐</w:t>
            </w:r>
          </w:p>
        </w:tc>
        <w:tc>
          <w:tcPr>
            <w:tcW w:w="340" w:type="dxa"/>
            <w:vAlign w:val="bottom"/>
          </w:tcPr>
          <w:p>
            <w:pPr>
              <w:ind w:left="300"/>
              <w:spacing w:after="0" w:line="143"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
        </w:trPr>
        <w:tc>
          <w:tcPr>
            <w:tcW w:w="1640" w:type="dxa"/>
            <w:vAlign w:val="bottom"/>
          </w:tcPr>
          <w:p>
            <w:pPr>
              <w:spacing w:after="0"/>
              <w:rPr>
                <w:sz w:val="20"/>
                <w:szCs w:val="20"/>
                <w:color w:val="auto"/>
              </w:rPr>
            </w:pPr>
            <w:r>
              <w:rPr>
                <w:rFonts w:ascii="Times New Roman" w:cs="Times New Roman" w:eastAsia="Times New Roman" w:hAnsi="Times New Roman"/>
                <w:sz w:val="2"/>
                <w:szCs w:val="2"/>
                <w:color w:val="auto"/>
              </w:rPr>
              <w:t>Non-accelerated filer</w:t>
            </w:r>
          </w:p>
        </w:tc>
        <w:tc>
          <w:tcPr>
            <w:tcW w:w="1860" w:type="dxa"/>
            <w:vAlign w:val="bottom"/>
            <w:vMerge w:val="continue"/>
          </w:tcPr>
          <w:p>
            <w:pPr>
              <w:spacing w:after="0"/>
              <w:rPr>
                <w:sz w:val="2"/>
                <w:szCs w:val="2"/>
                <w:color w:val="auto"/>
              </w:rPr>
            </w:pPr>
          </w:p>
        </w:tc>
        <w:tc>
          <w:tcPr>
            <w:tcW w:w="1620" w:type="dxa"/>
            <w:vAlign w:val="bottom"/>
          </w:tcPr>
          <w:p>
            <w:pPr>
              <w:spacing w:after="0"/>
              <w:rPr>
                <w:sz w:val="2"/>
                <w:szCs w:val="2"/>
                <w:color w:val="auto"/>
              </w:rPr>
            </w:pPr>
          </w:p>
        </w:tc>
        <w:tc>
          <w:tcPr>
            <w:tcW w:w="192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tcPr>
          <w:p>
            <w:pPr>
              <w:spacing w:after="0"/>
              <w:rPr>
                <w:sz w:val="21"/>
                <w:szCs w:val="21"/>
                <w:color w:val="auto"/>
              </w:rPr>
            </w:pPr>
          </w:p>
        </w:tc>
        <w:tc>
          <w:tcPr>
            <w:tcW w:w="3540" w:type="dxa"/>
            <w:vAlign w:val="bottom"/>
            <w:gridSpan w:val="2"/>
          </w:tcPr>
          <w:p>
            <w:pPr>
              <w:ind w:left="1460"/>
              <w:spacing w:after="0"/>
              <w:rPr>
                <w:sz w:val="20"/>
                <w:szCs w:val="20"/>
                <w:color w:val="auto"/>
              </w:rPr>
            </w:pPr>
            <w:r>
              <w:rPr>
                <w:rFonts w:ascii="Times New Roman" w:cs="Times New Roman" w:eastAsia="Times New Roman" w:hAnsi="Times New Roman"/>
                <w:sz w:val="15"/>
                <w:szCs w:val="15"/>
                <w:color w:val="auto"/>
              </w:rPr>
              <w:t>​ ​ Emerging growth company</w:t>
            </w:r>
          </w:p>
        </w:tc>
        <w:tc>
          <w:tcPr>
            <w:tcW w:w="620" w:type="dxa"/>
            <w:vAlign w:val="bottom"/>
          </w:tcPr>
          <w:p>
            <w:pPr>
              <w:ind w:left="200"/>
              <w:spacing w:after="0" w:line="151" w:lineRule="exact"/>
              <w:rPr>
                <w:sz w:val="20"/>
                <w:szCs w:val="20"/>
                <w:color w:val="auto"/>
              </w:rPr>
            </w:pPr>
            <w:r>
              <w:rPr>
                <w:rFonts w:ascii="MS PGothic" w:cs="MS PGothic" w:eastAsia="MS PGothic" w:hAnsi="MS PGothic"/>
                <w:sz w:val="15"/>
                <w:szCs w:val="15"/>
                <w:color w:val="auto"/>
              </w:rPr>
              <w:t>☐</w:t>
            </w:r>
          </w:p>
        </w:tc>
        <w:tc>
          <w:tcPr>
            <w:tcW w:w="3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left="420" w:right="359" w:firstLine="318"/>
        <w:spacing w:after="0" w:line="181"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5"/>
          <w:szCs w:val="15"/>
          <w:color w:val="auto"/>
        </w:rPr>
        <w:t>If applicable, place an X in the box to designate the appropriate rule provision relied upon in conducting this transaction:</w:t>
      </w:r>
    </w:p>
    <w:p>
      <w:pPr>
        <w:spacing w:after="0" w:line="6" w:lineRule="exact"/>
        <w:rPr>
          <w:sz w:val="24"/>
          <w:szCs w:val="24"/>
          <w:color w:val="auto"/>
        </w:rPr>
      </w:pPr>
    </w:p>
    <w:p>
      <w:pPr>
        <w:ind w:left="740"/>
        <w:spacing w:after="0" w:line="173" w:lineRule="exact"/>
        <w:tabs>
          <w:tab w:leader="none" w:pos="4880" w:val="left"/>
        </w:tabs>
        <w:rPr>
          <w:sz w:val="20"/>
          <w:szCs w:val="20"/>
          <w:color w:val="auto"/>
        </w:rPr>
      </w:pPr>
      <w:r>
        <w:rPr>
          <w:rFonts w:ascii="Times New Roman" w:cs="Times New Roman" w:eastAsia="Times New Roman" w:hAnsi="Times New Roman"/>
          <w:sz w:val="15"/>
          <w:szCs w:val="15"/>
          <w:color w:val="auto"/>
        </w:rPr>
        <w:t>Exchange Act Rule 13e-4(i) (Cross-Border Issuer Tender Offer)</w:t>
      </w:r>
      <w:r>
        <w:rPr>
          <w:sz w:val="20"/>
          <w:szCs w:val="20"/>
          <w:color w:val="auto"/>
        </w:rPr>
        <w:tab/>
      </w:r>
      <w:r>
        <w:rPr>
          <w:rFonts w:ascii="MS PGothic" w:cs="MS PGothic" w:eastAsia="MS PGothic" w:hAnsi="MS PGothic"/>
          <w:sz w:val="14"/>
          <w:szCs w:val="14"/>
          <w:color w:val="auto"/>
        </w:rPr>
        <w:t>☐</w:t>
      </w:r>
    </w:p>
    <w:p>
      <w:pPr>
        <w:spacing w:after="0" w:line="13" w:lineRule="exact"/>
        <w:rPr>
          <w:sz w:val="24"/>
          <w:szCs w:val="24"/>
          <w:color w:val="auto"/>
        </w:rPr>
      </w:pPr>
    </w:p>
    <w:p>
      <w:pPr>
        <w:ind w:left="740"/>
        <w:spacing w:after="0" w:line="173" w:lineRule="exact"/>
        <w:tabs>
          <w:tab w:leader="none" w:pos="5280" w:val="left"/>
        </w:tabs>
        <w:rPr>
          <w:sz w:val="20"/>
          <w:szCs w:val="20"/>
          <w:color w:val="auto"/>
        </w:rPr>
      </w:pPr>
      <w:r>
        <w:rPr>
          <w:rFonts w:ascii="Times New Roman" w:cs="Times New Roman" w:eastAsia="Times New Roman" w:hAnsi="Times New Roman"/>
          <w:sz w:val="15"/>
          <w:szCs w:val="15"/>
          <w:color w:val="auto"/>
        </w:rPr>
        <w:t>Exchange Act Rule 14d-1(d) (Cross-Border Third-Party Tender Offer)</w:t>
      </w:r>
      <w:r>
        <w:rPr>
          <w:sz w:val="20"/>
          <w:szCs w:val="20"/>
          <w:color w:val="auto"/>
        </w:rPr>
        <w:tab/>
      </w:r>
      <w:r>
        <w:rPr>
          <w:rFonts w:ascii="MS PGothic" w:cs="MS PGothic" w:eastAsia="MS PGothic" w:hAnsi="MS PGothic"/>
          <w:sz w:val="14"/>
          <w:szCs w:val="14"/>
          <w:color w:val="auto"/>
        </w:rPr>
        <w:t>☐</w:t>
      </w:r>
    </w:p>
    <w:p>
      <w:pPr>
        <w:spacing w:after="0" w:line="12" w:lineRule="exact"/>
        <w:rPr>
          <w:sz w:val="24"/>
          <w:szCs w:val="24"/>
          <w:color w:val="auto"/>
        </w:rPr>
      </w:pPr>
    </w:p>
    <w:p>
      <w:pPr>
        <w:ind w:left="420" w:right="379" w:firstLine="318"/>
        <w:spacing w:after="0" w:line="230"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w:t>
      </w:r>
    </w:p>
    <w:p>
      <w:pPr>
        <w:spacing w:after="0" w:line="1" w:lineRule="exact"/>
        <w:rPr>
          <w:sz w:val="24"/>
          <w:szCs w:val="24"/>
          <w:color w:val="auto"/>
        </w:rPr>
      </w:pPr>
    </w:p>
    <w:p>
      <w:pPr>
        <w:ind w:left="420" w:right="1019"/>
        <w:spacing w:after="0" w:line="224" w:lineRule="auto"/>
        <w:rPr>
          <w:sz w:val="20"/>
          <w:szCs w:val="20"/>
          <w:color w:val="auto"/>
        </w:rPr>
      </w:pPr>
      <w:r>
        <w:rPr>
          <w:rFonts w:ascii="Times New Roman" w:cs="Times New Roman" w:eastAsia="Times New Roman" w:hAnsi="Times New Roman"/>
          <w:sz w:val="15"/>
          <w:szCs w:val="15"/>
          <w:b w:val="1"/>
          <w:bCs w:val="1"/>
          <w:color w:val="auto"/>
        </w:rPr>
        <w:t>accordance with Section 8(a) of the Securities Act, or until the Registration Statement shall become effective on such date as the Commission, acting pursuant to said Section 8(a), may determine.</w:t>
      </w:r>
    </w:p>
    <w:p>
      <w:pPr>
        <w:spacing w:after="0" w:line="3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273050</wp:posOffset>
            </wp:positionH>
            <wp:positionV relativeFrom="paragraph">
              <wp:posOffset>-17145</wp:posOffset>
            </wp:positionV>
            <wp:extent cx="54540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4015" cy="7620"/>
                    </a:xfrm>
                    <a:prstGeom prst="rect">
                      <a:avLst/>
                    </a:prstGeom>
                    <a:noFill/>
                  </pic:spPr>
                </pic:pic>
              </a:graphicData>
            </a:graphic>
          </wp:anchor>
        </w:drawing>
        <w:drawing>
          <wp:anchor simplePos="0" relativeHeight="251657728" behindDoc="1" locked="0" layoutInCell="0" allowOverlap="1">
            <wp:simplePos x="0" y="0"/>
            <wp:positionH relativeFrom="column">
              <wp:posOffset>273050</wp:posOffset>
            </wp:positionH>
            <wp:positionV relativeFrom="paragraph">
              <wp:posOffset>5080</wp:posOffset>
            </wp:positionV>
            <wp:extent cx="545401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4015" cy="1524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226695</wp:posOffset>
            </wp:positionV>
            <wp:extent cx="602424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189" w:right="1440" w:bottom="1440" w:gutter="0" w:footer="0" w:header="0"/>
        </w:sectPr>
      </w:pPr>
    </w:p>
    <w:bookmarkStart w:id="1" w:name="page2"/>
    <w:bookmarkEnd w:id="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726" w:type="dxa"/>
        <w:tblCellMar>
          <w:top w:w="0" w:type="dxa"/>
          <w:left w:w="0" w:type="dxa"/>
          <w:bottom w:w="0" w:type="dxa"/>
          <w:right w:w="0" w:type="dxa"/>
        </w:tblCellMar>
      </w:tblPr>
      <w:tr>
        <w:trPr>
          <w:trHeight w:val="11220"/>
        </w:trPr>
        <w:tc>
          <w:tcPr>
            <w:tcW w:w="633" w:type="dxa"/>
            <w:vAlign w:val="bottom"/>
            <w:textDirection w:val="btLr"/>
          </w:tcPr>
          <w:p>
            <w:pPr>
              <w:spacing w:after="0" w:line="254" w:lineRule="auto"/>
              <w:rPr>
                <w:sz w:val="20"/>
                <w:szCs w:val="20"/>
                <w:color w:val="auto"/>
              </w:rPr>
            </w:pPr>
            <w:r>
              <w:rPr>
                <w:rFonts w:ascii="Arial" w:cs="Arial" w:eastAsia="Arial" w:hAnsi="Arial"/>
                <w:sz w:val="13"/>
                <w:szCs w:val="13"/>
                <w:b w:val="1"/>
                <w:bCs w:val="1"/>
                <w:color w:val="FC0014"/>
              </w:rPr>
              <w:t>under the securities laws of any such jurisdiction.​ solicitation of any offer to buy nor shall there be any sale of these securities in any jurisdiction in which such offer, solicitation, or sale would be unlawful prior to registration or qualification These securities may not be sold nor may offers to buy be accepted prior to the time the registration statement becomes effective. This document shall not constitute an offer to sell or the Information contained herein is subject to completion or amendment. A registration statement relating to these securities has been filed with the Securities and Exchange Commission.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6"/>
          <w:szCs w:val="16"/>
          <w:b w:val="1"/>
          <w:bCs w:val="1"/>
          <w:color w:val="FC0014"/>
        </w:rPr>
        <w:t>PRELIMINARY — SUBJECT TO COMPLETION — DATED JUNE 8, 2026</w:t>
      </w:r>
    </w:p>
    <w:p>
      <w:pPr>
        <w:spacing w:after="0" w:line="163" w:lineRule="exact"/>
        <w:rPr>
          <w:sz w:val="20"/>
          <w:szCs w:val="20"/>
          <w:color w:val="auto"/>
        </w:rPr>
      </w:pPr>
    </w:p>
    <w:p>
      <w:pPr>
        <w:spacing w:after="0"/>
        <w:tabs>
          <w:tab w:leader="none" w:pos="3520" w:val="left"/>
          <w:tab w:leader="none" w:pos="72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-105410</wp:posOffset>
            </wp:positionV>
            <wp:extent cx="1610995" cy="415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0995" cy="41592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-105410</wp:posOffset>
            </wp:positionV>
            <wp:extent cx="582295" cy="612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2295" cy="61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59" w:firstLine="1454"/>
        <w:spacing w:after="0" w:line="413" w:lineRule="auto"/>
        <w:rPr>
          <w:sz w:val="20"/>
          <w:szCs w:val="20"/>
          <w:color w:val="auto"/>
        </w:rPr>
      </w:pPr>
      <w:r>
        <w:rPr>
          <w:rFonts w:ascii="Times New Roman" w:cs="Times New Roman" w:eastAsia="Times New Roman" w:hAnsi="Times New Roman"/>
          <w:sz w:val="16"/>
          <w:szCs w:val="16"/>
          <w:b w:val="1"/>
          <w:bCs w:val="1"/>
          <w:color w:val="auto"/>
        </w:rPr>
        <w:t xml:space="preserve">MERGER PROPOSED — YOUR VOTE IS VERY IMPORTANT </w:t>
      </w:r>
      <w:r>
        <w:rPr>
          <w:rFonts w:ascii="Times New Roman" w:cs="Times New Roman" w:eastAsia="Times New Roman" w:hAnsi="Times New Roman"/>
          <w:sz w:val="16"/>
          <w:szCs w:val="16"/>
          <w:color w:val="auto"/>
        </w:rPr>
        <w:t>To the Shareholders of Peach State Bancshares, Inc.:</w:t>
      </w:r>
    </w:p>
    <w:p>
      <w:pPr>
        <w:ind w:left="320"/>
        <w:spacing w:after="0"/>
        <w:rPr>
          <w:sz w:val="20"/>
          <w:szCs w:val="20"/>
          <w:color w:val="auto"/>
        </w:rPr>
      </w:pPr>
      <w:r>
        <w:rPr>
          <w:rFonts w:ascii="Times New Roman" w:cs="Times New Roman" w:eastAsia="Times New Roman" w:hAnsi="Times New Roman"/>
          <w:sz w:val="16"/>
          <w:szCs w:val="16"/>
          <w:color w:val="auto"/>
        </w:rPr>
        <w:t>On April 20, 2026, United Community Banks, Inc., which we refer to as United, and Peach State</w:t>
      </w:r>
    </w:p>
    <w:p>
      <w:pPr>
        <w:spacing w:after="0" w:line="234" w:lineRule="auto"/>
        <w:rPr>
          <w:sz w:val="20"/>
          <w:szCs w:val="20"/>
          <w:color w:val="auto"/>
        </w:rPr>
      </w:pPr>
      <w:r>
        <w:rPr>
          <w:rFonts w:ascii="Times New Roman" w:cs="Times New Roman" w:eastAsia="Times New Roman" w:hAnsi="Times New Roman"/>
          <w:sz w:val="16"/>
          <w:szCs w:val="16"/>
          <w:color w:val="auto"/>
        </w:rPr>
        <w:t>Bancshares, Inc., which we refer to as Peach State, entered into an Agreement and Plan of Merger, which</w:t>
      </w:r>
    </w:p>
    <w:p>
      <w:pPr>
        <w:spacing w:after="0" w:line="233" w:lineRule="auto"/>
        <w:rPr>
          <w:sz w:val="20"/>
          <w:szCs w:val="20"/>
          <w:color w:val="auto"/>
        </w:rPr>
      </w:pPr>
      <w:r>
        <w:rPr>
          <w:rFonts w:ascii="Times New Roman" w:cs="Times New Roman" w:eastAsia="Times New Roman" w:hAnsi="Times New Roman"/>
          <w:sz w:val="16"/>
          <w:szCs w:val="16"/>
          <w:color w:val="auto"/>
        </w:rPr>
        <w:t>we refer to as the merger agreement, that provides for the acquisition of Peach State by United. Under the</w:t>
      </w:r>
    </w:p>
    <w:p>
      <w:pPr>
        <w:spacing w:after="0" w:line="217" w:lineRule="auto"/>
        <w:rPr>
          <w:sz w:val="20"/>
          <w:szCs w:val="20"/>
          <w:color w:val="auto"/>
        </w:rPr>
      </w:pPr>
      <w:r>
        <w:rPr>
          <w:rFonts w:ascii="Times New Roman" w:cs="Times New Roman" w:eastAsia="Times New Roman" w:hAnsi="Times New Roman"/>
          <w:sz w:val="16"/>
          <w:szCs w:val="16"/>
          <w:color w:val="auto"/>
        </w:rPr>
        <w:t>merger agreement, Peach State will merge with and into United, with United as the surviving corporation, in</w:t>
      </w:r>
    </w:p>
    <w:p>
      <w:pPr>
        <w:spacing w:after="0" w:line="233" w:lineRule="auto"/>
        <w:rPr>
          <w:sz w:val="20"/>
          <w:szCs w:val="20"/>
          <w:color w:val="auto"/>
        </w:rPr>
      </w:pPr>
      <w:r>
        <w:rPr>
          <w:rFonts w:ascii="Times New Roman" w:cs="Times New Roman" w:eastAsia="Times New Roman" w:hAnsi="Times New Roman"/>
          <w:sz w:val="16"/>
          <w:szCs w:val="16"/>
          <w:color w:val="auto"/>
        </w:rPr>
        <w:t>a transaction we refer to as the merger. Immediately following completion of the merger, Peach State</w:t>
      </w:r>
    </w:p>
    <w:p>
      <w:pPr>
        <w:spacing w:after="0" w:line="233" w:lineRule="auto"/>
        <w:rPr>
          <w:sz w:val="20"/>
          <w:szCs w:val="20"/>
          <w:color w:val="auto"/>
        </w:rPr>
      </w:pPr>
      <w:r>
        <w:rPr>
          <w:rFonts w:ascii="Times New Roman" w:cs="Times New Roman" w:eastAsia="Times New Roman" w:hAnsi="Times New Roman"/>
          <w:sz w:val="16"/>
          <w:szCs w:val="16"/>
          <w:color w:val="auto"/>
        </w:rPr>
        <w:t>Bank &amp; Trust, a wholly-owned subsidiary of Peach State, which we refer to as Peach State Bank, will merge</w:t>
      </w:r>
    </w:p>
    <w:p>
      <w:pPr>
        <w:spacing w:after="0" w:line="218" w:lineRule="auto"/>
        <w:rPr>
          <w:sz w:val="20"/>
          <w:szCs w:val="20"/>
          <w:color w:val="auto"/>
        </w:rPr>
      </w:pPr>
      <w:r>
        <w:rPr>
          <w:rFonts w:ascii="Times New Roman" w:cs="Times New Roman" w:eastAsia="Times New Roman" w:hAnsi="Times New Roman"/>
          <w:sz w:val="16"/>
          <w:szCs w:val="16"/>
          <w:color w:val="auto"/>
        </w:rPr>
        <w:t>with and into United Community Bank, a wholly-owned subsidiary of United, with United Community</w:t>
      </w:r>
    </w:p>
    <w:p>
      <w:pPr>
        <w:spacing w:after="0" w:line="233" w:lineRule="auto"/>
        <w:rPr>
          <w:sz w:val="20"/>
          <w:szCs w:val="20"/>
          <w:color w:val="auto"/>
        </w:rPr>
      </w:pPr>
      <w:r>
        <w:rPr>
          <w:rFonts w:ascii="Times New Roman" w:cs="Times New Roman" w:eastAsia="Times New Roman" w:hAnsi="Times New Roman"/>
          <w:sz w:val="16"/>
          <w:szCs w:val="16"/>
          <w:color w:val="auto"/>
        </w:rPr>
        <w:t>Bank as the surviving bank, in a transaction we refer to as the bank merger. The transaction will strengthen</w:t>
      </w:r>
    </w:p>
    <w:p>
      <w:pPr>
        <w:spacing w:after="0"/>
        <w:rPr>
          <w:sz w:val="20"/>
          <w:szCs w:val="20"/>
          <w:color w:val="auto"/>
        </w:rPr>
      </w:pPr>
      <w:r>
        <w:rPr>
          <w:rFonts w:ascii="Times New Roman" w:cs="Times New Roman" w:eastAsia="Times New Roman" w:hAnsi="Times New Roman"/>
          <w:sz w:val="16"/>
          <w:szCs w:val="16"/>
          <w:color w:val="auto"/>
        </w:rPr>
        <w:t>United’s presence in the greater Gainesville market.</w:t>
      </w:r>
    </w:p>
    <w:p>
      <w:pPr>
        <w:spacing w:after="0" w:line="108" w:lineRule="exact"/>
        <w:rPr>
          <w:sz w:val="20"/>
          <w:szCs w:val="20"/>
          <w:color w:val="auto"/>
        </w:rPr>
      </w:pPr>
    </w:p>
    <w:p>
      <w:pPr>
        <w:ind w:right="619" w:firstLine="318"/>
        <w:spacing w:after="0"/>
        <w:rPr>
          <w:sz w:val="20"/>
          <w:szCs w:val="20"/>
          <w:color w:val="auto"/>
        </w:rPr>
      </w:pPr>
      <w:r>
        <w:rPr>
          <w:rFonts w:ascii="Times New Roman" w:cs="Times New Roman" w:eastAsia="Times New Roman" w:hAnsi="Times New Roman"/>
          <w:sz w:val="16"/>
          <w:szCs w:val="16"/>
          <w:color w:val="auto"/>
        </w:rPr>
        <w:t>Pursuant to the terms and subject to the conditions set forth in the merger agreement, at the effective time of the merger (referred as the effective time), each outstanding share of Peach State common stock (except for treasury stock or shares owned by Peach State or United, in each case, other than in a fiduciary or agency capacity or as a result of debts previously contracted, and shares held by shareholders who properly exercise appraisal rights) will be converted into the right to receive, at such shareholder’s election and subject to proration, (i) $ 31.75 in cash (subject to applicable withholding tax), without interest (referred to as the cash consideration), or (ii) 0.8978 shares of common stock, par value $1.00 per share, which we referred to as the exchange ratio, of United (referred to as the stock consideration and together with the cash consideration, the merger consideration). No fractional shares of United common stock will be issued in the merger, and holders of Peach State common stock will be entitled to receive cash in lieu of fractional shares. Additionally, 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 Although the number of shares of United common stock that each Peach State shareholder will receive is fixed, the market value of the stock consideration will fluctuate with the market price of United common stock and will not be known at the time Peach State shareholders vote on the merger agreement. Based on the exchange ratio, and on the closing stock price of United common stock of $33.34 as of June 5, 2026, the latest practicable trading day before the date of this proxy statement/prospectus, the value of the per share stock consideration payable to holders of Peach State common stock was approximately $29.93 as of such date.</w:t>
      </w:r>
    </w:p>
    <w:p>
      <w:pPr>
        <w:spacing w:after="0" w:line="281" w:lineRule="exact"/>
        <w:rPr>
          <w:sz w:val="20"/>
          <w:szCs w:val="20"/>
          <w:color w:val="auto"/>
        </w:rPr>
      </w:pPr>
    </w:p>
    <w:p>
      <w:pPr>
        <w:ind w:right="899" w:firstLine="318"/>
        <w:spacing w:after="0" w:line="249" w:lineRule="auto"/>
        <w:rPr>
          <w:sz w:val="20"/>
          <w:szCs w:val="20"/>
          <w:color w:val="auto"/>
        </w:rPr>
      </w:pPr>
      <w:r>
        <w:rPr>
          <w:rFonts w:ascii="Times New Roman" w:cs="Times New Roman" w:eastAsia="Times New Roman" w:hAnsi="Times New Roman"/>
          <w:sz w:val="16"/>
          <w:szCs w:val="16"/>
          <w:b w:val="1"/>
          <w:bCs w:val="1"/>
          <w:color w:val="auto"/>
        </w:rPr>
        <w:t>We urge you to obtain current market quotations for United (currently traded on The New York Stock Exchange under the trading symbol “UCB”). Peach State’s common stock is not listed or quoted on any exchange.</w:t>
      </w:r>
    </w:p>
    <w:p>
      <w:pPr>
        <w:spacing w:after="0" w:line="96" w:lineRule="exact"/>
        <w:rPr>
          <w:sz w:val="20"/>
          <w:szCs w:val="20"/>
          <w:color w:val="auto"/>
        </w:rPr>
      </w:pPr>
    </w:p>
    <w:p>
      <w:pPr>
        <w:ind w:right="619" w:firstLine="318"/>
        <w:spacing w:after="0" w:line="243" w:lineRule="auto"/>
        <w:rPr>
          <w:sz w:val="20"/>
          <w:szCs w:val="20"/>
          <w:color w:val="auto"/>
        </w:rPr>
      </w:pPr>
      <w:r>
        <w:rPr>
          <w:rFonts w:ascii="Times New Roman" w:cs="Times New Roman" w:eastAsia="Times New Roman" w:hAnsi="Times New Roman"/>
          <w:sz w:val="16"/>
          <w:szCs w:val="16"/>
          <w:color w:val="auto"/>
        </w:rPr>
        <w:t>Based on the current number of shares of Peach State common stock outstanding as of the date of the merger agreement, United expects to issue approximately 1.3 million shares of United common stock to Peach State shareholders upon completion of the merger, which will result in current Peach State shareholders owning approximately 1% of United common stock. However, any increase or decrease in the number of outstanding shares of Peach State common stock that occurs for any reason before the completion of the merger will cause the actual number of shares of United common stock issued upon completion of the merger to change.</w:t>
      </w:r>
    </w:p>
    <w:p>
      <w:pPr>
        <w:spacing w:after="0" w:line="288" w:lineRule="exact"/>
        <w:rPr>
          <w:sz w:val="20"/>
          <w:szCs w:val="20"/>
          <w:color w:val="auto"/>
        </w:rPr>
      </w:pPr>
    </w:p>
    <w:p>
      <w:pPr>
        <w:ind w:right="639" w:firstLine="318"/>
        <w:spacing w:after="0" w:line="256" w:lineRule="auto"/>
        <w:rPr>
          <w:sz w:val="20"/>
          <w:szCs w:val="20"/>
          <w:color w:val="auto"/>
        </w:rPr>
      </w:pPr>
      <w:r>
        <w:rPr>
          <w:rFonts w:ascii="Times New Roman" w:cs="Times New Roman" w:eastAsia="Times New Roman" w:hAnsi="Times New Roman"/>
          <w:sz w:val="16"/>
          <w:szCs w:val="16"/>
          <w:color w:val="auto"/>
        </w:rPr>
        <w:t>The merger cannot be completed unless the merger agreement is adopted and approved by the affirmative vote of a majority of all the votes entitled to be cast thereon by the holders of outstanding shares of Peach State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191135</wp:posOffset>
            </wp:positionV>
            <wp:extent cx="599884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98845" cy="40640"/>
                    </a:xfrm>
                    <a:prstGeom prst="rect">
                      <a:avLst/>
                    </a:prstGeom>
                    <a:noFill/>
                  </pic:spPr>
                </pic:pic>
              </a:graphicData>
            </a:graphic>
          </wp:anchor>
        </w:drawing>
      </w:r>
    </w:p>
    <w:p>
      <w:pPr>
        <w:sectPr>
          <w:pgSz w:w="11900" w:h="16838" w:orient="portrait"/>
          <w:cols w:equalWidth="0" w:num="2">
            <w:col w:w="1360" w:space="20"/>
            <w:col w:w="7859"/>
          </w:cols>
          <w:pgMar w:left="1220" w:top="94" w:right="1440" w:bottom="1440" w:gutter="0" w:footer="0" w:header="0"/>
        </w:sectPr>
      </w:pPr>
    </w:p>
    <w:bookmarkStart w:id="2" w:name="page3"/>
    <w:bookmarkEnd w:id="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42" w:lineRule="exact"/>
        <w:rPr>
          <w:sz w:val="20"/>
          <w:szCs w:val="20"/>
          <w:color w:val="auto"/>
        </w:rPr>
      </w:pPr>
    </w:p>
    <w:p>
      <w:pPr>
        <w:ind w:left="1100" w:right="979" w:firstLine="318"/>
        <w:spacing w:after="0" w:line="251" w:lineRule="auto"/>
        <w:rPr>
          <w:sz w:val="20"/>
          <w:szCs w:val="20"/>
          <w:color w:val="auto"/>
        </w:rPr>
      </w:pPr>
      <w:r>
        <w:rPr>
          <w:rFonts w:ascii="Times New Roman" w:cs="Times New Roman" w:eastAsia="Times New Roman" w:hAnsi="Times New Roman"/>
          <w:sz w:val="16"/>
          <w:szCs w:val="16"/>
          <w:color w:val="auto"/>
        </w:rPr>
        <w:t>The merger agreement will be voted on at a special meeting of Peach State shareholders, which will be held on July 21, 2026 at 4:00 P.M., Eastern Time, at Peach State’s main office, located at 121 E.E. Butler Parkway, Gainesville, Georgia 30501. At the special meeting, holders of Peach State common stock as of the close of business on June 1, 2026, the record date for the special meeting, are entitled to notice of, and to vote at, the special meeting to adopt and approve the merger agreement as described in this proxy statement/​prospectus. Peach State shareholders as of the record date will also be asked to approve a proposal to adjourn the special meeting, if necessary or appropriate, to solicit additional proxies in favor of the proposal to adopt and approve the merger agreement, as described in this proxy statement/prospectus. The directors and executive officers of Peach State have entered into a voting and support agreement with United pursuant to which they have agreed to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adoption and approval of the merger agreement, subject to the terms of the voting and support agreement. Additional information regarding the voting agreements and the voting process for the Peach State special meeting is included in this proxy statement/prospectus.</w:t>
      </w:r>
    </w:p>
    <w:p>
      <w:pPr>
        <w:spacing w:after="0" w:line="286" w:lineRule="exact"/>
        <w:rPr>
          <w:sz w:val="20"/>
          <w:szCs w:val="20"/>
          <w:color w:val="auto"/>
        </w:rPr>
      </w:pPr>
    </w:p>
    <w:p>
      <w:pPr>
        <w:ind w:left="1100" w:right="939" w:firstLine="318"/>
        <w:spacing w:after="0" w:line="273" w:lineRule="auto"/>
        <w:rPr>
          <w:sz w:val="20"/>
          <w:szCs w:val="20"/>
          <w:color w:val="auto"/>
        </w:rPr>
      </w:pPr>
      <w:r>
        <w:rPr>
          <w:rFonts w:ascii="Times New Roman" w:cs="Times New Roman" w:eastAsia="Times New Roman" w:hAnsi="Times New Roman"/>
          <w:sz w:val="15"/>
          <w:szCs w:val="15"/>
          <w:b w:val="1"/>
          <w:bCs w:val="1"/>
          <w:color w:val="auto"/>
        </w:rPr>
        <w:t>Peach State’s board of directors has determined and declared that the merger agreement, the merger, and the transactions contemplated by the merger agreement are advisable and in the best interests of Peach State and its shareholders, has unanimously authorized, adopted and approved the merger agreement, the merger and the transactions contemplated by the merger agreement, and unanimously recommends that Peach State shareholders vote “FOR” the proposal to approve the merger agreement and “FOR” the proposal to adjourn the Peach State special meeting, if necessary or appropriate, to solicit additional proxies in favor of the proposal to adopt and approve the merger agreement.</w:t>
      </w:r>
    </w:p>
    <w:p>
      <w:pPr>
        <w:spacing w:after="0" w:line="94" w:lineRule="exact"/>
        <w:rPr>
          <w:sz w:val="20"/>
          <w:szCs w:val="20"/>
          <w:color w:val="auto"/>
        </w:rPr>
      </w:pPr>
    </w:p>
    <w:p>
      <w:pPr>
        <w:ind w:left="1100" w:right="939" w:firstLine="318"/>
        <w:spacing w:after="0" w:line="253" w:lineRule="auto"/>
        <w:rPr>
          <w:sz w:val="20"/>
          <w:szCs w:val="20"/>
          <w:color w:val="auto"/>
        </w:rPr>
      </w:pPr>
      <w:r>
        <w:rPr>
          <w:rFonts w:ascii="Times New Roman" w:cs="Times New Roman" w:eastAsia="Times New Roman" w:hAnsi="Times New Roman"/>
          <w:sz w:val="16"/>
          <w:szCs w:val="16"/>
          <w:color w:val="auto"/>
        </w:rPr>
        <w:t xml:space="preserve">This document, which serves as a proxy statement for the special meeting of Peach State shareholders and as a prospectus for the shares of United common stock to be issued in the merger to Peach State shareholders, describes the special meeting of Peach State shareholders, the merger, the documents related to the merger and other related matters. </w:t>
      </w:r>
      <w:r>
        <w:rPr>
          <w:rFonts w:ascii="Times New Roman" w:cs="Times New Roman" w:eastAsia="Times New Roman" w:hAnsi="Times New Roman"/>
          <w:sz w:val="16"/>
          <w:szCs w:val="16"/>
          <w:b w:val="1"/>
          <w:bCs w:val="1"/>
          <w:color w:val="auto"/>
        </w:rPr>
        <w:t>Please carefully read this entire proxy statement/prospectus, including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the “RISK FACTORS” section, beginning on page </w:t>
      </w:r>
      <w:r>
        <w:rPr>
          <w:rFonts w:ascii="Times New Roman" w:cs="Times New Roman" w:eastAsia="Times New Roman" w:hAnsi="Times New Roman"/>
          <w:sz w:val="16"/>
          <w:szCs w:val="16"/>
          <w:b w:val="1"/>
          <w:bCs w:val="1"/>
          <w:u w:val="single" w:color="auto"/>
          <w:color w:val="0000EE"/>
        </w:rPr>
        <w:t>20</w:t>
      </w:r>
      <w:r>
        <w:rPr>
          <w:rFonts w:ascii="Times New Roman" w:cs="Times New Roman" w:eastAsia="Times New Roman" w:hAnsi="Times New Roman"/>
          <w:sz w:val="16"/>
          <w:szCs w:val="16"/>
          <w:b w:val="1"/>
          <w:bCs w:val="1"/>
          <w:color w:val="auto"/>
        </w:rPr>
        <w:t xml:space="preserve">, for a discussion of the risks relating to the proposed merger. </w:t>
      </w:r>
      <w:r>
        <w:rPr>
          <w:rFonts w:ascii="Times New Roman" w:cs="Times New Roman" w:eastAsia="Times New Roman" w:hAnsi="Times New Roman"/>
          <w:sz w:val="16"/>
          <w:szCs w:val="16"/>
          <w:color w:val="auto"/>
        </w:rPr>
        <w:t>You can also obtain information about United from documents that United has filed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Securities and Exchange Commission.</w:t>
      </w:r>
    </w:p>
    <w:p>
      <w:pPr>
        <w:spacing w:after="0" w:line="108" w:lineRule="exact"/>
        <w:rPr>
          <w:sz w:val="20"/>
          <w:szCs w:val="20"/>
          <w:color w:val="auto"/>
        </w:rPr>
      </w:pPr>
    </w:p>
    <w:p>
      <w:pPr>
        <w:ind w:left="1100" w:right="999" w:firstLine="318"/>
        <w:spacing w:after="0" w:line="263" w:lineRule="auto"/>
        <w:rPr>
          <w:sz w:val="20"/>
          <w:szCs w:val="20"/>
          <w:color w:val="auto"/>
        </w:rPr>
      </w:pPr>
      <w:r>
        <w:rPr>
          <w:rFonts w:ascii="Times New Roman" w:cs="Times New Roman" w:eastAsia="Times New Roman" w:hAnsi="Times New Roman"/>
          <w:sz w:val="16"/>
          <w:szCs w:val="16"/>
          <w:color w:val="auto"/>
        </w:rPr>
        <w:t>If you have any questions concerning the merger, you should contact Charles Blair, Executive Vice President and Chief Financial Officer of Peach State, 121 E.E. Butler Parkway, Gainesville, Georgia 30501 at (770) 531-2771.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87630</wp:posOffset>
            </wp:positionV>
            <wp:extent cx="1384300" cy="295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4300" cy="29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Stewart L. Teaver</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Chairman</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Peach State Bancshares, Inc.</w:t>
      </w:r>
    </w:p>
    <w:p>
      <w:pPr>
        <w:spacing w:after="0" w:line="119" w:lineRule="exact"/>
        <w:rPr>
          <w:sz w:val="20"/>
          <w:szCs w:val="20"/>
          <w:color w:val="auto"/>
        </w:rPr>
      </w:pPr>
    </w:p>
    <w:p>
      <w:pPr>
        <w:ind w:left="1100" w:right="1039" w:firstLine="318"/>
        <w:spacing w:after="0" w:line="265"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 securities to be issued in the merger or passed upon the adequacy or accuracy of this proxy statement/prospectus. Any representation to the contrary is a criminal offense.</w:t>
      </w:r>
    </w:p>
    <w:p>
      <w:pPr>
        <w:spacing w:after="0" w:line="93" w:lineRule="exact"/>
        <w:rPr>
          <w:sz w:val="20"/>
          <w:szCs w:val="20"/>
          <w:color w:val="auto"/>
        </w:rPr>
      </w:pPr>
    </w:p>
    <w:p>
      <w:pPr>
        <w:ind w:left="1100" w:right="1079" w:firstLine="318"/>
        <w:spacing w:after="0" w:line="265" w:lineRule="auto"/>
        <w:rPr>
          <w:sz w:val="20"/>
          <w:szCs w:val="20"/>
          <w:color w:val="auto"/>
        </w:rPr>
      </w:pPr>
      <w:r>
        <w:rPr>
          <w:rFonts w:ascii="Times New Roman" w:cs="Times New Roman" w:eastAsia="Times New Roman" w:hAnsi="Times New Roman"/>
          <w:sz w:val="16"/>
          <w:szCs w:val="16"/>
          <w:b w:val="1"/>
          <w:bCs w:val="1"/>
          <w:color w:val="auto"/>
        </w:rPr>
        <w:t>The securities to be issued in the merger are not savings or deposit accounts or other obligations of any bank or non-bank subsidiary of either United or Peach State, and they are not insured by the Federal Deposit Insurance Corporation or any other governmental agency.</w:t>
      </w:r>
    </w:p>
    <w:p>
      <w:pPr>
        <w:spacing w:after="0" w:line="83" w:lineRule="exact"/>
        <w:rPr>
          <w:sz w:val="20"/>
          <w:szCs w:val="20"/>
          <w:color w:val="auto"/>
        </w:rPr>
      </w:pPr>
    </w:p>
    <w:p>
      <w:pPr>
        <w:ind w:left="1100" w:right="1299" w:firstLine="318"/>
        <w:spacing w:after="0" w:line="279" w:lineRule="auto"/>
        <w:rPr>
          <w:sz w:val="20"/>
          <w:szCs w:val="20"/>
          <w:color w:val="auto"/>
        </w:rPr>
      </w:pPr>
      <w:r>
        <w:rPr>
          <w:rFonts w:ascii="Times New Roman" w:cs="Times New Roman" w:eastAsia="Times New Roman" w:hAnsi="Times New Roman"/>
          <w:sz w:val="16"/>
          <w:szCs w:val="16"/>
          <w:color w:val="auto"/>
        </w:rPr>
        <w:t>The date of this proxy statement/prospectus is [                     ], 2026, and it is first being mailed or otherwise delivered to Peach State shareholders on or about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1170940</wp:posOffset>
            </wp:positionV>
            <wp:extent cx="602424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3" w:name="page4"/>
    <w:bookmarkEnd w:id="3"/>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1289685</wp:posOffset>
            </wp:positionV>
            <wp:extent cx="10890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7620"/>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450215</wp:posOffset>
            </wp:positionV>
            <wp:extent cx="582295" cy="612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295" cy="61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NOTICE OF SPECIAL MEETING OF SHAREHOLDERS</w:t>
      </w:r>
    </w:p>
    <w:p>
      <w:pPr>
        <w:spacing w:after="0" w:line="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TO BE HELD ON JULY 21, 2026</w:t>
      </w:r>
    </w:p>
    <w:p>
      <w:pPr>
        <w:spacing w:after="0" w:line="13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To the Shareholders of Peach State Bancshares, Inc.:</w:t>
      </w:r>
    </w:p>
    <w:p>
      <w:pPr>
        <w:spacing w:after="0" w:line="138" w:lineRule="exact"/>
        <w:rPr>
          <w:sz w:val="20"/>
          <w:szCs w:val="20"/>
          <w:color w:val="auto"/>
        </w:rPr>
      </w:pPr>
    </w:p>
    <w:p>
      <w:pPr>
        <w:ind w:left="1100" w:right="1019" w:firstLine="318"/>
        <w:spacing w:after="0" w:line="271" w:lineRule="auto"/>
        <w:rPr>
          <w:sz w:val="20"/>
          <w:szCs w:val="20"/>
          <w:color w:val="auto"/>
        </w:rPr>
      </w:pPr>
      <w:r>
        <w:rPr>
          <w:rFonts w:ascii="Times New Roman" w:cs="Times New Roman" w:eastAsia="Times New Roman" w:hAnsi="Times New Roman"/>
          <w:sz w:val="16"/>
          <w:szCs w:val="16"/>
          <w:color w:val="auto"/>
        </w:rPr>
        <w:t>Notice is hereby given that Peach State Bancshares, Inc., which we refer to as Peach State, will hold a special meeting of its shareholders at 4:00 P.M., Eastern Time, on July 21, 2026, at Peach State’s main office, located at 121 E.E. Butler Parkway, Gainesville, Georgia 30501, for the following purposes:</w:t>
      </w:r>
    </w:p>
    <w:p>
      <w:pPr>
        <w:spacing w:after="0" w:line="115" w:lineRule="exact"/>
        <w:rPr>
          <w:sz w:val="20"/>
          <w:szCs w:val="20"/>
          <w:color w:val="auto"/>
        </w:rPr>
      </w:pPr>
    </w:p>
    <w:p>
      <w:pPr>
        <w:ind w:left="1740" w:right="1079" w:hanging="320"/>
        <w:spacing w:after="0" w:line="258" w:lineRule="auto"/>
        <w:tabs>
          <w:tab w:leader="none" w:pos="1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consider and vote upon a proposal to adopt and approve the Agreement and Plan of Merger, dated as of April 20, 2026, by and between United Community Banks, Inc., which we refer to as United, and Peach State, pursuant to which Peach State will merge with and into United, with United continuing as the surviving corporation, which we refer to as the merger proposal; and</w:t>
      </w:r>
    </w:p>
    <w:p>
      <w:pPr>
        <w:spacing w:after="0" w:line="126" w:lineRule="exact"/>
        <w:rPr>
          <w:rFonts w:ascii="Times New Roman" w:cs="Times New Roman" w:eastAsia="Times New Roman" w:hAnsi="Times New Roman"/>
          <w:sz w:val="16"/>
          <w:szCs w:val="16"/>
          <w:color w:val="auto"/>
        </w:rPr>
      </w:pPr>
    </w:p>
    <w:p>
      <w:pPr>
        <w:ind w:left="1740" w:right="1179" w:hanging="320"/>
        <w:spacing w:after="0" w:line="263" w:lineRule="auto"/>
        <w:tabs>
          <w:tab w:leader="none" w:pos="1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consider and vote upon a proposal of the Peach State board of directors to adjourn the Peach State special meeting, if necessary or appropriate, to solicit additional proxies in favor of the merger proposal, which we refer to as the adjournment proposal.</w:t>
      </w:r>
    </w:p>
    <w:p>
      <w:pPr>
        <w:spacing w:after="0" w:line="8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No other business will be conducted at the special meeting.</w:t>
      </w:r>
    </w:p>
    <w:p>
      <w:pPr>
        <w:spacing w:after="0" w:line="138" w:lineRule="exact"/>
        <w:rPr>
          <w:sz w:val="20"/>
          <w:szCs w:val="20"/>
          <w:color w:val="auto"/>
        </w:rPr>
      </w:pPr>
    </w:p>
    <w:p>
      <w:pPr>
        <w:ind w:left="1100" w:right="999" w:firstLine="318"/>
        <w:spacing w:after="0" w:line="261" w:lineRule="auto"/>
        <w:rPr>
          <w:sz w:val="20"/>
          <w:szCs w:val="20"/>
          <w:color w:val="auto"/>
        </w:rPr>
      </w:pPr>
      <w:r>
        <w:rPr>
          <w:rFonts w:ascii="Times New Roman" w:cs="Times New Roman" w:eastAsia="Times New Roman" w:hAnsi="Times New Roman"/>
          <w:sz w:val="16"/>
          <w:szCs w:val="16"/>
          <w:color w:val="auto"/>
        </w:rPr>
        <w:t>Our board of directors has fixed the close of business on June 1, 2026 as the record date for the Peach State special meeting. Only holders of record of Peach State common stock as of the close of business on the record date are entitled to notice of, and to vote at, the Peach State special meeting, or any adjournment or postponement thereof. Approval of the merger proposal requires the affirmative vote of the holders of a majority of the outstanding shares of Peach State common stock entitled to vote thereon. The special meeting may be adjourned from time to time upon approval of the holders of Peach State common stock, without notice other than by announcement at the meeting of the adjournment thereof, and any and all business for which notice is hereby given may be transacted at such adjourned meeting. The directors and executive officers of Peach State have entered into a voting and support agreement with United pursuant to which they have agreed to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adoption and approval of the merger agreement, subject to the terms of the voting and support agreement.</w:t>
      </w:r>
    </w:p>
    <w:p>
      <w:pPr>
        <w:spacing w:after="0" w:line="110" w:lineRule="exact"/>
        <w:rPr>
          <w:sz w:val="20"/>
          <w:szCs w:val="20"/>
          <w:color w:val="auto"/>
        </w:rPr>
      </w:pPr>
    </w:p>
    <w:p>
      <w:pPr>
        <w:ind w:left="1100" w:right="1019" w:firstLine="318"/>
        <w:spacing w:after="0" w:line="264" w:lineRule="auto"/>
        <w:rPr>
          <w:sz w:val="20"/>
          <w:szCs w:val="20"/>
          <w:color w:val="auto"/>
        </w:rPr>
      </w:pPr>
      <w:r>
        <w:rPr>
          <w:rFonts w:ascii="Times New Roman" w:cs="Times New Roman" w:eastAsia="Times New Roman" w:hAnsi="Times New Roman"/>
          <w:sz w:val="16"/>
          <w:szCs w:val="16"/>
          <w:color w:val="auto"/>
        </w:rPr>
        <w:t xml:space="preserve">Peach State shareholders have appraisal rights under Georgia law entitling them to obtain payment in cash for the fair value of their shares of Peach State common stock, provided they comply with each of the requirements under Georgia law, including not voting in favor of the merger proposal and providing timely notice to Peach State. For more information regarding dissenters’ rights, please see “Summary —  Dissenters’ Rights in the Merger” beginning on page </w:t>
      </w:r>
      <w:r>
        <w:rPr>
          <w:rFonts w:ascii="Times New Roman" w:cs="Times New Roman" w:eastAsia="Times New Roman" w:hAnsi="Times New Roman"/>
          <w:sz w:val="16"/>
          <w:szCs w:val="16"/>
          <w:u w:val="single" w:color="auto"/>
          <w:color w:val="0000EE"/>
        </w:rPr>
        <w:t>12</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1100" w:right="1059" w:firstLine="318"/>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Your vote is very important. </w:t>
      </w:r>
      <w:r>
        <w:rPr>
          <w:rFonts w:ascii="Times New Roman" w:cs="Times New Roman" w:eastAsia="Times New Roman" w:hAnsi="Times New Roman"/>
          <w:sz w:val="16"/>
          <w:szCs w:val="16"/>
          <w:color w:val="auto"/>
        </w:rPr>
        <w:t>We cannot complete the merger unless Peach State shareholders approve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proposal.</w:t>
      </w:r>
    </w:p>
    <w:p>
      <w:pPr>
        <w:spacing w:after="0" w:line="93" w:lineRule="exact"/>
        <w:rPr>
          <w:sz w:val="20"/>
          <w:szCs w:val="20"/>
          <w:color w:val="auto"/>
        </w:rPr>
      </w:pPr>
    </w:p>
    <w:p>
      <w:pPr>
        <w:ind w:left="1100" w:right="1059" w:firstLine="318"/>
        <w:spacing w:after="0" w:line="264" w:lineRule="auto"/>
        <w:rPr>
          <w:sz w:val="20"/>
          <w:szCs w:val="20"/>
          <w:color w:val="auto"/>
        </w:rPr>
      </w:pPr>
      <w:r>
        <w:rPr>
          <w:rFonts w:ascii="Times New Roman" w:cs="Times New Roman" w:eastAsia="Times New Roman" w:hAnsi="Times New Roman"/>
          <w:sz w:val="16"/>
          <w:szCs w:val="16"/>
          <w:b w:val="1"/>
          <w:bCs w:val="1"/>
          <w:color w:val="auto"/>
        </w:rPr>
        <w:t>Whether or not you plan to attend the special meeting in person or by proxy, we urge you to vote now to make sure there will be a quorum for the special meeting. Please vote as soon as possible. If you hold shares in your name as a shareholder of record, please complete, sign, date and return the accompanying proxy card in the enclosed postage-paid return envelope as described on the proxy card. The giving of an appointment of proxy will not affect your right to revoke it or attend the special meeting and vote in person. If you hold your shares in “street name” through a bank, broker or other nominee, please follow the instructions on the voting instruction card furnished by the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514350</wp:posOffset>
            </wp:positionV>
            <wp:extent cx="602424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4" w:name="page5"/>
    <w:bookmarkEnd w:id="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39" w:firstLine="318"/>
        <w:spacing w:after="0" w:line="253" w:lineRule="auto"/>
        <w:rPr>
          <w:sz w:val="20"/>
          <w:szCs w:val="20"/>
          <w:color w:val="auto"/>
        </w:rPr>
      </w:pPr>
      <w:r>
        <w:rPr>
          <w:rFonts w:ascii="Times New Roman" w:cs="Times New Roman" w:eastAsia="Times New Roman" w:hAnsi="Times New Roman"/>
          <w:sz w:val="16"/>
          <w:szCs w:val="16"/>
          <w:color w:val="auto"/>
        </w:rPr>
        <w:t>The enclosed proxy statement/prospectus provides a detailed description of the special meeting, the merger, the documents related to the merger (including the merger agreement) and other related matters. We urge you to read the proxy statement/prospectus, including any documents incorporated in the proxy statement/prospectus by reference, and its annexes and exhibits carefully and in their entirety. If you have any questions concerning the merger or the proxy statement/prospectus, would like additional copies of the proxy statement/prospectus, or need help voting your shares of Peach State common stock, please contact Charles Blair, Executive Vice President and Chief Financial Officer of Peach State, 121 E.E. Butler Parkway, Gainesville, Georgia 30501, at (770) 531-2771.</w:t>
      </w:r>
    </w:p>
    <w:p>
      <w:pPr>
        <w:spacing w:after="0" w:line="102" w:lineRule="exact"/>
        <w:rPr>
          <w:sz w:val="20"/>
          <w:szCs w:val="20"/>
          <w:color w:val="auto"/>
        </w:rPr>
      </w:pPr>
    </w:p>
    <w:p>
      <w:pPr>
        <w:ind w:left="1100" w:right="959" w:firstLine="318"/>
        <w:spacing w:after="0" w:line="254" w:lineRule="auto"/>
        <w:rPr>
          <w:sz w:val="20"/>
          <w:szCs w:val="20"/>
          <w:color w:val="auto"/>
        </w:rPr>
      </w:pPr>
      <w:r>
        <w:rPr>
          <w:rFonts w:ascii="Times New Roman" w:cs="Times New Roman" w:eastAsia="Times New Roman" w:hAnsi="Times New Roman"/>
          <w:sz w:val="16"/>
          <w:szCs w:val="16"/>
          <w:b w:val="1"/>
          <w:bCs w:val="1"/>
          <w:color w:val="auto"/>
        </w:rPr>
        <w:t>Peach State’s board of directors has determined and declared that the merger agreement, the merger and the transactions contemplated by the merger agreement are advisable and in the best interests of Peach State and its shareholders, has unanimously authorized, adopted and approved the merger agreement, the merger and the transactions contemplated by the merger agreement, and unanimously recommends that Peach State shareholders vote “FOR” the proposal to adopt and approve the merger agreement and “FOR” the proposal to adjourn the Peach State special meeting, if necessary or appropriate, to solicit additional proxies in favor of the merger proposal.</w:t>
      </w:r>
    </w:p>
    <w:p>
      <w:pPr>
        <w:spacing w:after="0" w:line="10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Stewart Teaver</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Chairman</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Peach State Bancshares, Inc.</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Gainesville, Georgia</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4476750</wp:posOffset>
            </wp:positionV>
            <wp:extent cx="602424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5" w:name="page6"/>
    <w:bookmarkEnd w:id="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REFERENCES TO ADDITIONAL INFORMATION</w:t>
      </w:r>
    </w:p>
    <w:p>
      <w:pPr>
        <w:spacing w:after="0" w:line="140" w:lineRule="exact"/>
        <w:rPr>
          <w:sz w:val="20"/>
          <w:szCs w:val="20"/>
          <w:color w:val="auto"/>
        </w:rPr>
      </w:pPr>
    </w:p>
    <w:p>
      <w:pPr>
        <w:ind w:left="1100" w:right="979" w:firstLine="318"/>
        <w:spacing w:after="0" w:line="254" w:lineRule="auto"/>
        <w:rPr>
          <w:sz w:val="20"/>
          <w:szCs w:val="20"/>
          <w:color w:val="auto"/>
        </w:rPr>
      </w:pPr>
      <w:r>
        <w:rPr>
          <w:rFonts w:ascii="Times New Roman" w:cs="Times New Roman" w:eastAsia="Times New Roman" w:hAnsi="Times New Roman"/>
          <w:sz w:val="16"/>
          <w:szCs w:val="16"/>
          <w:color w:val="auto"/>
        </w:rPr>
        <w:t>This proxy statement/prospectus incorporates important business and financial information about United from documents filed with the U.S. Securities and Exchange Commission, which we refer to as the SEC, that are not included in or delivered with this proxy statement/prospectus. You can obtain any of the documents filed with or furnished to the SEC by United at no cost from the SEC’s website at http://www.sec.gov. You may also request copies of these documents, including documents incorporated by reference in this proxy statement/prospectus, at no cost by contacting United at the following address:</w:t>
      </w:r>
    </w:p>
    <w:p>
      <w:pPr>
        <w:spacing w:after="0" w:line="10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2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color w:val="auto"/>
        </w:rPr>
        <w:t>200 East Camperdown Way</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color w:val="auto"/>
        </w:rPr>
        <w:t>Greenville, South Carolina 29601</w:t>
      </w:r>
    </w:p>
    <w:p>
      <w:pPr>
        <w:spacing w:after="0" w:line="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color w:val="auto"/>
        </w:rPr>
        <w:t>Attention: Jefferson Harralson</w:t>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color w:val="auto"/>
        </w:rPr>
        <w:t>Telephone: (864) 240-6208</w:t>
      </w:r>
    </w:p>
    <w:p>
      <w:pPr>
        <w:spacing w:after="0" w:line="107" w:lineRule="exact"/>
        <w:rPr>
          <w:sz w:val="20"/>
          <w:szCs w:val="20"/>
          <w:color w:val="auto"/>
        </w:rPr>
      </w:pPr>
    </w:p>
    <w:p>
      <w:pPr>
        <w:ind w:left="1100" w:right="1039" w:firstLine="318"/>
        <w:spacing w:after="0" w:line="259" w:lineRule="auto"/>
        <w:rPr>
          <w:sz w:val="20"/>
          <w:szCs w:val="20"/>
          <w:color w:val="auto"/>
        </w:rPr>
      </w:pPr>
      <w:r>
        <w:rPr>
          <w:rFonts w:ascii="Times New Roman" w:cs="Times New Roman" w:eastAsia="Times New Roman" w:hAnsi="Times New Roman"/>
          <w:sz w:val="16"/>
          <w:szCs w:val="16"/>
          <w:b w:val="1"/>
          <w:bCs w:val="1"/>
          <w:color w:val="auto"/>
        </w:rPr>
        <w:t>You will not be charged for any of these documents that you request. To obtain timely delivery of these documents, Peach State shareholders must request them no later than five business days before the date of the Peach State special meeting. This means that Peach State shareholders requesting documents must do so by July 14, 2026.</w:t>
      </w:r>
    </w:p>
    <w:p>
      <w:pPr>
        <w:spacing w:after="0" w:line="101" w:lineRule="exact"/>
        <w:rPr>
          <w:sz w:val="20"/>
          <w:szCs w:val="20"/>
          <w:color w:val="auto"/>
        </w:rPr>
      </w:pPr>
    </w:p>
    <w:p>
      <w:pPr>
        <w:ind w:left="1100" w:right="919" w:firstLine="318"/>
        <w:spacing w:after="0" w:line="252" w:lineRule="auto"/>
        <w:rPr>
          <w:sz w:val="20"/>
          <w:szCs w:val="20"/>
          <w:color w:val="auto"/>
        </w:rPr>
      </w:pPr>
      <w:r>
        <w:rPr>
          <w:rFonts w:ascii="Times New Roman" w:cs="Times New Roman" w:eastAsia="Times New Roman" w:hAnsi="Times New Roman"/>
          <w:sz w:val="16"/>
          <w:szCs w:val="16"/>
          <w:color w:val="auto"/>
        </w:rPr>
        <w:t>You should rely only on the information contained in, or incorporated by reference into, this proxy statement/prospectus. No one has been authorized to provide you with information that is different from that contained in, or incorporated by reference into, this proxy statement/prospectus. This proxy statement/​ prospectus is dated [                     ], 2026, and you should assume that the information in this proxy statement/​prospectus is accurate only as of such date. You should assume that the information incorporated by reference to another document into this proxy statement/prospectus is accurate as of the date of such document. Neither the mailing of this proxy statement/prospectus to Peach State shareholders, nor the issuance by United of shares of United common stock in connection with the merger, will create any implication to the contrary.</w:t>
      </w:r>
    </w:p>
    <w:p>
      <w:pPr>
        <w:spacing w:after="0" w:line="299" w:lineRule="exact"/>
        <w:rPr>
          <w:sz w:val="20"/>
          <w:szCs w:val="20"/>
          <w:color w:val="auto"/>
        </w:rPr>
      </w:pPr>
    </w:p>
    <w:p>
      <w:pPr>
        <w:ind w:left="1100" w:right="919" w:firstLine="318"/>
        <w:spacing w:after="0" w:line="278" w:lineRule="auto"/>
        <w:rPr>
          <w:sz w:val="20"/>
          <w:szCs w:val="20"/>
          <w:color w:val="auto"/>
        </w:rPr>
      </w:pPr>
      <w:r>
        <w:rPr>
          <w:rFonts w:ascii="Times New Roman" w:cs="Times New Roman" w:eastAsia="Times New Roman" w:hAnsi="Times New Roman"/>
          <w:sz w:val="15"/>
          <w:szCs w:val="15"/>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Except where the context otherwise indicates, information contained in this proxy statement/prospectus regarding United has been provided by United and information contained in this proxy statement/prospectus regarding Peach State has been provided by Peach State.</w:t>
      </w:r>
    </w:p>
    <w:p>
      <w:pPr>
        <w:spacing w:after="0" w:line="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See “Where You Can Find More Information”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2959735</wp:posOffset>
            </wp:positionV>
            <wp:extent cx="602424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6" w:name="page7"/>
    <w:bookmarkEnd w:id="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48" w:lineRule="exact"/>
        <w:rPr>
          <w:sz w:val="20"/>
          <w:szCs w:val="20"/>
          <w:color w:val="auto"/>
        </w:rPr>
      </w:pPr>
    </w:p>
    <w:tbl>
      <w:tblPr>
        <w:tblLayout w:type="fixed"/>
        <w:tblInd w:w="1100" w:type="dxa"/>
        <w:tblCellMar>
          <w:top w:w="0" w:type="dxa"/>
          <w:left w:w="0" w:type="dxa"/>
          <w:bottom w:w="0" w:type="dxa"/>
          <w:right w:w="0" w:type="dxa"/>
        </w:tblCellMar>
      </w:tblPr>
      <w:tr>
        <w:trPr>
          <w:trHeight w:val="335"/>
        </w:trPr>
        <w:tc>
          <w:tcPr>
            <w:tcW w:w="6520" w:type="dxa"/>
            <w:vAlign w:val="bottom"/>
            <w:gridSpan w:val="31"/>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Page</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6520" w:type="dxa"/>
            <w:vAlign w:val="bottom"/>
            <w:gridSpan w:val="31"/>
            <w:vMerge w:val="restart"/>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600" w:type="dxa"/>
            <w:vAlign w:val="bottom"/>
            <w:tcBorders>
              <w:right w:val="single" w:sz="8" w:color="auto"/>
            </w:tcBorders>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20" w:type="dxa"/>
            <w:vAlign w:val="bottom"/>
            <w:gridSpan w:val="31"/>
            <w:vMerge w:val="continue"/>
          </w:tcPr>
          <w:p>
            <w:pPr>
              <w:spacing w:after="0"/>
              <w:rPr>
                <w:sz w:val="17"/>
                <w:szCs w:val="17"/>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0000EE"/>
              </w:rPr>
              <w:t>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6"/>
                <w:szCs w:val="16"/>
                <w:b w:val="1"/>
                <w:bCs w:val="1"/>
                <w:color w:val="0000EE"/>
                <w:w w:val="95"/>
              </w:rPr>
              <w:t>QUESTIONS AND ANSWERS ABOUT THE MERGER</w:t>
            </w:r>
          </w:p>
        </w:tc>
        <w:tc>
          <w:tcPr>
            <w:tcW w:w="2760" w:type="dxa"/>
            <w:vAlign w:val="bottom"/>
            <w:gridSpan w:val="11"/>
          </w:tcPr>
          <w:p>
            <w:pPr>
              <w:spacing w:after="0"/>
              <w:rPr>
                <w:sz w:val="17"/>
                <w:szCs w:val="17"/>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6"/>
                <w:szCs w:val="16"/>
                <w:color w:val="0000EE"/>
                <w:w w:val="74"/>
              </w:rPr>
              <w:t>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520" w:type="dxa"/>
            <w:vAlign w:val="bottom"/>
            <w:gridSpan w:val="31"/>
          </w:tcPr>
          <w:p>
            <w:pPr>
              <w:spacing w:after="0"/>
              <w:rPr>
                <w:sz w:val="20"/>
                <w:szCs w:val="20"/>
                <w:color w:val="auto"/>
              </w:rPr>
            </w:pPr>
            <w:r>
              <w:rPr>
                <w:rFonts w:ascii="Times New Roman" w:cs="Times New Roman" w:eastAsia="Times New Roman" w:hAnsi="Times New Roman"/>
                <w:sz w:val="16"/>
                <w:szCs w:val="16"/>
                <w:b w:val="1"/>
                <w:bCs w:val="1"/>
                <w:color w:val="0000EE"/>
              </w:rPr>
              <w:t>SUMMARY</w:t>
            </w: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0000EE"/>
                <w:w w:val="74"/>
              </w:rPr>
              <w:t>9</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63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EE"/>
              </w:rPr>
              <w:t>The Merger</w:t>
            </w: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0000EE"/>
                <w:w w:val="74"/>
              </w:rPr>
              <w:t>9</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610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0000EE"/>
                <w:w w:val="94"/>
              </w:rPr>
              <w:t>Peach State’s Reasons for the Merger; Recommendation of the Peach State Board of Directors</w:t>
            </w:r>
          </w:p>
        </w:tc>
        <w:tc>
          <w:tcPr>
            <w:tcW w:w="260" w:type="dxa"/>
            <w:vAlign w:val="bottom"/>
          </w:tcPr>
          <w:p>
            <w:pPr>
              <w:spacing w:after="0"/>
              <w:rPr>
                <w:sz w:val="17"/>
                <w:szCs w:val="17"/>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610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0000EE"/>
              </w:rPr>
              <w:t>Opinion of Peach State’s Financial Advisor</w:t>
            </w:r>
          </w:p>
        </w:tc>
        <w:tc>
          <w:tcPr>
            <w:tcW w:w="260" w:type="dxa"/>
            <w:vAlign w:val="bottom"/>
          </w:tcPr>
          <w:p>
            <w:pPr>
              <w:spacing w:after="0"/>
              <w:rPr>
                <w:sz w:val="17"/>
                <w:szCs w:val="17"/>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63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EE"/>
              </w:rPr>
              <w:t>Peach State Will Hold Its Special Meeting on July 21, 2026</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0000EE"/>
              </w:rPr>
              <w:t>11</w:t>
            </w:r>
            <w:r>
              <w:rPr>
                <w:rFonts w:ascii="Times New Roman" w:cs="Times New Roman" w:eastAsia="Times New Roman" w:hAnsi="Times New Roman"/>
                <w:sz w:val="16"/>
                <w:szCs w:val="16"/>
                <w:b w:val="1"/>
                <w:bCs w:val="1"/>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63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EE"/>
              </w:rPr>
              <w:t>Material U.S. Federal Income Tax Consequences of the Merger</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11</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4340" w:type="dxa"/>
            <w:vAlign w:val="bottom"/>
            <w:gridSpan w:val="23"/>
          </w:tcPr>
          <w:p>
            <w:pPr>
              <w:spacing w:after="0"/>
              <w:rPr>
                <w:sz w:val="20"/>
                <w:szCs w:val="20"/>
                <w:color w:val="auto"/>
              </w:rPr>
            </w:pPr>
            <w:r>
              <w:rPr>
                <w:rFonts w:ascii="Times New Roman" w:cs="Times New Roman" w:eastAsia="Times New Roman" w:hAnsi="Times New Roman"/>
                <w:sz w:val="16"/>
                <w:szCs w:val="16"/>
                <w:b w:val="1"/>
                <w:bCs w:val="1"/>
                <w:color w:val="0000EE"/>
                <w:w w:val="94"/>
              </w:rPr>
              <w:t>Interests of Peach’s Directors and Executive Officers in the Merger</w:t>
            </w:r>
          </w:p>
        </w:tc>
        <w:tc>
          <w:tcPr>
            <w:tcW w:w="2020" w:type="dxa"/>
            <w:vAlign w:val="bottom"/>
            <w:gridSpan w:val="7"/>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12</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4340" w:type="dxa"/>
            <w:vAlign w:val="bottom"/>
            <w:gridSpan w:val="23"/>
          </w:tcPr>
          <w:p>
            <w:pPr>
              <w:spacing w:after="0"/>
              <w:rPr>
                <w:sz w:val="20"/>
                <w:szCs w:val="20"/>
                <w:color w:val="auto"/>
              </w:rPr>
            </w:pPr>
            <w:r>
              <w:rPr>
                <w:rFonts w:ascii="Times New Roman" w:cs="Times New Roman" w:eastAsia="Times New Roman" w:hAnsi="Times New Roman"/>
                <w:sz w:val="16"/>
                <w:szCs w:val="16"/>
                <w:b w:val="1"/>
                <w:bCs w:val="1"/>
                <w:color w:val="0000EE"/>
              </w:rPr>
              <w:t>Dissenters’ Rights in the Merger</w:t>
            </w:r>
          </w:p>
        </w:tc>
        <w:tc>
          <w:tcPr>
            <w:tcW w:w="2020" w:type="dxa"/>
            <w:vAlign w:val="bottom"/>
            <w:gridSpan w:val="7"/>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12</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3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EE"/>
              </w:rPr>
              <w:t>Regulatory Approvals Required for the Merger</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13</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308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0000EE"/>
              </w:rPr>
              <w:t>Conditions to Complete the Merger</w:t>
            </w:r>
          </w:p>
        </w:tc>
        <w:tc>
          <w:tcPr>
            <w:tcW w:w="3280" w:type="dxa"/>
            <w:vAlign w:val="bottom"/>
            <w:gridSpan w:val="13"/>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13</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250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0000EE"/>
                <w:w w:val="93"/>
              </w:rPr>
              <w:t>Termination of the Merger Agreement</w:t>
            </w:r>
          </w:p>
        </w:tc>
        <w:tc>
          <w:tcPr>
            <w:tcW w:w="3860" w:type="dxa"/>
            <w:vAlign w:val="bottom"/>
            <w:gridSpan w:val="16"/>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14</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EE"/>
                <w:w w:val="92"/>
              </w:rPr>
              <w:t>Termination Fee</w:t>
            </w:r>
          </w:p>
        </w:tc>
        <w:tc>
          <w:tcPr>
            <w:tcW w:w="1420" w:type="dxa"/>
            <w:vAlign w:val="bottom"/>
            <w:gridSpan w:val="9"/>
          </w:tcPr>
          <w:p>
            <w:pPr>
              <w:spacing w:after="0"/>
              <w:rPr>
                <w:sz w:val="18"/>
                <w:szCs w:val="18"/>
                <w:color w:val="auto"/>
              </w:rPr>
            </w:pPr>
          </w:p>
        </w:tc>
        <w:tc>
          <w:tcPr>
            <w:tcW w:w="3860" w:type="dxa"/>
            <w:vAlign w:val="bottom"/>
            <w:gridSpan w:val="16"/>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14</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3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EE"/>
              </w:rPr>
              <w:t>The Rights of Peach State Shareholders Will Change as a Result of the Merger</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14</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5080" w:type="dxa"/>
            <w:vAlign w:val="bottom"/>
            <w:gridSpan w:val="26"/>
          </w:tcPr>
          <w:p>
            <w:pPr>
              <w:spacing w:after="0"/>
              <w:rPr>
                <w:sz w:val="20"/>
                <w:szCs w:val="20"/>
                <w:color w:val="auto"/>
              </w:rPr>
            </w:pPr>
            <w:r>
              <w:rPr>
                <w:rFonts w:ascii="Times New Roman" w:cs="Times New Roman" w:eastAsia="Times New Roman" w:hAnsi="Times New Roman"/>
                <w:sz w:val="16"/>
                <w:szCs w:val="16"/>
                <w:b w:val="1"/>
                <w:bCs w:val="1"/>
                <w:color w:val="0000EE"/>
              </w:rPr>
              <w:t>Information About the Companies</w:t>
            </w:r>
          </w:p>
        </w:tc>
        <w:tc>
          <w:tcPr>
            <w:tcW w:w="1280" w:type="dxa"/>
            <w:vAlign w:val="bottom"/>
            <w:gridSpan w:val="4"/>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14</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224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0000EE"/>
              </w:rPr>
              <w:t>Risk Factors</w:t>
            </w:r>
          </w:p>
        </w:tc>
        <w:tc>
          <w:tcPr>
            <w:tcW w:w="4120" w:type="dxa"/>
            <w:vAlign w:val="bottom"/>
            <w:gridSpan w:val="19"/>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15</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20" w:type="dxa"/>
            <w:vAlign w:val="bottom"/>
            <w:gridSpan w:val="31"/>
          </w:tcPr>
          <w:p>
            <w:pPr>
              <w:spacing w:after="0"/>
              <w:rPr>
                <w:sz w:val="20"/>
                <w:szCs w:val="20"/>
                <w:color w:val="auto"/>
              </w:rPr>
            </w:pPr>
            <w:r>
              <w:rPr>
                <w:rFonts w:ascii="Times New Roman" w:cs="Times New Roman" w:eastAsia="Times New Roman" w:hAnsi="Times New Roman"/>
                <w:sz w:val="16"/>
                <w:szCs w:val="16"/>
                <w:b w:val="1"/>
                <w:bCs w:val="1"/>
                <w:color w:val="0000EE"/>
              </w:rPr>
              <w:t>COMPARATIVE PER SHARE MARKET PRICE DATA AND DIVIDENDS</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16</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4880" w:type="dxa"/>
            <w:vAlign w:val="bottom"/>
            <w:gridSpan w:val="25"/>
          </w:tcPr>
          <w:p>
            <w:pPr>
              <w:spacing w:after="0"/>
              <w:rPr>
                <w:sz w:val="20"/>
                <w:szCs w:val="20"/>
                <w:color w:val="auto"/>
              </w:rPr>
            </w:pPr>
            <w:r>
              <w:rPr>
                <w:rFonts w:ascii="Times New Roman" w:cs="Times New Roman" w:eastAsia="Times New Roman" w:hAnsi="Times New Roman"/>
                <w:sz w:val="16"/>
                <w:szCs w:val="16"/>
                <w:b w:val="1"/>
                <w:bCs w:val="1"/>
                <w:color w:val="0000EE"/>
              </w:rPr>
              <w:t>Market Prices</w:t>
            </w:r>
          </w:p>
        </w:tc>
        <w:tc>
          <w:tcPr>
            <w:tcW w:w="1480" w:type="dxa"/>
            <w:vAlign w:val="bottom"/>
            <w:gridSpan w:val="5"/>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16</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3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EE"/>
              </w:rPr>
              <w:t>Dividend Information</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16</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740" w:type="dxa"/>
            <w:vAlign w:val="bottom"/>
            <w:gridSpan w:val="28"/>
          </w:tcPr>
          <w:p>
            <w:pPr>
              <w:spacing w:after="0"/>
              <w:rPr>
                <w:sz w:val="20"/>
                <w:szCs w:val="20"/>
                <w:color w:val="auto"/>
              </w:rPr>
            </w:pPr>
            <w:r>
              <w:rPr>
                <w:rFonts w:ascii="Times New Roman" w:cs="Times New Roman" w:eastAsia="Times New Roman" w:hAnsi="Times New Roman"/>
                <w:sz w:val="16"/>
                <w:szCs w:val="16"/>
                <w:b w:val="1"/>
                <w:bCs w:val="1"/>
                <w:color w:val="0000EE"/>
                <w:w w:val="94"/>
              </w:rPr>
              <w:t>CAUTIONARY STATEMENT REGARDING FORWARD-LOOKING STATEMENTS</w:t>
            </w:r>
          </w:p>
        </w:tc>
        <w:tc>
          <w:tcPr>
            <w:tcW w:w="780" w:type="dxa"/>
            <w:vAlign w:val="bottom"/>
            <w:gridSpan w:val="3"/>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17</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EE"/>
                <w:w w:val="86"/>
              </w:rPr>
              <w:t>RISK FACTORS</w:t>
            </w:r>
          </w:p>
        </w:tc>
        <w:tc>
          <w:tcPr>
            <w:tcW w:w="4660" w:type="dxa"/>
            <w:vAlign w:val="bottom"/>
            <w:gridSpan w:val="23"/>
          </w:tcPr>
          <w:p>
            <w:pPr>
              <w:spacing w:after="0"/>
              <w:rPr>
                <w:sz w:val="18"/>
                <w:szCs w:val="18"/>
                <w:color w:val="auto"/>
              </w:rPr>
            </w:pPr>
          </w:p>
        </w:tc>
        <w:tc>
          <w:tcPr>
            <w:tcW w:w="780" w:type="dxa"/>
            <w:vAlign w:val="bottom"/>
            <w:gridSpan w:val="3"/>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20</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232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0000EE"/>
                <w:w w:val="93"/>
              </w:rPr>
              <w:t>Risks Relating to United’s Business.</w:t>
            </w:r>
          </w:p>
        </w:tc>
        <w:tc>
          <w:tcPr>
            <w:tcW w:w="4040" w:type="dxa"/>
            <w:vAlign w:val="bottom"/>
            <w:gridSpan w:val="18"/>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26</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20" w:type="dxa"/>
            <w:vAlign w:val="bottom"/>
            <w:gridSpan w:val="31"/>
          </w:tcPr>
          <w:p>
            <w:pPr>
              <w:spacing w:after="0"/>
              <w:rPr>
                <w:sz w:val="20"/>
                <w:szCs w:val="20"/>
                <w:color w:val="auto"/>
              </w:rPr>
            </w:pPr>
            <w:r>
              <w:rPr>
                <w:rFonts w:ascii="Times New Roman" w:cs="Times New Roman" w:eastAsia="Times New Roman" w:hAnsi="Times New Roman"/>
                <w:sz w:val="16"/>
                <w:szCs w:val="16"/>
                <w:b w:val="1"/>
                <w:bCs w:val="1"/>
                <w:color w:val="0000EE"/>
              </w:rPr>
              <w:t>INFORMATION ABOUT THE PEACH STATE SPECIAL MEETING</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27</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4500" w:type="dxa"/>
            <w:vAlign w:val="bottom"/>
            <w:gridSpan w:val="24"/>
          </w:tcPr>
          <w:p>
            <w:pPr>
              <w:spacing w:after="0"/>
              <w:rPr>
                <w:sz w:val="20"/>
                <w:szCs w:val="20"/>
                <w:color w:val="auto"/>
              </w:rPr>
            </w:pPr>
            <w:r>
              <w:rPr>
                <w:rFonts w:ascii="Times New Roman" w:cs="Times New Roman" w:eastAsia="Times New Roman" w:hAnsi="Times New Roman"/>
                <w:sz w:val="16"/>
                <w:szCs w:val="16"/>
                <w:b w:val="1"/>
                <w:bCs w:val="1"/>
                <w:color w:val="0000EE"/>
              </w:rPr>
              <w:t>Time, Date, and Place</w:t>
            </w:r>
          </w:p>
        </w:tc>
        <w:tc>
          <w:tcPr>
            <w:tcW w:w="1860" w:type="dxa"/>
            <w:vAlign w:val="bottom"/>
            <w:gridSpan w:val="6"/>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27</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3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EE"/>
              </w:rPr>
              <w:t>Matters to be Considered at the Meeting</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27</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3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EE"/>
              </w:rPr>
              <w:t>Recommendation of Peach State Board of Directors</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27</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334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0000EE"/>
              </w:rPr>
              <w:t>Record Date and Quorum</w:t>
            </w:r>
          </w:p>
        </w:tc>
        <w:tc>
          <w:tcPr>
            <w:tcW w:w="3020" w:type="dxa"/>
            <w:vAlign w:val="bottom"/>
            <w:gridSpan w:val="12"/>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27</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0000EE"/>
                <w:w w:val="87"/>
              </w:rPr>
              <w:t>Required Vote</w:t>
            </w:r>
          </w:p>
        </w:tc>
        <w:tc>
          <w:tcPr>
            <w:tcW w:w="780" w:type="dxa"/>
            <w:vAlign w:val="bottom"/>
            <w:gridSpan w:val="4"/>
          </w:tcPr>
          <w:p>
            <w:pPr>
              <w:spacing w:after="0"/>
              <w:rPr>
                <w:sz w:val="18"/>
                <w:szCs w:val="18"/>
                <w:color w:val="auto"/>
              </w:rPr>
            </w:pPr>
          </w:p>
        </w:tc>
        <w:tc>
          <w:tcPr>
            <w:tcW w:w="4660" w:type="dxa"/>
            <w:vAlign w:val="bottom"/>
            <w:gridSpan w:val="22"/>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27</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3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EE"/>
              </w:rPr>
              <w:t>How to Vote — Shareholders of Record</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0000EE"/>
              </w:rPr>
              <w:t>28</w:t>
            </w:r>
            <w:r>
              <w:rPr>
                <w:rFonts w:ascii="Times New Roman" w:cs="Times New Roman" w:eastAsia="Times New Roman" w:hAnsi="Times New Roman"/>
                <w:sz w:val="16"/>
                <w:szCs w:val="16"/>
                <w:b w:val="1"/>
                <w:bCs w:val="1"/>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250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0000EE"/>
                <w:w w:val="95"/>
              </w:rPr>
              <w:t>Voting of Proxies; Incomplete Proxies</w:t>
            </w:r>
          </w:p>
        </w:tc>
        <w:tc>
          <w:tcPr>
            <w:tcW w:w="3860" w:type="dxa"/>
            <w:vAlign w:val="bottom"/>
            <w:gridSpan w:val="16"/>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28</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2420" w:type="dxa"/>
            <w:vAlign w:val="bottom"/>
            <w:gridSpan w:val="13"/>
          </w:tcPr>
          <w:p>
            <w:pPr>
              <w:spacing w:after="0"/>
              <w:rPr>
                <w:sz w:val="20"/>
                <w:szCs w:val="20"/>
                <w:color w:val="auto"/>
              </w:rPr>
            </w:pPr>
            <w:r>
              <w:rPr>
                <w:rFonts w:ascii="Times New Roman" w:cs="Times New Roman" w:eastAsia="Times New Roman" w:hAnsi="Times New Roman"/>
                <w:sz w:val="16"/>
                <w:szCs w:val="16"/>
                <w:b w:val="1"/>
                <w:bCs w:val="1"/>
                <w:color w:val="0000EE"/>
              </w:rPr>
              <w:t>Revocation of Proxies</w:t>
            </w:r>
          </w:p>
        </w:tc>
        <w:tc>
          <w:tcPr>
            <w:tcW w:w="3940" w:type="dxa"/>
            <w:vAlign w:val="bottom"/>
            <w:gridSpan w:val="17"/>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28</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59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b w:val="1"/>
                <w:bCs w:val="1"/>
                <w:color w:val="0000EE"/>
                <w:w w:val="94"/>
              </w:rPr>
              <w:t>Shares Subject to Voting and Support Agreement; Shares Held by Directors and Executive</w:t>
            </w:r>
          </w:p>
        </w:tc>
        <w:tc>
          <w:tcPr>
            <w:tcW w:w="46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0" w:type="dxa"/>
            <w:vAlign w:val="bottom"/>
            <w:gridSpan w:val="29"/>
          </w:tcPr>
          <w:p>
            <w:pPr>
              <w:spacing w:after="0" w:line="171" w:lineRule="exact"/>
              <w:rPr>
                <w:sz w:val="20"/>
                <w:szCs w:val="20"/>
                <w:color w:val="auto"/>
              </w:rPr>
            </w:pPr>
            <w:r>
              <w:rPr>
                <w:rFonts w:ascii="Times New Roman" w:cs="Times New Roman" w:eastAsia="Times New Roman" w:hAnsi="Times New Roman"/>
                <w:sz w:val="16"/>
                <w:szCs w:val="16"/>
                <w:b w:val="1"/>
                <w:bCs w:val="1"/>
                <w:color w:val="0000EE"/>
              </w:rPr>
              <w:t>Officers</w:t>
            </w:r>
          </w:p>
        </w:tc>
        <w:tc>
          <w:tcPr>
            <w:tcW w:w="760" w:type="dxa"/>
            <w:vAlign w:val="bottom"/>
            <w:gridSpan w:val="4"/>
          </w:tcPr>
          <w:p>
            <w:pPr>
              <w:ind w:left="300"/>
              <w:spacing w:after="0" w:line="171"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28</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60" w:type="dxa"/>
            <w:vAlign w:val="bottom"/>
          </w:tcPr>
          <w:p>
            <w:pPr>
              <w:spacing w:after="0"/>
              <w:rPr>
                <w:sz w:val="21"/>
                <w:szCs w:val="21"/>
                <w:color w:val="auto"/>
              </w:rPr>
            </w:pPr>
          </w:p>
        </w:tc>
        <w:tc>
          <w:tcPr>
            <w:tcW w:w="63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EE"/>
              </w:rPr>
              <w:t>Solicitation of Proxies</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29</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3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EE"/>
              </w:rPr>
              <w:t>Questions and Additional Information</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29</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20" w:type="dxa"/>
            <w:vAlign w:val="bottom"/>
            <w:gridSpan w:val="31"/>
          </w:tcPr>
          <w:p>
            <w:pPr>
              <w:spacing w:after="0"/>
              <w:rPr>
                <w:sz w:val="20"/>
                <w:szCs w:val="20"/>
                <w:color w:val="auto"/>
              </w:rPr>
            </w:pPr>
            <w:r>
              <w:rPr>
                <w:rFonts w:ascii="Times New Roman" w:cs="Times New Roman" w:eastAsia="Times New Roman" w:hAnsi="Times New Roman"/>
                <w:sz w:val="16"/>
                <w:szCs w:val="16"/>
                <w:b w:val="1"/>
                <w:bCs w:val="1"/>
                <w:color w:val="0000EE"/>
              </w:rPr>
              <w:t>PEACH STATE PROPOSALS</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30</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3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EE"/>
              </w:rPr>
              <w:t>Proposal No. 1 — Merger Proposal</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0000EE"/>
              </w:rPr>
              <w:t>30</w:t>
            </w:r>
            <w:r>
              <w:rPr>
                <w:rFonts w:ascii="Times New Roman" w:cs="Times New Roman" w:eastAsia="Times New Roman" w:hAnsi="Times New Roman"/>
                <w:sz w:val="16"/>
                <w:szCs w:val="16"/>
                <w:b w:val="1"/>
                <w:bCs w:val="1"/>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2620" w:type="dxa"/>
            <w:vAlign w:val="bottom"/>
            <w:gridSpan w:val="15"/>
          </w:tcPr>
          <w:p>
            <w:pPr>
              <w:spacing w:after="0"/>
              <w:rPr>
                <w:sz w:val="20"/>
                <w:szCs w:val="20"/>
                <w:color w:val="auto"/>
              </w:rPr>
            </w:pPr>
            <w:r>
              <w:rPr>
                <w:rFonts w:ascii="Times New Roman" w:cs="Times New Roman" w:eastAsia="Times New Roman" w:hAnsi="Times New Roman"/>
                <w:sz w:val="16"/>
                <w:szCs w:val="16"/>
                <w:b w:val="1"/>
                <w:bCs w:val="1"/>
                <w:color w:val="0000EE"/>
                <w:w w:val="92"/>
              </w:rPr>
              <w:t>Proposal No. 2 — Adjournment Proposal</w:t>
            </w:r>
          </w:p>
        </w:tc>
        <w:tc>
          <w:tcPr>
            <w:tcW w:w="3740" w:type="dxa"/>
            <w:vAlign w:val="bottom"/>
            <w:gridSpan w:val="15"/>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0000EE"/>
              </w:rPr>
              <w:t>30</w:t>
            </w:r>
            <w:r>
              <w:rPr>
                <w:rFonts w:ascii="Times New Roman" w:cs="Times New Roman" w:eastAsia="Times New Roman" w:hAnsi="Times New Roman"/>
                <w:sz w:val="16"/>
                <w:szCs w:val="16"/>
                <w:b w:val="1"/>
                <w:bCs w:val="1"/>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80" w:type="dxa"/>
            <w:vAlign w:val="bottom"/>
            <w:gridSpan w:val="23"/>
          </w:tcPr>
          <w:p>
            <w:pPr>
              <w:spacing w:after="0"/>
              <w:rPr>
                <w:sz w:val="20"/>
                <w:szCs w:val="20"/>
                <w:color w:val="auto"/>
              </w:rPr>
            </w:pPr>
            <w:r>
              <w:rPr>
                <w:rFonts w:ascii="Times New Roman" w:cs="Times New Roman" w:eastAsia="Times New Roman" w:hAnsi="Times New Roman"/>
                <w:sz w:val="16"/>
                <w:szCs w:val="16"/>
                <w:b w:val="1"/>
                <w:bCs w:val="1"/>
                <w:color w:val="0000EE"/>
                <w:w w:val="95"/>
              </w:rPr>
              <w:t>INFORMATION ABOUT UNITED COMMUNITY BANKS, INC.</w:t>
            </w:r>
          </w:p>
        </w:tc>
        <w:tc>
          <w:tcPr>
            <w:tcW w:w="2140" w:type="dxa"/>
            <w:vAlign w:val="bottom"/>
            <w:gridSpan w:val="8"/>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80" w:type="dxa"/>
            <w:vAlign w:val="bottom"/>
            <w:gridSpan w:val="23"/>
          </w:tcPr>
          <w:p>
            <w:pPr>
              <w:spacing w:after="0"/>
              <w:rPr>
                <w:sz w:val="20"/>
                <w:szCs w:val="20"/>
                <w:color w:val="auto"/>
              </w:rPr>
            </w:pPr>
            <w:r>
              <w:rPr>
                <w:rFonts w:ascii="Times New Roman" w:cs="Times New Roman" w:eastAsia="Times New Roman" w:hAnsi="Times New Roman"/>
                <w:sz w:val="16"/>
                <w:szCs w:val="16"/>
                <w:b w:val="1"/>
                <w:bCs w:val="1"/>
                <w:color w:val="0000EE"/>
                <w:w w:val="96"/>
              </w:rPr>
              <w:t>INFORMATION ABOUT PEACH STATE BANCSHARES, INC.</w:t>
            </w:r>
          </w:p>
        </w:tc>
        <w:tc>
          <w:tcPr>
            <w:tcW w:w="2140" w:type="dxa"/>
            <w:vAlign w:val="bottom"/>
            <w:gridSpan w:val="8"/>
          </w:tcPr>
          <w:p>
            <w:pPr>
              <w:spacing w:after="0"/>
              <w:rPr>
                <w:sz w:val="18"/>
                <w:szCs w:val="18"/>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-5839460</wp:posOffset>
            </wp:positionV>
            <wp:extent cx="4599305" cy="143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-5551805</wp:posOffset>
            </wp:positionV>
            <wp:extent cx="4599305" cy="143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-5264150</wp:posOffset>
            </wp:positionV>
            <wp:extent cx="4599305" cy="143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-4976495</wp:posOffset>
            </wp:positionV>
            <wp:extent cx="4599305" cy="151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-4674235</wp:posOffset>
            </wp:positionV>
            <wp:extent cx="4599305" cy="15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-4371340</wp:posOffset>
            </wp:positionV>
            <wp:extent cx="4599305" cy="15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-4069080</wp:posOffset>
            </wp:positionV>
            <wp:extent cx="4599305" cy="151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-3766185</wp:posOffset>
            </wp:positionV>
            <wp:extent cx="4599305" cy="15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-3463925</wp:posOffset>
            </wp:positionV>
            <wp:extent cx="4599305" cy="151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-3161030</wp:posOffset>
            </wp:positionV>
            <wp:extent cx="4599305" cy="151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-2858770</wp:posOffset>
            </wp:positionV>
            <wp:extent cx="4599305" cy="151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-2555875</wp:posOffset>
            </wp:positionV>
            <wp:extent cx="4599305" cy="151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-2253615</wp:posOffset>
            </wp:positionV>
            <wp:extent cx="4599305" cy="151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-1950720</wp:posOffset>
            </wp:positionV>
            <wp:extent cx="4599305" cy="151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-1648460</wp:posOffset>
            </wp:positionV>
            <wp:extent cx="4599305" cy="151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-1345565</wp:posOffset>
            </wp:positionV>
            <wp:extent cx="4599305" cy="287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99305" cy="28765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-907415</wp:posOffset>
            </wp:positionV>
            <wp:extent cx="4599305" cy="151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-604520</wp:posOffset>
            </wp:positionV>
            <wp:extent cx="4599305" cy="151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-302260</wp:posOffset>
            </wp:positionV>
            <wp:extent cx="4599305" cy="151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-6134100</wp:posOffset>
            </wp:positionV>
            <wp:extent cx="4599305" cy="151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99305" cy="151130"/>
                    </a:xfrm>
                    <a:prstGeom prst="rect">
                      <a:avLst/>
                    </a:prstGeom>
                    <a:noFill/>
                  </pic:spPr>
                </pic:pic>
              </a:graphicData>
            </a:graphic>
          </wp:anchor>
        </w:drawing>
      </w:r>
    </w:p>
    <w:p>
      <w:pPr>
        <w:spacing w:after="0" w:line="30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7" w:name="page8"/>
    <w:bookmarkEnd w:id="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100" w:type="dxa"/>
        <w:tblCellMar>
          <w:top w:w="0" w:type="dxa"/>
          <w:left w:w="0" w:type="dxa"/>
          <w:bottom w:w="0" w:type="dxa"/>
          <w:right w:w="0" w:type="dxa"/>
        </w:tblCellMar>
      </w:tblPr>
      <w:tr>
        <w:trPr>
          <w:trHeight w:val="335"/>
        </w:trPr>
        <w:tc>
          <w:tcPr>
            <w:tcW w:w="674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w:t>
            </w:r>
          </w:p>
        </w:tc>
        <w:tc>
          <w:tcPr>
            <w:tcW w:w="8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 xml:space="preserve">Page </w:t>
            </w:r>
            <w:r>
              <w:rPr>
                <w:rFonts w:ascii="Times New Roman" w:cs="Times New Roman" w:eastAsia="Times New Roman" w:hAnsi="Times New Roman"/>
                <w:sz w:val="25"/>
                <w:szCs w:val="25"/>
                <w:b w:val="1"/>
                <w:bCs w:val="1"/>
                <w:color w:val="auto"/>
                <w:w w:val="93"/>
                <w:vertAlign w:val="subscript"/>
              </w:rPr>
              <w:t>​</w:t>
            </w:r>
          </w:p>
        </w:tc>
        <w:tc>
          <w:tcPr>
            <w:tcW w:w="0" w:type="dxa"/>
            <w:vAlign w:val="bottom"/>
          </w:tcPr>
          <w:p>
            <w:pPr>
              <w:spacing w:after="0"/>
              <w:rPr>
                <w:sz w:val="1"/>
                <w:szCs w:val="1"/>
                <w:color w:val="auto"/>
              </w:rPr>
            </w:pPr>
          </w:p>
        </w:tc>
      </w:tr>
      <w:tr>
        <w:trPr>
          <w:trHeight w:val="20"/>
        </w:trPr>
        <w:tc>
          <w:tcPr>
            <w:tcW w:w="6740" w:type="dxa"/>
            <w:vAlign w:val="bottom"/>
            <w:gridSpan w:val="28"/>
            <w:vMerge w:val="restart"/>
          </w:tcPr>
          <w:p>
            <w:pPr>
              <w:spacing w:after="0"/>
              <w:rPr>
                <w:sz w:val="20"/>
                <w:szCs w:val="20"/>
                <w:color w:val="auto"/>
              </w:rPr>
            </w:pPr>
            <w:r>
              <w:rPr>
                <w:rFonts w:ascii="Times New Roman" w:cs="Times New Roman" w:eastAsia="Times New Roman" w:hAnsi="Times New Roman"/>
                <w:sz w:val="16"/>
                <w:szCs w:val="16"/>
                <w:b w:val="1"/>
                <w:bCs w:val="1"/>
                <w:color w:val="0000EE"/>
              </w:rPr>
              <w:t>THE MERGER</w:t>
            </w: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gridSpan w:val="28"/>
            <w:vMerge w:val="continue"/>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35</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Terms of the Merger</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35</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17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0000EE"/>
                <w:w w:val="93"/>
              </w:rPr>
              <w:t>Background of the Merger</w:t>
            </w:r>
          </w:p>
        </w:tc>
        <w:tc>
          <w:tcPr>
            <w:tcW w:w="4840" w:type="dxa"/>
            <w:vAlign w:val="bottom"/>
            <w:gridSpan w:val="17"/>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35</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Opinion of Peach State’s Financial Advisor</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42</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Certain Unaudited Prospective Financial Information</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53</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4480" w:type="dxa"/>
            <w:vAlign w:val="bottom"/>
            <w:gridSpan w:val="24"/>
          </w:tcPr>
          <w:p>
            <w:pPr>
              <w:spacing w:after="0"/>
              <w:rPr>
                <w:sz w:val="20"/>
                <w:szCs w:val="20"/>
                <w:color w:val="auto"/>
              </w:rPr>
            </w:pPr>
            <w:r>
              <w:rPr>
                <w:rFonts w:ascii="Times New Roman" w:cs="Times New Roman" w:eastAsia="Times New Roman" w:hAnsi="Times New Roman"/>
                <w:sz w:val="16"/>
                <w:szCs w:val="16"/>
                <w:b w:val="1"/>
                <w:bCs w:val="1"/>
                <w:color w:val="0000EE"/>
                <w:w w:val="94"/>
              </w:rPr>
              <w:t>Board of Directors and Management of United Following the Merger</w:t>
            </w:r>
          </w:p>
        </w:tc>
        <w:tc>
          <w:tcPr>
            <w:tcW w:w="2100" w:type="dxa"/>
            <w:vAlign w:val="bottom"/>
            <w:gridSpan w:val="3"/>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55</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4480" w:type="dxa"/>
            <w:vAlign w:val="bottom"/>
            <w:gridSpan w:val="24"/>
          </w:tcPr>
          <w:p>
            <w:pPr>
              <w:spacing w:after="0"/>
              <w:rPr>
                <w:sz w:val="20"/>
                <w:szCs w:val="20"/>
                <w:color w:val="auto"/>
              </w:rPr>
            </w:pPr>
            <w:r>
              <w:rPr>
                <w:rFonts w:ascii="Times New Roman" w:cs="Times New Roman" w:eastAsia="Times New Roman" w:hAnsi="Times New Roman"/>
                <w:sz w:val="16"/>
                <w:szCs w:val="16"/>
                <w:b w:val="1"/>
                <w:bCs w:val="1"/>
                <w:color w:val="0000EE"/>
              </w:rPr>
              <w:t>Public Trading Markets</w:t>
            </w:r>
          </w:p>
        </w:tc>
        <w:tc>
          <w:tcPr>
            <w:tcW w:w="2100" w:type="dxa"/>
            <w:vAlign w:val="bottom"/>
            <w:gridSpan w:val="3"/>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56</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Regulatory Approvals Required for the Merger</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56</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gridSpan w:val="28"/>
          </w:tcPr>
          <w:p>
            <w:pPr>
              <w:spacing w:after="0"/>
              <w:rPr>
                <w:sz w:val="20"/>
                <w:szCs w:val="20"/>
                <w:color w:val="auto"/>
              </w:rPr>
            </w:pPr>
            <w:r>
              <w:rPr>
                <w:rFonts w:ascii="Times New Roman" w:cs="Times New Roman" w:eastAsia="Times New Roman" w:hAnsi="Times New Roman"/>
                <w:sz w:val="16"/>
                <w:szCs w:val="16"/>
                <w:b w:val="1"/>
                <w:bCs w:val="1"/>
                <w:color w:val="0000EE"/>
              </w:rPr>
              <w:t>THE MERGER AGREEMENT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59</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Explanatory Note Regarding the Merger Agreement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59</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156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0000EE"/>
                <w:w w:val="93"/>
              </w:rPr>
              <w:t>Structure of the Merger</w:t>
            </w:r>
          </w:p>
        </w:tc>
        <w:tc>
          <w:tcPr>
            <w:tcW w:w="1840" w:type="dxa"/>
            <w:vAlign w:val="bottom"/>
            <w:gridSpan w:val="12"/>
          </w:tcPr>
          <w:p>
            <w:pPr>
              <w:spacing w:after="0"/>
              <w:rPr>
                <w:sz w:val="18"/>
                <w:szCs w:val="18"/>
                <w:color w:val="auto"/>
              </w:rPr>
            </w:pPr>
          </w:p>
        </w:tc>
        <w:tc>
          <w:tcPr>
            <w:tcW w:w="3180" w:type="dxa"/>
            <w:vAlign w:val="bottom"/>
            <w:gridSpan w:val="6"/>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59</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Closing and Effective Time of the Merger</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62</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2640" w:type="dxa"/>
            <w:vAlign w:val="bottom"/>
            <w:gridSpan w:val="16"/>
          </w:tcPr>
          <w:p>
            <w:pPr>
              <w:spacing w:after="0"/>
              <w:rPr>
                <w:sz w:val="20"/>
                <w:szCs w:val="20"/>
                <w:color w:val="auto"/>
              </w:rPr>
            </w:pPr>
            <w:r>
              <w:rPr>
                <w:rFonts w:ascii="Times New Roman" w:cs="Times New Roman" w:eastAsia="Times New Roman" w:hAnsi="Times New Roman"/>
                <w:sz w:val="16"/>
                <w:szCs w:val="16"/>
                <w:b w:val="1"/>
                <w:bCs w:val="1"/>
                <w:color w:val="0000EE"/>
              </w:rPr>
              <w:t>Election Procedures</w:t>
            </w:r>
          </w:p>
        </w:tc>
        <w:tc>
          <w:tcPr>
            <w:tcW w:w="3940" w:type="dxa"/>
            <w:vAlign w:val="bottom"/>
            <w:gridSpan w:val="11"/>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62</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Exchange and Payment Procedures</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63</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EE"/>
                <w:w w:val="91"/>
              </w:rPr>
              <w:t>Dissenters’ Rights</w:t>
            </w:r>
          </w:p>
        </w:tc>
        <w:tc>
          <w:tcPr>
            <w:tcW w:w="1080" w:type="dxa"/>
            <w:vAlign w:val="bottom"/>
            <w:gridSpan w:val="9"/>
          </w:tcPr>
          <w:p>
            <w:pPr>
              <w:spacing w:after="0"/>
              <w:rPr>
                <w:sz w:val="18"/>
                <w:szCs w:val="18"/>
                <w:color w:val="auto"/>
              </w:rPr>
            </w:pPr>
          </w:p>
        </w:tc>
        <w:tc>
          <w:tcPr>
            <w:tcW w:w="4320" w:type="dxa"/>
            <w:vAlign w:val="bottom"/>
            <w:gridSpan w:val="13"/>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64</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Representations and Warranties</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65</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2100" w:type="dxa"/>
            <w:vAlign w:val="bottom"/>
            <w:gridSpan w:val="13"/>
          </w:tcPr>
          <w:p>
            <w:pPr>
              <w:spacing w:after="0"/>
              <w:rPr>
                <w:sz w:val="20"/>
                <w:szCs w:val="20"/>
                <w:color w:val="auto"/>
              </w:rPr>
            </w:pPr>
            <w:r>
              <w:rPr>
                <w:rFonts w:ascii="Times New Roman" w:cs="Times New Roman" w:eastAsia="Times New Roman" w:hAnsi="Times New Roman"/>
                <w:sz w:val="16"/>
                <w:szCs w:val="16"/>
                <w:b w:val="1"/>
                <w:bCs w:val="1"/>
                <w:color w:val="0000EE"/>
              </w:rPr>
              <w:t>Covenants and Agreements</w:t>
            </w:r>
          </w:p>
        </w:tc>
        <w:tc>
          <w:tcPr>
            <w:tcW w:w="4480" w:type="dxa"/>
            <w:vAlign w:val="bottom"/>
            <w:gridSpan w:val="14"/>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67</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Peach State Shareholder Meeting</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71</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Agreement Not to Solicit Other Offers</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71</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226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0000EE"/>
                <w:w w:val="93"/>
              </w:rPr>
              <w:t>Adverse Recommendation Change</w:t>
            </w:r>
          </w:p>
        </w:tc>
        <w:tc>
          <w:tcPr>
            <w:tcW w:w="200" w:type="dxa"/>
            <w:vAlign w:val="bottom"/>
          </w:tcPr>
          <w:p>
            <w:pPr>
              <w:spacing w:after="0"/>
              <w:rPr>
                <w:sz w:val="18"/>
                <w:szCs w:val="18"/>
                <w:color w:val="auto"/>
              </w:rPr>
            </w:pPr>
          </w:p>
        </w:tc>
        <w:tc>
          <w:tcPr>
            <w:tcW w:w="4120" w:type="dxa"/>
            <w:vAlign w:val="bottom"/>
            <w:gridSpan w:val="12"/>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72</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Conditions to Complete the Merger</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73</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2460" w:type="dxa"/>
            <w:vAlign w:val="bottom"/>
            <w:gridSpan w:val="15"/>
          </w:tcPr>
          <w:p>
            <w:pPr>
              <w:spacing w:after="0"/>
              <w:rPr>
                <w:sz w:val="20"/>
                <w:szCs w:val="20"/>
                <w:color w:val="auto"/>
              </w:rPr>
            </w:pPr>
            <w:r>
              <w:rPr>
                <w:rFonts w:ascii="Times New Roman" w:cs="Times New Roman" w:eastAsia="Times New Roman" w:hAnsi="Times New Roman"/>
                <w:sz w:val="16"/>
                <w:szCs w:val="16"/>
                <w:b w:val="1"/>
                <w:bCs w:val="1"/>
                <w:color w:val="0000EE"/>
                <w:w w:val="91"/>
              </w:rPr>
              <w:t>Termination of the Merger Agreement</w:t>
            </w:r>
          </w:p>
        </w:tc>
        <w:tc>
          <w:tcPr>
            <w:tcW w:w="4120" w:type="dxa"/>
            <w:vAlign w:val="bottom"/>
            <w:gridSpan w:val="12"/>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74</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0000EE"/>
                <w:w w:val="92"/>
              </w:rPr>
              <w:t>Effect of Termination</w:t>
            </w:r>
          </w:p>
        </w:tc>
        <w:tc>
          <w:tcPr>
            <w:tcW w:w="1060" w:type="dxa"/>
            <w:vAlign w:val="bottom"/>
            <w:gridSpan w:val="8"/>
          </w:tcPr>
          <w:p>
            <w:pPr>
              <w:spacing w:after="0"/>
              <w:rPr>
                <w:sz w:val="18"/>
                <w:szCs w:val="18"/>
                <w:color w:val="auto"/>
              </w:rPr>
            </w:pPr>
          </w:p>
        </w:tc>
        <w:tc>
          <w:tcPr>
            <w:tcW w:w="4120" w:type="dxa"/>
            <w:vAlign w:val="bottom"/>
            <w:gridSpan w:val="12"/>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74</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0000EE"/>
                <w:w w:val="89"/>
              </w:rPr>
              <w:t>Termination Fee</w:t>
            </w:r>
          </w:p>
        </w:tc>
        <w:tc>
          <w:tcPr>
            <w:tcW w:w="340" w:type="dxa"/>
            <w:vAlign w:val="bottom"/>
            <w:gridSpan w:val="3"/>
          </w:tcPr>
          <w:p>
            <w:pPr>
              <w:spacing w:after="0"/>
              <w:rPr>
                <w:sz w:val="18"/>
                <w:szCs w:val="18"/>
                <w:color w:val="auto"/>
              </w:rPr>
            </w:pPr>
          </w:p>
        </w:tc>
        <w:tc>
          <w:tcPr>
            <w:tcW w:w="5180" w:type="dxa"/>
            <w:vAlign w:val="bottom"/>
            <w:gridSpan w:val="20"/>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75</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Expenses and Fees</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75</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 w:type="dxa"/>
            <w:vAlign w:val="bottom"/>
          </w:tcPr>
          <w:p>
            <w:pPr>
              <w:spacing w:after="0"/>
              <w:rPr>
                <w:sz w:val="18"/>
                <w:szCs w:val="18"/>
                <w:color w:val="auto"/>
              </w:rPr>
            </w:pPr>
          </w:p>
        </w:tc>
        <w:tc>
          <w:tcPr>
            <w:tcW w:w="658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0000EE"/>
              </w:rPr>
              <w:t>Amendment, Waiver and Extension of the Merger Agreement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75</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0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0000EE"/>
                <w:w w:val="94"/>
              </w:rPr>
              <w:t>VOTING AND SUPPORT AGREEMENT</w:t>
            </w:r>
          </w:p>
        </w:tc>
        <w:tc>
          <w:tcPr>
            <w:tcW w:w="3940" w:type="dxa"/>
            <w:vAlign w:val="bottom"/>
            <w:gridSpan w:val="11"/>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76</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100" w:type="dxa"/>
            <w:vAlign w:val="bottom"/>
            <w:gridSpan w:val="13"/>
          </w:tcPr>
          <w:p>
            <w:pPr>
              <w:spacing w:after="0"/>
              <w:rPr>
                <w:sz w:val="20"/>
                <w:szCs w:val="20"/>
                <w:color w:val="auto"/>
              </w:rPr>
            </w:pPr>
            <w:r>
              <w:rPr>
                <w:rFonts w:ascii="Times New Roman" w:cs="Times New Roman" w:eastAsia="Times New Roman" w:hAnsi="Times New Roman"/>
                <w:sz w:val="16"/>
                <w:szCs w:val="16"/>
                <w:b w:val="1"/>
                <w:bCs w:val="1"/>
                <w:color w:val="0000EE"/>
                <w:w w:val="95"/>
              </w:rPr>
              <w:t>ACCOUNTING TREATMENT</w:t>
            </w:r>
          </w:p>
        </w:tc>
        <w:tc>
          <w:tcPr>
            <w:tcW w:w="700" w:type="dxa"/>
            <w:vAlign w:val="bottom"/>
            <w:gridSpan w:val="4"/>
          </w:tcPr>
          <w:p>
            <w:pPr>
              <w:spacing w:after="0"/>
              <w:rPr>
                <w:sz w:val="18"/>
                <w:szCs w:val="18"/>
                <w:color w:val="auto"/>
              </w:rPr>
            </w:pPr>
          </w:p>
        </w:tc>
        <w:tc>
          <w:tcPr>
            <w:tcW w:w="3940" w:type="dxa"/>
            <w:vAlign w:val="bottom"/>
            <w:gridSpan w:val="11"/>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77</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620" w:type="dxa"/>
            <w:vAlign w:val="bottom"/>
            <w:gridSpan w:val="26"/>
          </w:tcPr>
          <w:p>
            <w:pPr>
              <w:spacing w:after="0"/>
              <w:rPr>
                <w:sz w:val="20"/>
                <w:szCs w:val="20"/>
                <w:color w:val="auto"/>
              </w:rPr>
            </w:pPr>
            <w:r>
              <w:rPr>
                <w:rFonts w:ascii="Times New Roman" w:cs="Times New Roman" w:eastAsia="Times New Roman" w:hAnsi="Times New Roman"/>
                <w:sz w:val="16"/>
                <w:szCs w:val="16"/>
                <w:b w:val="1"/>
                <w:bCs w:val="1"/>
                <w:color w:val="0000EE"/>
                <w:w w:val="95"/>
              </w:rPr>
              <w:t>MATERIAL U.S. FEDERAL INCOME TAX CONSEQUENCES OF THE MERGER</w:t>
            </w:r>
          </w:p>
        </w:tc>
        <w:tc>
          <w:tcPr>
            <w:tcW w:w="1120" w:type="dxa"/>
            <w:vAlign w:val="bottom"/>
            <w:gridSpan w:val="2"/>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78</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90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0000EE"/>
                <w:w w:val="97"/>
              </w:rPr>
              <w:t xml:space="preserve">INTERESTS OF PEACH STATE’S DIRECTORS AND EXECUTIVE OFFICERS IN THE MERGER </w:t>
            </w:r>
            <w:r>
              <w:rPr>
                <w:rFonts w:ascii="Times New Roman" w:cs="Times New Roman" w:eastAsia="Times New Roman" w:hAnsi="Times New Roman"/>
                <w:sz w:val="16"/>
                <w:szCs w:val="16"/>
                <w:color w:val="000000"/>
                <w:w w:val="97"/>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82</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740" w:type="dxa"/>
            <w:vAlign w:val="bottom"/>
            <w:gridSpan w:val="28"/>
          </w:tcPr>
          <w:p>
            <w:pPr>
              <w:spacing w:after="0"/>
              <w:rPr>
                <w:sz w:val="20"/>
                <w:szCs w:val="20"/>
                <w:color w:val="auto"/>
              </w:rPr>
            </w:pPr>
            <w:r>
              <w:rPr>
                <w:rFonts w:ascii="Times New Roman" w:cs="Times New Roman" w:eastAsia="Times New Roman" w:hAnsi="Times New Roman"/>
                <w:sz w:val="16"/>
                <w:szCs w:val="16"/>
                <w:b w:val="1"/>
                <w:bCs w:val="1"/>
                <w:color w:val="0000EE"/>
              </w:rPr>
              <w:t>DESCRIPTION OF CAPITAL STOCK OF UNITED</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85</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3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6"/>
                <w:szCs w:val="16"/>
                <w:b w:val="1"/>
                <w:bCs w:val="1"/>
                <w:color w:val="0000EE"/>
                <w:w w:val="95"/>
              </w:rPr>
              <w:t>SECURITY OWNERSHIP OF CERTAIN BENEFICIAL OWNERS AND MANAGEMENT OF</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6580" w:type="dxa"/>
            <w:vAlign w:val="bottom"/>
            <w:gridSpan w:val="27"/>
          </w:tcPr>
          <w:p>
            <w:pPr>
              <w:spacing w:after="0" w:line="171" w:lineRule="exact"/>
              <w:rPr>
                <w:sz w:val="20"/>
                <w:szCs w:val="20"/>
                <w:color w:val="auto"/>
              </w:rPr>
            </w:pPr>
            <w:r>
              <w:rPr>
                <w:rFonts w:ascii="Times New Roman" w:cs="Times New Roman" w:eastAsia="Times New Roman" w:hAnsi="Times New Roman"/>
                <w:sz w:val="16"/>
                <w:szCs w:val="16"/>
                <w:b w:val="1"/>
                <w:bCs w:val="1"/>
                <w:color w:val="0000EE"/>
              </w:rPr>
              <w:t>PEACH STATE</w:t>
            </w:r>
          </w:p>
        </w:tc>
        <w:tc>
          <w:tcPr>
            <w:tcW w:w="1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87</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740" w:type="dxa"/>
            <w:vAlign w:val="bottom"/>
            <w:gridSpan w:val="28"/>
          </w:tcPr>
          <w:p>
            <w:pPr>
              <w:spacing w:after="0"/>
              <w:rPr>
                <w:sz w:val="20"/>
                <w:szCs w:val="20"/>
                <w:color w:val="auto"/>
              </w:rPr>
            </w:pPr>
            <w:r>
              <w:rPr>
                <w:rFonts w:ascii="Times New Roman" w:cs="Times New Roman" w:eastAsia="Times New Roman" w:hAnsi="Times New Roman"/>
                <w:sz w:val="16"/>
                <w:szCs w:val="16"/>
                <w:b w:val="1"/>
                <w:bCs w:val="1"/>
                <w:color w:val="0000EE"/>
              </w:rPr>
              <w:t>COMPARISON OF SHAREHOLDERS’ RIGHTS</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88</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32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EE"/>
              </w:rPr>
              <w:t>DISSENTERS’ RIGHTS</w:t>
            </w:r>
          </w:p>
        </w:tc>
        <w:tc>
          <w:tcPr>
            <w:tcW w:w="3420" w:type="dxa"/>
            <w:vAlign w:val="bottom"/>
            <w:gridSpan w:val="8"/>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94</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0000EE"/>
                <w:w w:val="93"/>
              </w:rPr>
              <w:t>LEGAL MATTERS</w:t>
            </w:r>
          </w:p>
        </w:tc>
        <w:tc>
          <w:tcPr>
            <w:tcW w:w="300" w:type="dxa"/>
            <w:vAlign w:val="bottom"/>
            <w:gridSpan w:val="3"/>
          </w:tcPr>
          <w:p>
            <w:pPr>
              <w:spacing w:after="0"/>
              <w:rPr>
                <w:sz w:val="20"/>
                <w:szCs w:val="20"/>
                <w:color w:val="auto"/>
              </w:rPr>
            </w:pPr>
          </w:p>
        </w:tc>
        <w:tc>
          <w:tcPr>
            <w:tcW w:w="5100" w:type="dxa"/>
            <w:vAlign w:val="bottom"/>
            <w:gridSpan w:val="19"/>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97</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0000EE"/>
              </w:rPr>
              <w:t>EXPERTS</w:t>
            </w:r>
          </w:p>
        </w:tc>
        <w:tc>
          <w:tcPr>
            <w:tcW w:w="5400" w:type="dxa"/>
            <w:vAlign w:val="bottom"/>
            <w:gridSpan w:val="22"/>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98</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EE"/>
              </w:rPr>
              <w:t>United</w:t>
            </w:r>
          </w:p>
        </w:tc>
        <w:tc>
          <w:tcPr>
            <w:tcW w:w="6040" w:type="dxa"/>
            <w:vAlign w:val="bottom"/>
            <w:gridSpan w:val="25"/>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98</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gridSpan w:val="28"/>
          </w:tcPr>
          <w:p>
            <w:pPr>
              <w:spacing w:after="0"/>
              <w:rPr>
                <w:sz w:val="20"/>
                <w:szCs w:val="20"/>
                <w:color w:val="auto"/>
              </w:rPr>
            </w:pPr>
            <w:r>
              <w:rPr>
                <w:rFonts w:ascii="Times New Roman" w:cs="Times New Roman" w:eastAsia="Times New Roman" w:hAnsi="Times New Roman"/>
                <w:sz w:val="16"/>
                <w:szCs w:val="16"/>
                <w:b w:val="1"/>
                <w:bCs w:val="1"/>
                <w:color w:val="0000EE"/>
              </w:rPr>
              <w:t>WHERE YOU CAN FIND MORE INFORMATION</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gridSpan w:val="21"/>
          </w:tcPr>
          <w:p>
            <w:pPr>
              <w:spacing w:after="0"/>
              <w:rPr>
                <w:sz w:val="20"/>
                <w:szCs w:val="20"/>
                <w:color w:val="auto"/>
              </w:rPr>
            </w:pPr>
            <w:r>
              <w:rPr>
                <w:rFonts w:ascii="Times New Roman" w:cs="Times New Roman" w:eastAsia="Times New Roman" w:hAnsi="Times New Roman"/>
                <w:sz w:val="16"/>
                <w:szCs w:val="16"/>
                <w:b w:val="1"/>
                <w:bCs w:val="1"/>
                <w:color w:val="0000EE"/>
              </w:rPr>
              <w:t>Annex A — Merger Agreement</w:t>
            </w:r>
          </w:p>
        </w:tc>
        <w:tc>
          <w:tcPr>
            <w:tcW w:w="3300" w:type="dxa"/>
            <w:vAlign w:val="bottom"/>
            <w:gridSpan w:val="7"/>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0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0000EE"/>
                <w:w w:val="92"/>
              </w:rPr>
              <w:t>Annex B — Voting and Support Agreement</w:t>
            </w:r>
          </w:p>
        </w:tc>
        <w:tc>
          <w:tcPr>
            <w:tcW w:w="3940" w:type="dxa"/>
            <w:vAlign w:val="bottom"/>
            <w:gridSpan w:val="11"/>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B-1</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gridSpan w:val="28"/>
          </w:tcPr>
          <w:p>
            <w:pPr>
              <w:spacing w:after="0"/>
              <w:rPr>
                <w:sz w:val="20"/>
                <w:szCs w:val="20"/>
                <w:color w:val="auto"/>
              </w:rPr>
            </w:pPr>
            <w:r>
              <w:rPr>
                <w:rFonts w:ascii="Times New Roman" w:cs="Times New Roman" w:eastAsia="Times New Roman" w:hAnsi="Times New Roman"/>
                <w:sz w:val="16"/>
                <w:szCs w:val="16"/>
                <w:b w:val="1"/>
                <w:bCs w:val="1"/>
                <w:color w:val="0000EE"/>
              </w:rPr>
              <w:t>Annex C — Opinion of Piper Sandler &amp; Co.</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C-1</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-6103620</wp:posOffset>
            </wp:positionV>
            <wp:extent cx="4599305" cy="151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-5801360</wp:posOffset>
            </wp:positionV>
            <wp:extent cx="4599305" cy="151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-5498465</wp:posOffset>
            </wp:positionV>
            <wp:extent cx="4599305" cy="151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-5196205</wp:posOffset>
            </wp:positionV>
            <wp:extent cx="4599305" cy="151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-4893310</wp:posOffset>
            </wp:positionV>
            <wp:extent cx="4599305" cy="151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-4591050</wp:posOffset>
            </wp:positionV>
            <wp:extent cx="4599305" cy="151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-4288155</wp:posOffset>
            </wp:positionV>
            <wp:extent cx="4599305" cy="151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-3985895</wp:posOffset>
            </wp:positionV>
            <wp:extent cx="4599305" cy="151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-3683000</wp:posOffset>
            </wp:positionV>
            <wp:extent cx="4599305" cy="151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-3380740</wp:posOffset>
            </wp:positionV>
            <wp:extent cx="4599305" cy="151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-3077845</wp:posOffset>
            </wp:positionV>
            <wp:extent cx="4599305" cy="151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-2775585</wp:posOffset>
            </wp:positionV>
            <wp:extent cx="4599305" cy="151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-2472690</wp:posOffset>
            </wp:positionV>
            <wp:extent cx="4599305" cy="151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-2170430</wp:posOffset>
            </wp:positionV>
            <wp:extent cx="4599305" cy="151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-1852930</wp:posOffset>
            </wp:positionV>
            <wp:extent cx="4599305" cy="151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-1414145</wp:posOffset>
            </wp:positionV>
            <wp:extent cx="4599305" cy="151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-1111250</wp:posOffset>
            </wp:positionV>
            <wp:extent cx="4599305" cy="158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99305" cy="15875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-793750</wp:posOffset>
            </wp:positionV>
            <wp:extent cx="4599305" cy="158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99305" cy="15875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-475615</wp:posOffset>
            </wp:positionV>
            <wp:extent cx="4599305" cy="158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99305" cy="15875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-158115</wp:posOffset>
            </wp:positionV>
            <wp:extent cx="4599305" cy="158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99305" cy="15875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-6414135</wp:posOffset>
            </wp:positionV>
            <wp:extent cx="4599305" cy="158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99305" cy="158750"/>
                    </a:xfrm>
                    <a:prstGeom prst="rect">
                      <a:avLst/>
                    </a:prstGeom>
                    <a:noFill/>
                  </pic:spPr>
                </pic:pic>
              </a:graphicData>
            </a:graphic>
          </wp:anchor>
        </w:drawing>
      </w: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8" w:name="page9"/>
    <w:bookmarkEnd w:id="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388" w:lineRule="exact"/>
        <w:rPr>
          <w:sz w:val="20"/>
          <w:szCs w:val="20"/>
          <w:color w:val="auto"/>
        </w:rPr>
      </w:pPr>
    </w:p>
    <w:tbl>
      <w:tblPr>
        <w:tblLayout w:type="fixed"/>
        <w:tblInd w:w="1100" w:type="dxa"/>
        <w:tblCellMar>
          <w:top w:w="0" w:type="dxa"/>
          <w:left w:w="0" w:type="dxa"/>
          <w:bottom w:w="0" w:type="dxa"/>
          <w:right w:w="0" w:type="dxa"/>
        </w:tblCellMar>
      </w:tblPr>
      <w:tr>
        <w:trPr>
          <w:trHeight w:val="335"/>
        </w:trPr>
        <w:tc>
          <w:tcPr>
            <w:tcW w:w="67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 xml:space="preserve">Page </w:t>
            </w:r>
            <w:r>
              <w:rPr>
                <w:rFonts w:ascii="Times New Roman" w:cs="Times New Roman" w:eastAsia="Times New Roman" w:hAnsi="Times New Roman"/>
                <w:sz w:val="25"/>
                <w:szCs w:val="25"/>
                <w:b w:val="1"/>
                <w:bCs w:val="1"/>
                <w:color w:val="auto"/>
                <w:w w:val="93"/>
                <w:vertAlign w:val="subscript"/>
              </w:rPr>
              <w:t>​</w:t>
            </w:r>
          </w:p>
        </w:tc>
      </w:tr>
      <w:tr>
        <w:trPr>
          <w:trHeight w:val="171"/>
        </w:trPr>
        <w:tc>
          <w:tcPr>
            <w:tcW w:w="6740" w:type="dxa"/>
            <w:vAlign w:val="bottom"/>
            <w:tcBorders>
              <w:bottom w:val="single" w:sz="8" w:color="0000EE"/>
            </w:tcBorders>
            <w:gridSpan w:val="3"/>
          </w:tcPr>
          <w:p>
            <w:pPr>
              <w:spacing w:after="0" w:line="171" w:lineRule="exact"/>
              <w:rPr>
                <w:sz w:val="20"/>
                <w:szCs w:val="20"/>
                <w:color w:val="auto"/>
              </w:rPr>
            </w:pPr>
            <w:r>
              <w:rPr>
                <w:rFonts w:ascii="Times New Roman" w:cs="Times New Roman" w:eastAsia="Times New Roman" w:hAnsi="Times New Roman"/>
                <w:sz w:val="16"/>
                <w:szCs w:val="16"/>
                <w:b w:val="1"/>
                <w:bCs w:val="1"/>
                <w:color w:val="0000EE"/>
                <w:w w:val="94"/>
              </w:rPr>
              <w:t>Annex D — Georgia Business Corporation Code, Title 14. Corporations, Partnerships, and Associations,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60" w:type="dxa"/>
            <w:vAlign w:val="bottom"/>
          </w:tcPr>
          <w:p>
            <w:pPr>
              <w:spacing w:after="0"/>
              <w:rPr>
                <w:sz w:val="14"/>
                <w:szCs w:val="14"/>
                <w:color w:val="auto"/>
              </w:rPr>
            </w:pPr>
          </w:p>
        </w:tc>
        <w:tc>
          <w:tcPr>
            <w:tcW w:w="6600" w:type="dxa"/>
            <w:vAlign w:val="bottom"/>
            <w:gridSpan w:val="3"/>
          </w:tcPr>
          <w:p>
            <w:pPr>
              <w:spacing w:after="0" w:line="159" w:lineRule="exact"/>
              <w:rPr>
                <w:sz w:val="20"/>
                <w:szCs w:val="20"/>
                <w:color w:val="auto"/>
              </w:rPr>
            </w:pPr>
            <w:r>
              <w:rPr>
                <w:rFonts w:ascii="Times New Roman" w:cs="Times New Roman" w:eastAsia="Times New Roman" w:hAnsi="Times New Roman"/>
                <w:sz w:val="16"/>
                <w:szCs w:val="16"/>
                <w:b w:val="1"/>
                <w:bCs w:val="1"/>
                <w:color w:val="0000EE"/>
              </w:rPr>
              <w:t>Chapter 2. Business Corporations, Article 13. Dissenters’ Rights</w:t>
            </w:r>
          </w:p>
        </w:tc>
        <w:tc>
          <w:tcPr>
            <w:tcW w:w="520" w:type="dxa"/>
            <w:vAlign w:val="bottom"/>
            <w:gridSpan w:val="6"/>
          </w:tcPr>
          <w:p>
            <w:pPr>
              <w:jc w:val="right"/>
              <w:spacing w:after="0" w:line="159"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16"/>
                <w:szCs w:val="16"/>
                <w:color w:val="0000EE"/>
              </w:rPr>
              <w:t>D-1</w:t>
            </w:r>
            <w:r>
              <w:rPr>
                <w:rFonts w:ascii="Times New Roman" w:cs="Times New Roman" w:eastAsia="Times New Roman" w:hAnsi="Times New Roman"/>
                <w:sz w:val="16"/>
                <w:szCs w:val="16"/>
                <w:b w:val="1"/>
                <w:bCs w:val="1"/>
                <w:color w:val="auto"/>
              </w:rPr>
              <w:t>​</w:t>
            </w:r>
          </w:p>
        </w:tc>
      </w:tr>
      <w:tr>
        <w:trPr>
          <w:trHeight w:val="20"/>
        </w:trPr>
        <w:tc>
          <w:tcPr>
            <w:tcW w:w="16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8"/>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PART II: INFORMATION NOT REQUIRED IN PROSPECTUS</w:t>
            </w:r>
          </w:p>
        </w:tc>
        <w:tc>
          <w:tcPr>
            <w:tcW w:w="2460" w:type="dxa"/>
            <w:vAlign w:val="bottom"/>
            <w:gridSpan w:val="2"/>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II-1</w:t>
            </w:r>
            <w:r>
              <w:rPr>
                <w:rFonts w:ascii="Times New Roman" w:cs="Times New Roman" w:eastAsia="Times New Roman" w:hAnsi="Times New Roman"/>
                <w:sz w:val="16"/>
                <w:szCs w:val="16"/>
                <w:b w:val="1"/>
                <w:bCs w:val="1"/>
                <w:color w:val="auto"/>
              </w:rPr>
              <w:t>​</w:t>
            </w:r>
          </w:p>
        </w:tc>
      </w:tr>
      <w:tr>
        <w:trPr>
          <w:trHeight w:val="20"/>
        </w:trPr>
        <w:tc>
          <w:tcPr>
            <w:tcW w:w="160" w:type="dxa"/>
            <w:vAlign w:val="bottom"/>
            <w:shd w:val="clear" w:color="auto" w:fill="0000EE"/>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-400050</wp:posOffset>
            </wp:positionV>
            <wp:extent cx="4599305" cy="272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99305" cy="272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9" w:name="page10"/>
    <w:bookmarkEnd w:id="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QUESTIONS AND ANSWERS ABOUT THE MERGER</w:t>
      </w:r>
    </w:p>
    <w:p>
      <w:pPr>
        <w:spacing w:after="0" w:line="138" w:lineRule="exact"/>
        <w:rPr>
          <w:sz w:val="20"/>
          <w:szCs w:val="20"/>
          <w:color w:val="auto"/>
        </w:rPr>
      </w:pPr>
    </w:p>
    <w:p>
      <w:pPr>
        <w:ind w:left="1100" w:right="899" w:firstLine="318"/>
        <w:spacing w:after="0" w:line="255" w:lineRule="auto"/>
        <w:rPr>
          <w:sz w:val="20"/>
          <w:szCs w:val="20"/>
          <w:color w:val="auto"/>
        </w:rPr>
      </w:pPr>
      <w:r>
        <w:rPr>
          <w:rFonts w:ascii="Times New Roman" w:cs="Times New Roman" w:eastAsia="Times New Roman" w:hAnsi="Times New Roman"/>
          <w:sz w:val="16"/>
          <w:szCs w:val="16"/>
          <w:b w:val="1"/>
          <w:bCs w:val="1"/>
          <w:color w:val="auto"/>
        </w:rPr>
        <w:t>The following are some questions that you may have about the merger and the Peach State special meeting, and brief answers to those questions. We urge you to read carefully the remainder of this proxy statement/prospectus because the information in this section does not provide all of the information that might be important to you with respect to the merger or the Peach State special meeting. Additional important information is also contained in the documents incorporated by reference into this proxy statement/prospectus. See “Where You Can Find More Information.”</w:t>
      </w:r>
    </w:p>
    <w:p>
      <w:pPr>
        <w:spacing w:after="0" w:line="161"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is the merger?</w:t>
      </w:r>
    </w:p>
    <w:p>
      <w:pPr>
        <w:spacing w:after="0" w:line="140" w:lineRule="exact"/>
        <w:rPr>
          <w:sz w:val="20"/>
          <w:szCs w:val="20"/>
          <w:color w:val="auto"/>
        </w:rPr>
      </w:pPr>
    </w:p>
    <w:p>
      <w:pPr>
        <w:ind w:left="1420" w:right="919" w:hanging="317"/>
        <w:spacing w:after="0" w:line="258" w:lineRule="auto"/>
        <w:tabs>
          <w:tab w:leader="none" w:pos="14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 and Peach State have entered into an Agreement and Plan of Merger, dated as of April 20, 2026, which we refer to as the merger agreement. Under the merger agreement, Peach State will merge with and into United, with United continuing as the surviving corporation, in a transaction we refer to as the merger. A copy of the merger agreement is included in this proxy statement/prospectus as Annex A.</w:t>
      </w:r>
    </w:p>
    <w:p>
      <w:pPr>
        <w:spacing w:after="0" w:line="102" w:lineRule="exact"/>
        <w:rPr>
          <w:rFonts w:ascii="Times New Roman" w:cs="Times New Roman" w:eastAsia="Times New Roman" w:hAnsi="Times New Roman"/>
          <w:sz w:val="16"/>
          <w:szCs w:val="16"/>
          <w:color w:val="auto"/>
        </w:rPr>
      </w:pPr>
    </w:p>
    <w:p>
      <w:pPr>
        <w:ind w:left="1420" w:right="1279"/>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following completion of the merger, Peach State Bank &amp; Trust, a wholly-owned subsidiary of Peach State, which we refer to as Peach State Bank, will merge with and into United Community Bank, a wholly-owned subsidiary of United, with United Community Bank as the surviving bank, in a transaction we refer to as the bank merger.</w:t>
      </w:r>
    </w:p>
    <w:p>
      <w:pPr>
        <w:spacing w:after="0" w:line="90" w:lineRule="exact"/>
        <w:rPr>
          <w:rFonts w:ascii="Times New Roman" w:cs="Times New Roman" w:eastAsia="Times New Roman" w:hAnsi="Times New Roman"/>
          <w:sz w:val="16"/>
          <w:szCs w:val="16"/>
          <w:color w:val="auto"/>
        </w:rPr>
      </w:pPr>
    </w:p>
    <w:p>
      <w:pPr>
        <w:ind w:left="1420" w:right="919"/>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terms and subject to the conditions set forth in the merger agreement, at the effective time of the merger (referred as the effective time), each outstanding share of Peach State common stock (except for treasury stock or shares owned by Peach State or United, in each case, other than in a fiduciary or agency capacity or as a result of debts previously contracted, and shares held by shareholders who properly exercise appraisal rights) will be converted into the right to receive, at such shareholder’s election and subject to proration, (i) $31.75 in cash (subject to applicable withholding tax), without interest (referred to as the cash consideration), or (ii) 0.8978 shares of common stock, par value $1.00 per share, which we referred to as the exchange ratio, of United (referred to as the stock consideration and together with the cash consideration, the merger consideration). No fractional shares of United common stock will be issued in the merger, and holders of Peach State common stock will be entitled to receive cash in lieu of fractional shares.</w:t>
      </w:r>
    </w:p>
    <w:p>
      <w:pPr>
        <w:spacing w:after="0" w:line="111" w:lineRule="exact"/>
        <w:rPr>
          <w:rFonts w:ascii="Times New Roman" w:cs="Times New Roman" w:eastAsia="Times New Roman" w:hAnsi="Times New Roman"/>
          <w:sz w:val="16"/>
          <w:szCs w:val="16"/>
          <w:color w:val="auto"/>
        </w:rPr>
      </w:pPr>
    </w:p>
    <w:p>
      <w:pPr>
        <w:ind w:left="1420" w:right="999"/>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Additionally, 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w:t>
      </w:r>
    </w:p>
    <w:p>
      <w:pPr>
        <w:spacing w:after="0" w:line="104" w:lineRule="exact"/>
        <w:rPr>
          <w:sz w:val="20"/>
          <w:szCs w:val="20"/>
          <w:color w:val="auto"/>
        </w:rPr>
      </w:pPr>
    </w:p>
    <w:p>
      <w:pPr>
        <w:ind w:left="1420" w:right="959"/>
        <w:spacing w:after="0" w:line="252" w:lineRule="auto"/>
        <w:rPr>
          <w:sz w:val="20"/>
          <w:szCs w:val="20"/>
          <w:color w:val="auto"/>
        </w:rPr>
      </w:pPr>
      <w:r>
        <w:rPr>
          <w:rFonts w:ascii="Times New Roman" w:cs="Times New Roman" w:eastAsia="Times New Roman" w:hAnsi="Times New Roman"/>
          <w:sz w:val="16"/>
          <w:szCs w:val="16"/>
          <w:color w:val="auto"/>
        </w:rPr>
        <w:t>The merger consideration is subject to proration so that 50% of Peach State common stock issued and outstanding immediately prior to the effective time will be converted into cash consideration and 50% of Peach State common stock will be converted into stock consideration. You may elect to receive either the stock consideration or the cash consideration. However, the ability to receive the merger consideration of your choice will depend on the election of other Peach State shareholders. The proration of the merger consideration payable to Peach State shareholders in the merger will not be known until the results of the elections made by Peach State shareholders have been tallied. Holders of Peach State common stock who do not make an election will be treated as having elected to receive cash consideration or stock consideration in accordance with the proration methodology in the merger agreement.</w:t>
      </w:r>
    </w:p>
    <w:p>
      <w:pPr>
        <w:spacing w:after="0" w:line="28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Based on the exchange ratio of 0.8978, and on the closing stock price of United common stock of</w:t>
      </w:r>
    </w:p>
    <w:p>
      <w:pPr>
        <w:spacing w:after="0" w:line="24" w:lineRule="exact"/>
        <w:rPr>
          <w:sz w:val="20"/>
          <w:szCs w:val="20"/>
          <w:color w:val="auto"/>
        </w:rPr>
      </w:pPr>
    </w:p>
    <w:p>
      <w:pPr>
        <w:jc w:val="both"/>
        <w:ind w:left="1420" w:right="1139"/>
        <w:spacing w:after="0" w:line="252" w:lineRule="auto"/>
        <w:rPr>
          <w:sz w:val="20"/>
          <w:szCs w:val="20"/>
          <w:color w:val="auto"/>
        </w:rPr>
      </w:pPr>
      <w:r>
        <w:rPr>
          <w:rFonts w:ascii="Times New Roman" w:cs="Times New Roman" w:eastAsia="Times New Roman" w:hAnsi="Times New Roman"/>
          <w:sz w:val="16"/>
          <w:szCs w:val="16"/>
          <w:color w:val="auto"/>
        </w:rPr>
        <w:t>$33.34 as of June 5, 2026, the latest practicable trading day before the date of this proxy statement/​ prospectus, the value of the per share stock consideration payable to holders of Peach State common stock was approximately $29.93 as of such date.</w:t>
      </w:r>
    </w:p>
    <w:p>
      <w:pPr>
        <w:spacing w:after="0" w:line="3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99"/>
        <w:spacing w:after="0" w:line="248" w:lineRule="auto"/>
        <w:rPr>
          <w:sz w:val="20"/>
          <w:szCs w:val="20"/>
          <w:color w:val="auto"/>
        </w:rPr>
      </w:pPr>
      <w:r>
        <w:rPr>
          <w:rFonts w:ascii="Times New Roman" w:cs="Times New Roman" w:eastAsia="Times New Roman" w:hAnsi="Times New Roman"/>
          <w:sz w:val="16"/>
          <w:szCs w:val="16"/>
          <w:color w:val="auto"/>
        </w:rPr>
        <w:t>As a result of the foregoing, based on the number of shares of United common stock and Peach State common stock outstanding as of April 20, 2026, the date of the merger agreement, it is expected that Peach State shareholders will hold approximately 1% of the shares of the combined company outstanding immediately after the effective time of the merger, which we refer to as the effective time.</w:t>
      </w:r>
    </w:p>
    <w:p>
      <w:pPr>
        <w:spacing w:after="0" w:line="97" w:lineRule="exact"/>
        <w:rPr>
          <w:sz w:val="20"/>
          <w:szCs w:val="20"/>
          <w:color w:val="auto"/>
        </w:rPr>
      </w:pPr>
    </w:p>
    <w:p>
      <w:pPr>
        <w:ind w:left="1420" w:right="1179"/>
        <w:spacing w:after="0" w:line="279" w:lineRule="auto"/>
        <w:rPr>
          <w:sz w:val="20"/>
          <w:szCs w:val="20"/>
          <w:color w:val="auto"/>
        </w:rPr>
      </w:pPr>
      <w:r>
        <w:rPr>
          <w:rFonts w:ascii="Times New Roman" w:cs="Times New Roman" w:eastAsia="Times New Roman" w:hAnsi="Times New Roman"/>
          <w:sz w:val="16"/>
          <w:szCs w:val="16"/>
          <w:color w:val="auto"/>
        </w:rPr>
        <w:t>The merger will not be completed unless, among other things, Peach State shareholders approve the merger proposal.</w:t>
      </w:r>
    </w:p>
    <w:p>
      <w:pPr>
        <w:spacing w:after="0" w:line="130"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Why am I receiving this proxy statement/prospectus?</w:t>
      </w:r>
    </w:p>
    <w:p>
      <w:pPr>
        <w:spacing w:after="0" w:line="128" w:lineRule="exact"/>
        <w:rPr>
          <w:sz w:val="20"/>
          <w:szCs w:val="20"/>
          <w:color w:val="auto"/>
        </w:rPr>
      </w:pPr>
    </w:p>
    <w:p>
      <w:pPr>
        <w:ind w:left="1420" w:right="1079" w:hanging="317"/>
        <w:spacing w:after="0" w:line="263"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delivering this document to you because it is a proxy statement being used by the Peach State board of directors to solicit proxies of Peach State shareholders in connection with approval and adoption of the merger agreement and related matters.</w:t>
      </w:r>
    </w:p>
    <w:p>
      <w:pPr>
        <w:spacing w:after="0" w:line="97" w:lineRule="exact"/>
        <w:rPr>
          <w:rFonts w:ascii="Times New Roman" w:cs="Times New Roman" w:eastAsia="Times New Roman" w:hAnsi="Times New Roman"/>
          <w:sz w:val="16"/>
          <w:szCs w:val="16"/>
          <w:color w:val="auto"/>
        </w:rPr>
      </w:pPr>
    </w:p>
    <w:p>
      <w:pPr>
        <w:jc w:val="both"/>
        <w:ind w:left="1420" w:right="91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proposal is being included as part of Peach State’s special meeting of its shareholders. This document serves as the proxy statement for the Peach State special meeting and describes the proposals to be presented at the Peach State special meeting.</w:t>
      </w:r>
    </w:p>
    <w:p>
      <w:pPr>
        <w:spacing w:after="0" w:line="78" w:lineRule="exact"/>
        <w:rPr>
          <w:rFonts w:ascii="Times New Roman" w:cs="Times New Roman" w:eastAsia="Times New Roman" w:hAnsi="Times New Roman"/>
          <w:sz w:val="16"/>
          <w:szCs w:val="16"/>
          <w:color w:val="auto"/>
        </w:rPr>
      </w:pPr>
    </w:p>
    <w:p>
      <w:pPr>
        <w:ind w:left="1420" w:right="101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document is also a prospectus that is being delivered to Peach State shareholders because, in connection with the merger, United will be issuing shares of its common stock in exchange for certain shares of Peach State common stock in the merger if the merger is completed.</w:t>
      </w:r>
    </w:p>
    <w:p>
      <w:pPr>
        <w:spacing w:after="0" w:line="90" w:lineRule="exact"/>
        <w:rPr>
          <w:rFonts w:ascii="Times New Roman" w:cs="Times New Roman" w:eastAsia="Times New Roman" w:hAnsi="Times New Roman"/>
          <w:sz w:val="16"/>
          <w:szCs w:val="16"/>
          <w:color w:val="auto"/>
        </w:rPr>
      </w:pPr>
    </w:p>
    <w:p>
      <w:pPr>
        <w:ind w:left="1420" w:right="919"/>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proxy statement/prospectus contains important information about the merger agreement, the merger and the other proposals being voted on at the Peach State special meeting, and important information to consider in connection with an investment in United common stock. You should read it carefully and in its entirety. The enclosed materials allow you to have your shares of Peach State common stock voted by proxy without attending the Peach State special meeting. Your vote is important and we encourage you to submit your proxy as soon as possible, whether or not you intend to attend the Peach State special meeting.</w:t>
      </w:r>
    </w:p>
    <w:p>
      <w:pPr>
        <w:spacing w:after="0" w:line="346"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are Peach State shareholders being asked to vote on at the Peach State special meeting?</w:t>
      </w:r>
    </w:p>
    <w:p>
      <w:pPr>
        <w:spacing w:after="0" w:line="140" w:lineRule="exact"/>
        <w:rPr>
          <w:sz w:val="20"/>
          <w:szCs w:val="20"/>
          <w:color w:val="auto"/>
        </w:rPr>
      </w:pPr>
    </w:p>
    <w:p>
      <w:pPr>
        <w:ind w:left="1420" w:hanging="317"/>
        <w:spacing w:after="0"/>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Peach State is soliciting proxies from its shareholders with respect to the following proposals: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proposal to adopt and approve the merger agreement, which we refer to as the merger proposal; and</w:t>
      </w:r>
    </w:p>
    <w:p>
      <w:pPr>
        <w:spacing w:after="0" w:line="90" w:lineRule="exact"/>
        <w:rPr>
          <w:rFonts w:ascii="Times New Roman" w:cs="Times New Roman" w:eastAsia="Times New Roman" w:hAnsi="Times New Roman"/>
          <w:sz w:val="16"/>
          <w:szCs w:val="16"/>
          <w:color w:val="auto"/>
        </w:rPr>
      </w:pPr>
    </w:p>
    <w:p>
      <w:pPr>
        <w:ind w:left="1580" w:right="979" w:hanging="160"/>
        <w:spacing w:after="0" w:line="263" w:lineRule="auto"/>
        <w:tabs>
          <w:tab w:leader="none" w:pos="158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proposal to adjourn the Peach State special meeting, if necessary or appropriate, for the purpose of soliciting additional proxies in favor of the merger proposal, which we refer to as the adjournment proposal.</w:t>
      </w:r>
    </w:p>
    <w:p>
      <w:pPr>
        <w:spacing w:after="0" w:line="144"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will Peach State shareholders receive in the merger?</w:t>
      </w:r>
    </w:p>
    <w:p>
      <w:pPr>
        <w:spacing w:after="0" w:line="140" w:lineRule="exact"/>
        <w:rPr>
          <w:sz w:val="20"/>
          <w:szCs w:val="20"/>
          <w:color w:val="auto"/>
        </w:rPr>
      </w:pPr>
    </w:p>
    <w:p>
      <w:pPr>
        <w:ind w:left="1420" w:right="939" w:hanging="317"/>
        <w:spacing w:after="0" w:line="253"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terms and subject to the conditions set forth in the merger agreement, at the effective time of the merger, Peach State shareholders will be entitled to receive, such shareholder’s election and subject to proration, for each share of Peach State common stock that such shareholder holds, merger consideration equal to (i) $31.75 in cash (subject to applicable withholding tax), without interest (referred to as the cash consideration), or (ii) 0.8978 shares of common stock (which we refer to as the exchange ratio), par value $1.00 per share, of United common stock (referred to in this proxy statement/​prospectus as the stock consideration and together with the cash consideration, the merger consideration).</w:t>
      </w:r>
    </w:p>
    <w:p>
      <w:pPr>
        <w:spacing w:after="0" w:line="298" w:lineRule="exact"/>
        <w:rPr>
          <w:rFonts w:ascii="Times New Roman" w:cs="Times New Roman" w:eastAsia="Times New Roman" w:hAnsi="Times New Roman"/>
          <w:sz w:val="16"/>
          <w:szCs w:val="16"/>
          <w:color w:val="auto"/>
        </w:rPr>
      </w:pPr>
    </w:p>
    <w:p>
      <w:pPr>
        <w:ind w:left="1420" w:right="899"/>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United will not issue any fractional shares of United common stock in the merger. Peach State shareholders who would otherwise be entitled to a fraction of a share of United common stock upon the completion of the merger will instead receive, for such fraction of a share, an amount in cash (rounded to the nearest cent) equal to the product of (i) the average closing sale price of United common stock on the twenty consecutive full trading days immediately preceding the closing date of the merger as reported on The New York Stock Exchange, or NYSE, </w:t>
      </w:r>
      <w:r>
        <w:rPr>
          <w:rFonts w:ascii="Times New Roman" w:cs="Times New Roman" w:eastAsia="Times New Roman" w:hAnsi="Times New Roman"/>
          <w:sz w:val="16"/>
          <w:szCs w:val="16"/>
          <w:u w:val="single" w:color="auto"/>
          <w:color w:val="auto"/>
        </w:rPr>
        <w:t>multiplied by</w:t>
      </w:r>
      <w:r>
        <w:rPr>
          <w:rFonts w:ascii="Times New Roman" w:cs="Times New Roman" w:eastAsia="Times New Roman" w:hAnsi="Times New Roman"/>
          <w:sz w:val="16"/>
          <w:szCs w:val="16"/>
          <w:color w:val="auto"/>
        </w:rPr>
        <w:t xml:space="preserve"> (ii) the fraction of a share (rounded to the nearest thousandth when expressed in decimal form) of United common stock which such Peach State shareholder would otherwise be entitled to receive pursuant to the merger agreement.</w:t>
      </w: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59"/>
        <w:spacing w:after="0" w:line="241" w:lineRule="auto"/>
        <w:rPr>
          <w:sz w:val="20"/>
          <w:szCs w:val="20"/>
          <w:color w:val="auto"/>
        </w:rPr>
      </w:pPr>
      <w:r>
        <w:rPr>
          <w:rFonts w:ascii="Times New Roman" w:cs="Times New Roman" w:eastAsia="Times New Roman" w:hAnsi="Times New Roman"/>
          <w:sz w:val="16"/>
          <w:szCs w:val="16"/>
          <w:color w:val="auto"/>
        </w:rPr>
        <w:t>The merger consideration is subject to proration so that 50% of Peach State common stock issued and outstanding immediately prior to the effective time will be converted into cash consideration and 50% of Peach State common stock will be converted into stock consideration. You may elect to receive either the stock consideration or the cash consideration. However, the ability to receive the merger consideration of your choice will depend on the election of other Peach State shareholders. The proration of the merger consideration payable to Peach State shareholders in the merger will not be known until the results of the elections made by Peach State shareholders have been tallied. Holders of Peach State common stock who do not make an election will be treated as having elected to receive cash consideration or stock consideration in accordance with the proration methodology in the merger agreement.</w:t>
      </w:r>
    </w:p>
    <w:p>
      <w:pPr>
        <w:spacing w:after="0" w:line="291" w:lineRule="exact"/>
        <w:rPr>
          <w:sz w:val="20"/>
          <w:szCs w:val="20"/>
          <w:color w:val="auto"/>
        </w:rPr>
      </w:pPr>
    </w:p>
    <w:p>
      <w:pPr>
        <w:ind w:left="1420" w:right="1059"/>
        <w:spacing w:after="0" w:line="248" w:lineRule="auto"/>
        <w:rPr>
          <w:sz w:val="20"/>
          <w:szCs w:val="20"/>
          <w:color w:val="auto"/>
        </w:rPr>
      </w:pPr>
      <w:r>
        <w:rPr>
          <w:rFonts w:ascii="Times New Roman" w:cs="Times New Roman" w:eastAsia="Times New Roman" w:hAnsi="Times New Roman"/>
          <w:sz w:val="16"/>
          <w:szCs w:val="16"/>
          <w:color w:val="auto"/>
        </w:rPr>
        <w:t>Based on the exchange ratio, and on the closing stock price of United common stock of $33.34 as of June 5, 2026, the latest practicable trading day before the date of this proxy statement/prospectus, the value of the per share stock consideration payable to holders of Peach State common stock was approximately $29.93 as of such date.</w:t>
      </w:r>
    </w:p>
    <w:p>
      <w:pPr>
        <w:spacing w:after="0" w:line="97" w:lineRule="exact"/>
        <w:rPr>
          <w:sz w:val="20"/>
          <w:szCs w:val="20"/>
          <w:color w:val="auto"/>
        </w:rPr>
      </w:pPr>
    </w:p>
    <w:p>
      <w:pPr>
        <w:jc w:val="both"/>
        <w:ind w:left="1420" w:right="1439"/>
        <w:spacing w:after="0" w:line="256" w:lineRule="auto"/>
        <w:rPr>
          <w:sz w:val="20"/>
          <w:szCs w:val="20"/>
          <w:color w:val="auto"/>
        </w:rPr>
      </w:pPr>
      <w:r>
        <w:rPr>
          <w:rFonts w:ascii="Times New Roman" w:cs="Times New Roman" w:eastAsia="Times New Roman" w:hAnsi="Times New Roman"/>
          <w:sz w:val="16"/>
          <w:szCs w:val="16"/>
          <w:color w:val="auto"/>
        </w:rPr>
        <w:t xml:space="preserve">The trading price of United common stock will continue to fluctuate until the date the merger is consummated. For further information, see “The Merger — Terms of the Merger” beginning on page </w:t>
      </w:r>
      <w:r>
        <w:rPr>
          <w:rFonts w:ascii="Times New Roman" w:cs="Times New Roman" w:eastAsia="Times New Roman" w:hAnsi="Times New Roman"/>
          <w:sz w:val="16"/>
          <w:szCs w:val="16"/>
          <w:u w:val="single" w:color="auto"/>
          <w:color w:val="0000EE"/>
        </w:rPr>
        <w:t>35</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420" w:right="919"/>
        <w:spacing w:after="0" w:line="248" w:lineRule="auto"/>
        <w:rPr>
          <w:sz w:val="20"/>
          <w:szCs w:val="20"/>
          <w:color w:val="auto"/>
        </w:rPr>
      </w:pPr>
      <w:r>
        <w:rPr>
          <w:rFonts w:ascii="Times New Roman" w:cs="Times New Roman" w:eastAsia="Times New Roman" w:hAnsi="Times New Roman"/>
          <w:sz w:val="16"/>
          <w:szCs w:val="16"/>
          <w:color w:val="auto"/>
        </w:rPr>
        <w:t xml:space="preserve">It is intended that the merger qualify as a “reorganization” within the meaning of Section 368(a) of the Internal Revenue Code of 1986, as amended, which we refer to as the Code, as described below. For further information, see “Material U.S. Federal Income Tax Consequences of the Merger” beginning on page </w:t>
      </w:r>
      <w:r>
        <w:rPr>
          <w:rFonts w:ascii="Times New Roman" w:cs="Times New Roman" w:eastAsia="Times New Roman" w:hAnsi="Times New Roman"/>
          <w:sz w:val="16"/>
          <w:szCs w:val="16"/>
          <w:u w:val="single" w:color="auto"/>
          <w:color w:val="0000EE"/>
        </w:rPr>
        <w:t>78</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1420" w:right="1079" w:hanging="317"/>
        <w:spacing w:after="0" w:line="281" w:lineRule="auto"/>
        <w:tabs>
          <w:tab w:leader="none" w:pos="142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Will the value of the stock consideration change between the date of this proxy statement/prospectus and the time the merger is completed?</w:t>
      </w:r>
    </w:p>
    <w:p>
      <w:pPr>
        <w:spacing w:after="0" w:line="83" w:lineRule="exact"/>
        <w:rPr>
          <w:sz w:val="20"/>
          <w:szCs w:val="20"/>
          <w:color w:val="auto"/>
        </w:rPr>
      </w:pPr>
    </w:p>
    <w:p>
      <w:pPr>
        <w:ind w:left="1420" w:right="1059" w:hanging="317"/>
        <w:spacing w:after="0" w:line="256"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Although the exchange ratio is fixed, the value of the stock consideration will fluctuate between the date of this proxy statement/prospectus and the completion of the merger based upon the market value of United common stock. Any fluctuation in the market price of United common stock after the date of this proxy statement/prospectus will change the value of the shares of United common stock that Peach State shareholders will receive.</w:t>
      </w:r>
    </w:p>
    <w:p>
      <w:pPr>
        <w:spacing w:after="0" w:line="90" w:lineRule="exact"/>
        <w:rPr>
          <w:rFonts w:ascii="Times New Roman" w:cs="Times New Roman" w:eastAsia="Times New Roman" w:hAnsi="Times New Roman"/>
          <w:sz w:val="16"/>
          <w:szCs w:val="16"/>
          <w:color w:val="auto"/>
        </w:rPr>
      </w:pPr>
    </w:p>
    <w:p>
      <w:pPr>
        <w:ind w:left="1420" w:right="899"/>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price per share of United common stock on NYSE as of April 20, 2026, the last trading day before the date of public announcement of the merger, and the exchange ratio of 0.8978, the value of the per share stock consideration payable to holders of Peach State common stock was approximately $30.80 per share as of such date. Based on the exchange ratio of 0.8978, and on the closing stock price of United common stock of $33.34 as of June 5, 2026, the latest practicable trading day before the date of this proxy statement/prospectus, the value of the per share merger consideration payable to holders of Peach State common stock was approximately $29.93 as of such date. We urge you to obtain current market quotations for United (currently traded on The New York Stock Exchange under the trading symbol “UCB”). Peach State’s common stock is not listed or quoted on any exchange.</w:t>
      </w:r>
    </w:p>
    <w:p>
      <w:pPr>
        <w:spacing w:after="0" w:line="165"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Does United pay regular dividends on its shares of common stock?</w:t>
      </w:r>
    </w:p>
    <w:p>
      <w:pPr>
        <w:spacing w:after="0" w:line="140" w:lineRule="exact"/>
        <w:rPr>
          <w:sz w:val="20"/>
          <w:szCs w:val="20"/>
          <w:color w:val="auto"/>
        </w:rPr>
      </w:pPr>
    </w:p>
    <w:p>
      <w:pPr>
        <w:ind w:left="1420" w:right="999" w:hanging="317"/>
        <w:spacing w:after="0" w:line="253"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Yes, United pays quarterly cash dividends on its shares of common stock. During 2025, 2024, and 2023, United Community Bank paid dividends to United of $356 million, $153 million and $198 million, respectively. United declared quarterly cash dividends on its common stock in 2025, 2024, and 2023 totaling $0.98, $0.94 and $0.92 per share, respectively. The amount of quarterly cash dividends paid on shares of United common stock is subject to change based on the quarterly dividend amounts approved by the United board of directors. </w:t>
      </w:r>
      <w:r>
        <w:rPr>
          <w:rFonts w:ascii="Times New Roman" w:cs="Times New Roman" w:eastAsia="Times New Roman" w:hAnsi="Times New Roman"/>
          <w:sz w:val="16"/>
          <w:szCs w:val="16"/>
          <w:b w:val="1"/>
          <w:bCs w:val="1"/>
          <w:color w:val="auto"/>
        </w:rPr>
        <w:t>For illustrative purposes only</w:t>
      </w:r>
      <w:r>
        <w:rPr>
          <w:rFonts w:ascii="Times New Roman" w:cs="Times New Roman" w:eastAsia="Times New Roman" w:hAnsi="Times New Roman"/>
          <w:sz w:val="16"/>
          <w:szCs w:val="16"/>
          <w:color w:val="auto"/>
        </w:rPr>
        <w:t>, a holder of 0.8978 shares of United common stock would have received approximately $0.88 in dividend payments in 2025.</w:t>
      </w:r>
    </w:p>
    <w:p>
      <w:pPr>
        <w:spacing w:after="0" w:line="356"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are the U.S. federal income tax consequences of the merger to Peach State shareholders?</w:t>
      </w:r>
    </w:p>
    <w:p>
      <w:pPr>
        <w:spacing w:after="0" w:line="140" w:lineRule="exact"/>
        <w:rPr>
          <w:sz w:val="20"/>
          <w:szCs w:val="20"/>
          <w:color w:val="auto"/>
        </w:rPr>
      </w:pPr>
    </w:p>
    <w:p>
      <w:pPr>
        <w:ind w:left="1420" w:right="979" w:hanging="317"/>
        <w:spacing w:after="0" w:line="263"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intended that the merger qualify as a “reorganization” within the meaning of Section 368(a) of the Code. It is a condition to the respective obligations of Peach State and United to complete the merger that each of Peach State and United receives a written opinion from its respective tax counsel</w:t>
      </w:r>
    </w:p>
    <w:p>
      <w:pPr>
        <w:spacing w:after="0" w:line="3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59"/>
        <w:spacing w:after="0" w:line="248" w:lineRule="auto"/>
        <w:rPr>
          <w:sz w:val="20"/>
          <w:szCs w:val="20"/>
          <w:color w:val="auto"/>
        </w:rPr>
      </w:pPr>
      <w:r>
        <w:rPr>
          <w:rFonts w:ascii="Times New Roman" w:cs="Times New Roman" w:eastAsia="Times New Roman" w:hAnsi="Times New Roman"/>
          <w:sz w:val="16"/>
          <w:szCs w:val="16"/>
          <w:color w:val="auto"/>
        </w:rPr>
        <w:t>to the effect that the merger will qualify as a “reorganization” within the meaning of Section 368(a) of the Code. If the merger so qualifies, the U.S. federal income tax consequences to Peach State shareholders who are U.S. holders (as defined under “Material U.S. Federal Income Tax Consequences of the Merger”) and receive stock consideration and/or cash consideration in exchange for their shares of Peach State common stock pursuant to the merger agreement generally will be as follows:</w:t>
      </w:r>
    </w:p>
    <w:p>
      <w:pPr>
        <w:spacing w:after="0" w:line="62" w:lineRule="exact"/>
        <w:rPr>
          <w:sz w:val="20"/>
          <w:szCs w:val="20"/>
          <w:color w:val="auto"/>
        </w:rPr>
      </w:pPr>
    </w:p>
    <w:p>
      <w:pPr>
        <w:ind w:left="1580" w:right="999" w:hanging="160"/>
        <w:spacing w:after="0" w:line="258" w:lineRule="auto"/>
        <w:tabs>
          <w:tab w:leader="none" w:pos="1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Peach State shareholder receives solely cash consideration in exchange for such shareholder’s shares of Peach State common stock, such shareholder generally will recognize gain or loss equal to the difference between the amount of cash consideration received and the shareholder’s adjusted tax basis in the shares of Peach State common stock surrendered;</w:t>
      </w:r>
    </w:p>
    <w:p>
      <w:pPr>
        <w:spacing w:after="0" w:line="66" w:lineRule="exact"/>
        <w:rPr>
          <w:rFonts w:ascii="Times New Roman" w:cs="Times New Roman" w:eastAsia="Times New Roman" w:hAnsi="Times New Roman"/>
          <w:sz w:val="16"/>
          <w:szCs w:val="16"/>
          <w:color w:val="auto"/>
        </w:rPr>
      </w:pPr>
    </w:p>
    <w:p>
      <w:pPr>
        <w:ind w:left="1580" w:right="979" w:hanging="160"/>
        <w:spacing w:after="0" w:line="263" w:lineRule="auto"/>
        <w:tabs>
          <w:tab w:leader="none" w:pos="1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Peach State shareholder receives solely stock consideration in exchange for such shareholder’s shares of Peach State common stock, such shareholder generally will not recognize any gain or loss, except in respect of cash in lieu of a fractional share of United common stock; and</w:t>
      </w:r>
    </w:p>
    <w:p>
      <w:pPr>
        <w:spacing w:after="0" w:line="62" w:lineRule="exact"/>
        <w:rPr>
          <w:rFonts w:ascii="Times New Roman" w:cs="Times New Roman" w:eastAsia="Times New Roman" w:hAnsi="Times New Roman"/>
          <w:sz w:val="16"/>
          <w:szCs w:val="16"/>
          <w:color w:val="auto"/>
        </w:rPr>
      </w:pPr>
    </w:p>
    <w:p>
      <w:pPr>
        <w:ind w:left="1580" w:right="1079" w:hanging="160"/>
        <w:spacing w:after="0" w:line="254" w:lineRule="auto"/>
        <w:tabs>
          <w:tab w:leader="none" w:pos="1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Peach State shareholder receives a combination of stock consideration and cash consideration (other than cash in lieu of a fractional share of United common stock) pursuant to the merger, such shareholder generally will recognize gain (but not loss) in an amount equal to the lesser of (1) the sum of the amount of cash consideration and the fair market value of the stock consideration received, minus such shareholder’s adjusted tax basis in its shares of Peach State common stock surrendered and (2) the amount of cash consideration received.</w:t>
      </w:r>
    </w:p>
    <w:p>
      <w:pPr>
        <w:spacing w:after="0" w:line="94" w:lineRule="exact"/>
        <w:rPr>
          <w:rFonts w:ascii="Times New Roman" w:cs="Times New Roman" w:eastAsia="Times New Roman" w:hAnsi="Times New Roman"/>
          <w:sz w:val="16"/>
          <w:szCs w:val="16"/>
          <w:color w:val="auto"/>
        </w:rPr>
      </w:pPr>
    </w:p>
    <w:p>
      <w:pPr>
        <w:ind w:left="1580" w:right="1399"/>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further information, see “Material U.S. Federal Income Tax Consequences of the Merger” beginning on page </w:t>
      </w:r>
      <w:r>
        <w:rPr>
          <w:rFonts w:ascii="Times New Roman" w:cs="Times New Roman" w:eastAsia="Times New Roman" w:hAnsi="Times New Roman"/>
          <w:sz w:val="16"/>
          <w:szCs w:val="16"/>
          <w:u w:val="single" w:color="auto"/>
          <w:color w:val="0000EE"/>
        </w:rPr>
        <w:t>78</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ind w:left="1420" w:right="979"/>
        <w:spacing w:after="0" w:line="243" w:lineRule="auto"/>
        <w:rPr>
          <w:sz w:val="20"/>
          <w:szCs w:val="20"/>
          <w:color w:val="auto"/>
        </w:rPr>
      </w:pPr>
      <w:r>
        <w:rPr>
          <w:rFonts w:ascii="Times New Roman" w:cs="Times New Roman" w:eastAsia="Times New Roman" w:hAnsi="Times New Roman"/>
          <w:sz w:val="16"/>
          <w:szCs w:val="16"/>
          <w:color w:val="auto"/>
        </w:rPr>
        <w:t>The U.S. federal income tax consequences described above may not apply to all holders of Peach State common stock. The tax consequences to a holder of Peach State common stock will depend on his or her individual situation. Accordingly, Peach State shareholders should consult their own tax advisors for a full understanding of the particular tax consequences of the merger to them.</w:t>
      </w:r>
    </w:p>
    <w:p>
      <w:pPr>
        <w:spacing w:after="0" w:line="170" w:lineRule="exact"/>
        <w:rPr>
          <w:sz w:val="20"/>
          <w:szCs w:val="20"/>
          <w:color w:val="auto"/>
        </w:rPr>
      </w:pPr>
    </w:p>
    <w:p>
      <w:pPr>
        <w:ind w:left="1420" w:right="979" w:hanging="317"/>
        <w:spacing w:after="0" w:line="281" w:lineRule="auto"/>
        <w:tabs>
          <w:tab w:leader="none" w:pos="142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will Peach State shareholders make their election to receive either the cash consideration or the stock consideration in the merger?</w:t>
      </w:r>
    </w:p>
    <w:p>
      <w:pPr>
        <w:spacing w:after="0" w:line="71" w:lineRule="exact"/>
        <w:rPr>
          <w:sz w:val="20"/>
          <w:szCs w:val="20"/>
          <w:color w:val="auto"/>
        </w:rPr>
      </w:pPr>
    </w:p>
    <w:p>
      <w:pPr>
        <w:ind w:left="1420" w:right="919" w:hanging="317"/>
        <w:spacing w:after="0" w:line="252" w:lineRule="auto"/>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election form will be mailed to each holder of record of Peach State common stock as of the business day immediately preceding the mailing. The mailing will occur at least 20 business days prior to the anticipated election deadline, which is expected to be 5:00 p.m. local time (in the city in which the principal office of the exchange agent is located) on the last business day prior to the Peach State special meeting. Peach State will also make an election form available to each Peach State shareholder who requests such form before the election deadline. Each Peach State shareholder should complete and return the election form, along with Peach State stock certificate(s) (or a properly completed notice of guaranteed delivery, as set forth in the election form), according to the instructions included with the form. The election form will be provided to Peach State shareholders under separate cover and is not being provided with this document.</w:t>
      </w:r>
    </w:p>
    <w:p>
      <w:pPr>
        <w:spacing w:after="0" w:line="105" w:lineRule="exact"/>
        <w:rPr>
          <w:rFonts w:ascii="Times New Roman" w:cs="Times New Roman" w:eastAsia="Times New Roman" w:hAnsi="Times New Roman"/>
          <w:sz w:val="16"/>
          <w:szCs w:val="16"/>
          <w:color w:val="auto"/>
        </w:rPr>
      </w:pPr>
    </w:p>
    <w:p>
      <w:pPr>
        <w:ind w:left="1420" w:right="125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do not send in the election form with your stock certificate(s) by the election deadline, your shares will be treated as non-election shares and you will receive cash consideration and/or stock consideration determined in accordance with the proration provisions of the merger agreement.</w:t>
      </w:r>
    </w:p>
    <w:p>
      <w:pPr>
        <w:spacing w:after="0" w:line="148" w:lineRule="exact"/>
        <w:rPr>
          <w:sz w:val="20"/>
          <w:szCs w:val="20"/>
          <w:color w:val="auto"/>
        </w:rPr>
      </w:pPr>
    </w:p>
    <w:p>
      <w:pPr>
        <w:ind w:left="1420" w:right="1439" w:hanging="317"/>
        <w:spacing w:after="0" w:line="281" w:lineRule="auto"/>
        <w:tabs>
          <w:tab w:leader="none" w:pos="142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happens if a Peach State shareholder does not make a valid election to receive either the cash consideration or the stock consideration?</w:t>
      </w:r>
    </w:p>
    <w:p>
      <w:pPr>
        <w:spacing w:after="0" w:line="71" w:lineRule="exact"/>
        <w:rPr>
          <w:sz w:val="20"/>
          <w:szCs w:val="20"/>
          <w:color w:val="auto"/>
        </w:rPr>
      </w:pPr>
    </w:p>
    <w:p>
      <w:pPr>
        <w:ind w:left="1420" w:right="899" w:hanging="317"/>
        <w:spacing w:after="0" w:line="253" w:lineRule="auto"/>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Peach State shareholder does not return a properly completed election form by the election deadline specified in the election form, such shareholder’s shares of Peach State common stock will be considered “non-election” shares and will be converted into the right to receive the stock consideration or the cash consideration according to the allocation procedures specified in the merger agreement. Generally, in the event one form of merger consideration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cash or shares of United common stock) is undersubscribed, shares of Peach State common stock for which no election was validly made will be allocated to that form of merger consideration before shares of Peach State common stock electing the oversubscribed form of merger consideration will be allocated to the undersubscribed form of merger</w:t>
      </w:r>
    </w:p>
    <w:p>
      <w:pPr>
        <w:spacing w:after="0" w:line="3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39"/>
        <w:spacing w:after="0" w:line="256" w:lineRule="auto"/>
        <w:rPr>
          <w:sz w:val="20"/>
          <w:szCs w:val="20"/>
          <w:color w:val="auto"/>
        </w:rPr>
      </w:pPr>
      <w:r>
        <w:rPr>
          <w:rFonts w:ascii="Times New Roman" w:cs="Times New Roman" w:eastAsia="Times New Roman" w:hAnsi="Times New Roman"/>
          <w:sz w:val="16"/>
          <w:szCs w:val="16"/>
          <w:color w:val="auto"/>
        </w:rPr>
        <w:t>consideration pursuant to the proration and adjustment procedures. Accordingly, although electing one form of merger consideration will not guarantee you will receive that form of merger consideration for all of your shares of Peach State common stock, in the event proration is necessary, electing shares will be allocated the undersubscribed form of consideration only after such consideration is allocated to “non-election” shares.</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Q: What will happen to my stock options in the merger?</w:t>
      </w:r>
    </w:p>
    <w:p>
      <w:pPr>
        <w:spacing w:after="0" w:line="140" w:lineRule="exact"/>
        <w:rPr>
          <w:sz w:val="20"/>
          <w:szCs w:val="20"/>
          <w:color w:val="auto"/>
        </w:rPr>
      </w:pPr>
    </w:p>
    <w:p>
      <w:pPr>
        <w:ind w:left="1420" w:right="959" w:hanging="317"/>
        <w:spacing w:after="0" w:line="253"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Q: How will I receive the merger consideration to which I am entitled?</w:t>
      </w:r>
    </w:p>
    <w:p>
      <w:pPr>
        <w:spacing w:after="0" w:line="140" w:lineRule="exact"/>
        <w:rPr>
          <w:sz w:val="20"/>
          <w:szCs w:val="20"/>
          <w:color w:val="auto"/>
        </w:rPr>
      </w:pPr>
    </w:p>
    <w:p>
      <w:pPr>
        <w:ind w:left="1420" w:right="919" w:hanging="317"/>
        <w:spacing w:after="0" w:line="253"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receiving the proper documentation from you, following completion of the merger, the exchange agent for the merger (referred to in this proxy statement/prospectus as the exchange agent) will forward to you the stock consideration and/or cash consideration to which you are entitled. Following the effective time, you will be mailed a letter of transmittal and instructions for surrendering your Peach State stock certificate(s) in exchange for the merger consideration. More information on the documentation you are required to deliver to the exchange agent may be found in the section titled “The Merger Agreement — Exchange and Payment Procedures” beginning on page </w:t>
      </w:r>
      <w:r>
        <w:rPr>
          <w:rFonts w:ascii="Times New Roman" w:cs="Times New Roman" w:eastAsia="Times New Roman" w:hAnsi="Times New Roman"/>
          <w:sz w:val="16"/>
          <w:szCs w:val="16"/>
          <w:u w:val="single" w:color="auto"/>
          <w:color w:val="0000EE"/>
        </w:rPr>
        <w:t>63</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center"/>
        <w:ind w:right="59"/>
        <w:spacing w:after="0"/>
        <w:tabs>
          <w:tab w:leader="none" w:pos="12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How does the Peach State board of directors recommend that I vote at the Peach State special meeting?</w:t>
      </w:r>
    </w:p>
    <w:p>
      <w:pPr>
        <w:spacing w:after="0" w:line="126" w:lineRule="exact"/>
        <w:rPr>
          <w:sz w:val="20"/>
          <w:szCs w:val="20"/>
          <w:color w:val="auto"/>
        </w:rPr>
      </w:pPr>
    </w:p>
    <w:p>
      <w:pPr>
        <w:ind w:left="1420" w:right="939" w:hanging="317"/>
        <w:spacing w:after="0" w:line="281" w:lineRule="auto"/>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Peach State board of directors unanimously recommends that you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merger proposal and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adjournment proposal.</w:t>
      </w:r>
    </w:p>
    <w:p>
      <w:pPr>
        <w:spacing w:after="0" w:line="141"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When and where is the Peach State special meeting?</w:t>
      </w:r>
    </w:p>
    <w:p>
      <w:pPr>
        <w:spacing w:after="0" w:line="140" w:lineRule="exact"/>
        <w:rPr>
          <w:sz w:val="20"/>
          <w:szCs w:val="20"/>
          <w:color w:val="auto"/>
        </w:rPr>
      </w:pPr>
    </w:p>
    <w:p>
      <w:pPr>
        <w:ind w:left="1420" w:right="1619" w:hanging="317"/>
        <w:spacing w:after="0" w:line="279"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Peach State special meeting will be held on July 21, 2026, at 4:00 P.M., Eastern Time, at Peach State’s main office, located at 121 E.E. Butler Parkway, Gainesville, Georgia 30501.</w:t>
      </w:r>
    </w:p>
    <w:p>
      <w:pPr>
        <w:spacing w:after="0" w:line="142"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do I need to do now?</w:t>
      </w:r>
    </w:p>
    <w:p>
      <w:pPr>
        <w:spacing w:after="0" w:line="140" w:lineRule="exact"/>
        <w:rPr>
          <w:sz w:val="20"/>
          <w:szCs w:val="20"/>
          <w:color w:val="auto"/>
        </w:rPr>
      </w:pPr>
    </w:p>
    <w:p>
      <w:pPr>
        <w:ind w:left="1420" w:right="959" w:hanging="317"/>
        <w:spacing w:after="0" w:line="253" w:lineRule="auto"/>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you have carefully read this proxy statement/prospectus and have decided how you wish to vote your shares of Peach State common stock, please vote your shares promptly so that your shares are represented and voted at the Peach State special meeting. If you hold your shares in your name as a stockholder of record, you must complete, sign, date and mail your proxy card in the enclosed postage-paid return envelope as soon as possible. If you hold your shares in “street name” through a bank, broker or other nominee, you must direct your bank, broker or other nominee how to vote in accordance with the voting instruction card.</w:t>
      </w:r>
    </w:p>
    <w:p>
      <w:pPr>
        <w:spacing w:after="0" w:line="165"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constitutes a quorum for the Peach State special meeting?</w:t>
      </w:r>
    </w:p>
    <w:p>
      <w:pPr>
        <w:spacing w:after="0" w:line="128" w:lineRule="exact"/>
        <w:rPr>
          <w:sz w:val="20"/>
          <w:szCs w:val="20"/>
          <w:color w:val="auto"/>
        </w:rPr>
      </w:pPr>
    </w:p>
    <w:p>
      <w:pPr>
        <w:ind w:left="1420" w:right="919" w:hanging="317"/>
        <w:spacing w:after="0" w:line="258"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presence at the Peach State special meeting, in person or by proxy, of a majority of the outstanding shares of Peach State common stock that are entitled to vote shall constitute a quorum for the transaction of business. Abstentions will be included in determining the number of shares present at the meeting for the purpose of determining the presence of a quorum.</w:t>
      </w:r>
    </w:p>
    <w:p>
      <w:pPr>
        <w:spacing w:after="0" w:line="200" w:lineRule="exact"/>
        <w:rPr>
          <w:sz w:val="20"/>
          <w:szCs w:val="20"/>
          <w:color w:val="auto"/>
        </w:rPr>
      </w:pPr>
    </w:p>
    <w:p>
      <w:pPr>
        <w:spacing w:after="0" w:line="29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is the vote required to approve each proposal at the Peach State special meeting?</w:t>
      </w:r>
    </w:p>
    <w:p>
      <w:pPr>
        <w:spacing w:after="0" w:line="138" w:lineRule="exact"/>
        <w:rPr>
          <w:sz w:val="20"/>
          <w:szCs w:val="20"/>
          <w:color w:val="auto"/>
        </w:rPr>
      </w:pPr>
    </w:p>
    <w:p>
      <w:pPr>
        <w:ind w:left="1420" w:hanging="317"/>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Merger proposal</w:t>
      </w:r>
    </w:p>
    <w:p>
      <w:pPr>
        <w:spacing w:after="0" w:line="92" w:lineRule="exact"/>
        <w:rPr>
          <w:rFonts w:ascii="Times New Roman" w:cs="Times New Roman" w:eastAsia="Times New Roman" w:hAnsi="Times New Roman"/>
          <w:sz w:val="16"/>
          <w:szCs w:val="16"/>
          <w:color w:val="auto"/>
        </w:rPr>
      </w:pPr>
    </w:p>
    <w:p>
      <w:pPr>
        <w:ind w:left="1580" w:right="1079" w:hanging="160"/>
        <w:spacing w:after="0" w:line="279" w:lineRule="auto"/>
        <w:tabs>
          <w:tab w:leader="none" w:pos="158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Standard: Approval of the merger proposal requires the affirmative vote of holders of a majority of the outstanding shares of Peach State common stock entitled to vote thereon.</w:t>
      </w:r>
    </w:p>
    <w:p>
      <w:pPr>
        <w:spacing w:after="0" w:line="34" w:lineRule="exact"/>
        <w:rPr>
          <w:rFonts w:ascii="Times New Roman" w:cs="Times New Roman" w:eastAsia="Times New Roman" w:hAnsi="Times New Roman"/>
          <w:sz w:val="16"/>
          <w:szCs w:val="16"/>
          <w:color w:val="auto"/>
        </w:rPr>
      </w:pPr>
    </w:p>
    <w:p>
      <w:pPr>
        <w:jc w:val="both"/>
        <w:ind w:left="1580" w:right="899" w:hanging="160"/>
        <w:spacing w:after="0" w:line="265" w:lineRule="auto"/>
        <w:tabs>
          <w:tab w:leader="none" w:pos="158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 of abstentions and broker non-votes: If you fail to vote, mark “</w:t>
      </w:r>
      <w:r>
        <w:rPr>
          <w:rFonts w:ascii="Times New Roman" w:cs="Times New Roman" w:eastAsia="Times New Roman" w:hAnsi="Times New Roman"/>
          <w:sz w:val="16"/>
          <w:szCs w:val="16"/>
          <w:b w:val="1"/>
          <w:bCs w:val="1"/>
          <w:color w:val="auto"/>
        </w:rPr>
        <w:t>ABSTAIN</w:t>
      </w:r>
      <w:r>
        <w:rPr>
          <w:rFonts w:ascii="Times New Roman" w:cs="Times New Roman" w:eastAsia="Times New Roman" w:hAnsi="Times New Roman"/>
          <w:sz w:val="16"/>
          <w:szCs w:val="16"/>
          <w:color w:val="auto"/>
        </w:rPr>
        <w:t>” on your proxy card, or fail to instruct your bank, broker or other nominee with respect to the merger proposal, it will have the same effect as a vote “</w:t>
      </w:r>
      <w:r>
        <w:rPr>
          <w:rFonts w:ascii="Times New Roman" w:cs="Times New Roman" w:eastAsia="Times New Roman" w:hAnsi="Times New Roman"/>
          <w:sz w:val="16"/>
          <w:szCs w:val="16"/>
          <w:b w:val="1"/>
          <w:bCs w:val="1"/>
          <w:color w:val="auto"/>
        </w:rPr>
        <w:t>AGAINST</w:t>
      </w:r>
      <w:r>
        <w:rPr>
          <w:rFonts w:ascii="Times New Roman" w:cs="Times New Roman" w:eastAsia="Times New Roman" w:hAnsi="Times New Roman"/>
          <w:sz w:val="16"/>
          <w:szCs w:val="16"/>
          <w:color w:val="auto"/>
        </w:rPr>
        <w:t>” the proposal.</w:t>
      </w:r>
    </w:p>
    <w:p>
      <w:pPr>
        <w:spacing w:after="0" w:line="1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i w:val="1"/>
          <w:iCs w:val="1"/>
          <w:color w:val="auto"/>
        </w:rPr>
        <w:t>Adjournment proposal</w:t>
      </w:r>
    </w:p>
    <w:p>
      <w:pPr>
        <w:spacing w:after="0" w:line="92" w:lineRule="exact"/>
        <w:rPr>
          <w:sz w:val="20"/>
          <w:szCs w:val="20"/>
          <w:color w:val="auto"/>
        </w:rPr>
      </w:pPr>
    </w:p>
    <w:p>
      <w:pPr>
        <w:jc w:val="both"/>
        <w:ind w:left="1580" w:right="1139" w:hanging="160"/>
        <w:spacing w:after="0" w:line="258" w:lineRule="auto"/>
        <w:tabs>
          <w:tab w:leader="none" w:pos="158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Standard: Approval of the adjournment proposal requires the affirmative vote of a majority of the shares of Peach State common stock represented at the meeting (meaning the number of shares of Peach State common stock represented at the meeting and voted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adjournment proposal must constitute a majority of the shares represented at the meeting).</w:t>
      </w:r>
    </w:p>
    <w:p>
      <w:pPr>
        <w:spacing w:after="0" w:line="52" w:lineRule="exact"/>
        <w:rPr>
          <w:rFonts w:ascii="Times New Roman" w:cs="Times New Roman" w:eastAsia="Times New Roman" w:hAnsi="Times New Roman"/>
          <w:sz w:val="16"/>
          <w:szCs w:val="16"/>
          <w:color w:val="auto"/>
        </w:rPr>
      </w:pPr>
    </w:p>
    <w:p>
      <w:pPr>
        <w:ind w:left="1580" w:right="919" w:hanging="160"/>
        <w:spacing w:after="0" w:line="259" w:lineRule="auto"/>
        <w:tabs>
          <w:tab w:leader="none" w:pos="158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 of abstentions and broker non-votes: If you fail to vote, mark “</w:t>
      </w:r>
      <w:r>
        <w:rPr>
          <w:rFonts w:ascii="Times New Roman" w:cs="Times New Roman" w:eastAsia="Times New Roman" w:hAnsi="Times New Roman"/>
          <w:sz w:val="16"/>
          <w:szCs w:val="16"/>
          <w:b w:val="1"/>
          <w:bCs w:val="1"/>
          <w:color w:val="auto"/>
        </w:rPr>
        <w:t>ABSTAIN</w:t>
      </w:r>
      <w:r>
        <w:rPr>
          <w:rFonts w:ascii="Times New Roman" w:cs="Times New Roman" w:eastAsia="Times New Roman" w:hAnsi="Times New Roman"/>
          <w:sz w:val="16"/>
          <w:szCs w:val="16"/>
          <w:color w:val="auto"/>
        </w:rPr>
        <w:t>” on your proxy card, or fail to instruct your bank, broker or other nominee with respect to the adjournment proposal, your shares of Peach State common stock will be counted as shares represented at the meeting and therefore will have the same effect as a vote “</w:t>
      </w:r>
      <w:r>
        <w:rPr>
          <w:rFonts w:ascii="Times New Roman" w:cs="Times New Roman" w:eastAsia="Times New Roman" w:hAnsi="Times New Roman"/>
          <w:sz w:val="16"/>
          <w:szCs w:val="16"/>
          <w:b w:val="1"/>
          <w:bCs w:val="1"/>
          <w:color w:val="auto"/>
        </w:rPr>
        <w:t>AGAINST.</w:t>
      </w:r>
      <w:r>
        <w:rPr>
          <w:rFonts w:ascii="Times New Roman" w:cs="Times New Roman" w:eastAsia="Times New Roman" w:hAnsi="Times New Roman"/>
          <w:sz w:val="16"/>
          <w:szCs w:val="16"/>
          <w:color w:val="auto"/>
        </w:rPr>
        <w:t>”</w:t>
      </w:r>
    </w:p>
    <w:p>
      <w:pPr>
        <w:spacing w:after="0" w:line="134" w:lineRule="exact"/>
        <w:rPr>
          <w:rFonts w:ascii="Times New Roman" w:cs="Times New Roman" w:eastAsia="Times New Roman" w:hAnsi="Times New Roman"/>
          <w:sz w:val="16"/>
          <w:szCs w:val="16"/>
          <w:color w:val="auto"/>
        </w:rPr>
      </w:pPr>
    </w:p>
    <w:p>
      <w:pPr>
        <w:ind w:left="1420" w:hanging="317"/>
        <w:spacing w:after="0"/>
        <w:tabs>
          <w:tab w:leader="none" w:pos="1420" w:val="left"/>
        </w:tabs>
        <w:numPr>
          <w:ilvl w:val="0"/>
          <w:numId w:val="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Are there any Peach State shareholders already committed to voting in favor of the merger proposal?</w:t>
      </w:r>
    </w:p>
    <w:p>
      <w:pPr>
        <w:spacing w:after="0" w:line="128" w:lineRule="exact"/>
        <w:rPr>
          <w:sz w:val="20"/>
          <w:szCs w:val="20"/>
          <w:color w:val="auto"/>
        </w:rPr>
      </w:pPr>
    </w:p>
    <w:p>
      <w:pPr>
        <w:ind w:left="1420" w:right="899" w:hanging="317"/>
        <w:spacing w:after="0" w:line="251" w:lineRule="auto"/>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and executive officers of Peach State have entered into a voting and support agreement with United pursuant to which they have agreed to vote all of their shares in favor of the approval and adoption of the merger agreement, subject to the terms of the voting and support agreement. As of the record date for the Peach State special meeting, the directors and executive officers collectively and beneficially owned approximately 40.70% of the outstanding shares of Peach State common stock. However, pursuant to the terms of the voting and support agreement, in the event of an adverse recommendation change by the Peach State board, the aggregate 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For information regarding the voting and support agreement and certain holders of shares of Peach State common stock, see “Information About The Peach State Special Meeting — Shares Subject to Voting and Support Agreement; Shares Held by Directors and Executive Officers.”</w:t>
      </w:r>
    </w:p>
    <w:p>
      <w:pPr>
        <w:spacing w:after="0" w:line="356"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Why is my vote important?</w:t>
      </w:r>
    </w:p>
    <w:p>
      <w:pPr>
        <w:spacing w:after="0" w:line="128" w:lineRule="exact"/>
        <w:rPr>
          <w:sz w:val="20"/>
          <w:szCs w:val="20"/>
          <w:color w:val="auto"/>
        </w:rPr>
      </w:pPr>
    </w:p>
    <w:p>
      <w:pPr>
        <w:ind w:left="1420" w:right="1019" w:hanging="317"/>
        <w:spacing w:after="0" w:line="258"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do not vote, it will be more difficult for Peach State to obtain the necessary quorum to hold the Peach State special meeting. In addition, your failure to submit a proxy or vote in person, or failure to instruct your bank, broker or other nominee how to vote, or abstention, will have the same effect as a vote “</w:t>
      </w:r>
      <w:r>
        <w:rPr>
          <w:rFonts w:ascii="Times New Roman" w:cs="Times New Roman" w:eastAsia="Times New Roman" w:hAnsi="Times New Roman"/>
          <w:sz w:val="16"/>
          <w:szCs w:val="16"/>
          <w:b w:val="1"/>
          <w:bCs w:val="1"/>
          <w:color w:val="auto"/>
        </w:rPr>
        <w:t>AGAINST</w:t>
      </w:r>
      <w:r>
        <w:rPr>
          <w:rFonts w:ascii="Times New Roman" w:cs="Times New Roman" w:eastAsia="Times New Roman" w:hAnsi="Times New Roman"/>
          <w:sz w:val="16"/>
          <w:szCs w:val="16"/>
          <w:color w:val="auto"/>
        </w:rPr>
        <w:t>” the merger proposal.</w:t>
      </w:r>
    </w:p>
    <w:p>
      <w:pPr>
        <w:spacing w:after="0" w:line="90" w:lineRule="exact"/>
        <w:rPr>
          <w:rFonts w:ascii="Times New Roman" w:cs="Times New Roman" w:eastAsia="Times New Roman" w:hAnsi="Times New Roman"/>
          <w:sz w:val="16"/>
          <w:szCs w:val="16"/>
          <w:color w:val="auto"/>
        </w:rPr>
      </w:pPr>
    </w:p>
    <w:p>
      <w:pPr>
        <w:ind w:left="1420" w:right="959"/>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of the merger proposal requires the affirmative vote of holders of a majority of the outstanding shares of Peach State common stock entitled to vote thereon. The Peach State board of directors unanimously recommends that Peach State shareholders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merger proposal and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adjournment proposal.</w:t>
      </w:r>
    </w:p>
    <w:p>
      <w:pPr>
        <w:spacing w:after="0" w:line="162"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How can I vote my shares of Peach State common stock?</w:t>
      </w:r>
    </w:p>
    <w:p>
      <w:pPr>
        <w:spacing w:after="0" w:line="128" w:lineRule="exact"/>
        <w:rPr>
          <w:sz w:val="20"/>
          <w:szCs w:val="20"/>
          <w:color w:val="auto"/>
        </w:rPr>
      </w:pPr>
    </w:p>
    <w:p>
      <w:pPr>
        <w:ind w:left="1420" w:hanging="317"/>
        <w:spacing w:after="0"/>
        <w:tabs>
          <w:tab w:leader="none" w:pos="14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vote your shares by mail or in person as follows:</w:t>
      </w:r>
    </w:p>
    <w:p>
      <w:pPr>
        <w:spacing w:after="0" w:line="135" w:lineRule="exact"/>
        <w:rPr>
          <w:rFonts w:ascii="Times New Roman" w:cs="Times New Roman" w:eastAsia="Times New Roman" w:hAnsi="Times New Roman"/>
          <w:sz w:val="16"/>
          <w:szCs w:val="16"/>
          <w:color w:val="auto"/>
        </w:rPr>
      </w:pPr>
    </w:p>
    <w:p>
      <w:pPr>
        <w:jc w:val="both"/>
        <w:ind w:left="1420" w:right="1059"/>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Voting by Mail. </w:t>
      </w:r>
      <w:r>
        <w:rPr>
          <w:rFonts w:ascii="Times New Roman" w:cs="Times New Roman" w:eastAsia="Times New Roman" w:hAnsi="Times New Roman"/>
          <w:sz w:val="16"/>
          <w:szCs w:val="16"/>
          <w:color w:val="auto"/>
        </w:rPr>
        <w:t>If you hold your shares in your name as a shareholder of record, you must complete,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sign, date and mail your proxy card in the enclosed postage-paid return envelope as soon as possible.</w:t>
      </w:r>
    </w:p>
    <w:p>
      <w:pPr>
        <w:spacing w:after="0" w:line="80" w:lineRule="exact"/>
        <w:rPr>
          <w:rFonts w:ascii="Times New Roman" w:cs="Times New Roman" w:eastAsia="Times New Roman" w:hAnsi="Times New Roman"/>
          <w:sz w:val="16"/>
          <w:szCs w:val="16"/>
          <w:color w:val="auto"/>
        </w:rPr>
      </w:pPr>
    </w:p>
    <w:p>
      <w:pPr>
        <w:ind w:left="1420" w:right="1019"/>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Voting by Internet. </w:t>
      </w:r>
      <w:r>
        <w:rPr>
          <w:rFonts w:ascii="Times New Roman" w:cs="Times New Roman" w:eastAsia="Times New Roman" w:hAnsi="Times New Roman"/>
          <w:sz w:val="16"/>
          <w:szCs w:val="16"/>
          <w:color w:val="auto"/>
        </w:rPr>
        <w:t>If you hold your shares in your name as a shareholder of record, you may vote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through the Internet at https://annualgeneralmeetings.com/psbsp2026 by following the instructions set forth in the enclosed proxy card</w:t>
      </w:r>
      <w:r>
        <w:rPr>
          <w:rFonts w:ascii="Times New Roman" w:cs="Times New Roman" w:eastAsia="Times New Roman" w:hAnsi="Times New Roman"/>
          <w:sz w:val="16"/>
          <w:szCs w:val="16"/>
          <w:i w:val="1"/>
          <w:iCs w:val="1"/>
          <w:color w:val="auto"/>
        </w:rPr>
        <w:t>.</w:t>
      </w:r>
    </w:p>
    <w:p>
      <w:pPr>
        <w:spacing w:after="0" w:line="3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20" w:right="939"/>
        <w:spacing w:after="0" w:line="281" w:lineRule="auto"/>
        <w:rPr>
          <w:sz w:val="20"/>
          <w:szCs w:val="20"/>
          <w:color w:val="auto"/>
        </w:rPr>
      </w:pPr>
      <w:r>
        <w:rPr>
          <w:rFonts w:ascii="Times New Roman" w:cs="Times New Roman" w:eastAsia="Times New Roman" w:hAnsi="Times New Roman"/>
          <w:sz w:val="16"/>
          <w:szCs w:val="16"/>
          <w:i w:val="1"/>
          <w:iCs w:val="1"/>
          <w:color w:val="auto"/>
        </w:rPr>
        <w:t xml:space="preserve">At the Special Meeting. </w:t>
      </w:r>
      <w:r>
        <w:rPr>
          <w:rFonts w:ascii="Times New Roman" w:cs="Times New Roman" w:eastAsia="Times New Roman" w:hAnsi="Times New Roman"/>
          <w:sz w:val="16"/>
          <w:szCs w:val="16"/>
          <w:color w:val="auto"/>
        </w:rPr>
        <w:t>If you hold your shares in your name as a shareholder of record, you may also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attend and vote your shares in person at the special meeting.</w:t>
      </w:r>
    </w:p>
    <w:p>
      <w:pPr>
        <w:spacing w:after="0" w:line="71" w:lineRule="exact"/>
        <w:rPr>
          <w:sz w:val="20"/>
          <w:szCs w:val="20"/>
          <w:color w:val="auto"/>
        </w:rPr>
      </w:pPr>
    </w:p>
    <w:p>
      <w:pPr>
        <w:ind w:left="1420" w:right="939"/>
        <w:spacing w:after="0" w:line="263" w:lineRule="auto"/>
        <w:rPr>
          <w:sz w:val="20"/>
          <w:szCs w:val="20"/>
          <w:color w:val="auto"/>
        </w:rPr>
      </w:pPr>
      <w:r>
        <w:rPr>
          <w:rFonts w:ascii="Times New Roman" w:cs="Times New Roman" w:eastAsia="Times New Roman" w:hAnsi="Times New Roman"/>
          <w:sz w:val="16"/>
          <w:szCs w:val="16"/>
          <w:color w:val="auto"/>
        </w:rPr>
        <w:t>If you hold your shares in “street name” through a bank, broker or other nominee, you must direct your bank, broker or other nominee how to vote in accordance with the voting instruction card.</w:t>
      </w:r>
    </w:p>
    <w:p>
      <w:pPr>
        <w:spacing w:after="0" w:line="143" w:lineRule="exact"/>
        <w:rPr>
          <w:sz w:val="20"/>
          <w:szCs w:val="20"/>
          <w:color w:val="auto"/>
        </w:rPr>
      </w:pPr>
    </w:p>
    <w:p>
      <w:pPr>
        <w:ind w:left="1420" w:right="1099" w:hanging="317"/>
        <w:spacing w:after="0" w:line="281" w:lineRule="auto"/>
        <w:tabs>
          <w:tab w:leader="none" w:pos="1420"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If my shares are held in “street name” by my bank or broker, will my bank or broker automatically vote my shares for me?</w:t>
      </w:r>
    </w:p>
    <w:p>
      <w:pPr>
        <w:spacing w:after="0" w:line="83" w:lineRule="exact"/>
        <w:rPr>
          <w:sz w:val="20"/>
          <w:szCs w:val="20"/>
          <w:color w:val="auto"/>
        </w:rPr>
      </w:pPr>
    </w:p>
    <w:p>
      <w:pPr>
        <w:ind w:left="1420" w:right="959" w:hanging="317"/>
        <w:spacing w:after="0" w:line="251" w:lineRule="auto"/>
        <w:tabs>
          <w:tab w:leader="none" w:pos="14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Your bank or broker cannot vote your shares without instructions from you. If your shares are held in “street name” through a bank, broker or other nominee, you must provide the record holder of your shares of Peach State common stock with instructions on how to vote the shares. Please follow the voting instructions provided by the bank or broker. You may </w:t>
      </w:r>
      <w:r>
        <w:rPr>
          <w:rFonts w:ascii="Times New Roman" w:cs="Times New Roman" w:eastAsia="Times New Roman" w:hAnsi="Times New Roman"/>
          <w:sz w:val="16"/>
          <w:szCs w:val="16"/>
          <w:b w:val="1"/>
          <w:bCs w:val="1"/>
          <w:color w:val="auto"/>
        </w:rPr>
        <w:t>not</w:t>
      </w:r>
      <w:r>
        <w:rPr>
          <w:rFonts w:ascii="Times New Roman" w:cs="Times New Roman" w:eastAsia="Times New Roman" w:hAnsi="Times New Roman"/>
          <w:sz w:val="16"/>
          <w:szCs w:val="16"/>
          <w:color w:val="auto"/>
        </w:rPr>
        <w:t xml:space="preserve"> vote shares held in street name by returning a proxy card directly to Peach State, or by voting in person at the Peach State special meeting, unless you provide a “legal proxy,” which you must obtain from your bank, broker or other nominee. Further, banks, brokers or other nominees who hold shares of Peach State common stock on behalf of their customers may not give a proxy to Peach State to vote those shares with respect to any of the proposals without specific instructions from their customers, as banks, brokers, and other nominees do not have discretionary voting power on these matters. Failure to instruct your bank or broker how to vote will have the same effect as a vote “</w:t>
      </w:r>
      <w:r>
        <w:rPr>
          <w:rFonts w:ascii="Times New Roman" w:cs="Times New Roman" w:eastAsia="Times New Roman" w:hAnsi="Times New Roman"/>
          <w:sz w:val="16"/>
          <w:szCs w:val="16"/>
          <w:b w:val="1"/>
          <w:bCs w:val="1"/>
          <w:color w:val="auto"/>
        </w:rPr>
        <w:t>AGAINST</w:t>
      </w:r>
      <w:r>
        <w:rPr>
          <w:rFonts w:ascii="Times New Roman" w:cs="Times New Roman" w:eastAsia="Times New Roman" w:hAnsi="Times New Roman"/>
          <w:sz w:val="16"/>
          <w:szCs w:val="16"/>
          <w:color w:val="auto"/>
        </w:rPr>
        <w:t>” the merger proposal.</w:t>
      </w:r>
    </w:p>
    <w:p>
      <w:pPr>
        <w:spacing w:after="0" w:line="169"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should I do if I receive more than one set of voting materials?</w:t>
      </w:r>
    </w:p>
    <w:p>
      <w:pPr>
        <w:spacing w:after="0" w:line="128" w:lineRule="exact"/>
        <w:rPr>
          <w:sz w:val="20"/>
          <w:szCs w:val="20"/>
          <w:color w:val="auto"/>
        </w:rPr>
      </w:pPr>
    </w:p>
    <w:p>
      <w:pPr>
        <w:ind w:left="1420" w:right="999" w:hanging="317"/>
        <w:spacing w:after="0" w:line="254" w:lineRule="auto"/>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Peach State shareholders may receive more than one set of voting materials, including multiple copies of this proxy statement/prospectus and multiple proxy cards or voting instruction cards. If you are a holder of record of Peach State common stock and your shares are registered in more than one name, you will receive more than one proxy card. Please complete, sign, date and return each proxy card and voting instruction card that you receive or otherwise follow the voting instructions set forth in this proxy statement/prospectus to ensure that you vote every share of Peach State common stock that you own.</w:t>
      </w:r>
    </w:p>
    <w:p>
      <w:pPr>
        <w:spacing w:after="0" w:line="355" w:lineRule="exact"/>
        <w:rPr>
          <w:sz w:val="20"/>
          <w:szCs w:val="20"/>
          <w:color w:val="auto"/>
        </w:rPr>
      </w:pPr>
    </w:p>
    <w:p>
      <w:pPr>
        <w:ind w:left="1420" w:right="1259" w:hanging="317"/>
        <w:spacing w:after="0" w:line="281" w:lineRule="auto"/>
        <w:tabs>
          <w:tab w:leader="none" w:pos="1420"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Will Peach State be required to submit the merger proposal to its shareholders even if the Peach State board of directors has withdrawn, modified or qualified its recommendation?</w:t>
      </w:r>
    </w:p>
    <w:p>
      <w:pPr>
        <w:spacing w:after="0" w:line="83" w:lineRule="exact"/>
        <w:rPr>
          <w:sz w:val="20"/>
          <w:szCs w:val="20"/>
          <w:color w:val="auto"/>
        </w:rPr>
      </w:pPr>
    </w:p>
    <w:p>
      <w:pPr>
        <w:ind w:left="1420" w:right="919" w:hanging="317"/>
        <w:spacing w:after="0" w:line="258"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Unless the merger agreement is terminated before the Peach State special meeting, Peach State is required to submit the merger proposal to its shareholders even if the Peach State board of directors has withdrawn, modified or qualified its recommendation that Peach State shareholders adopt and approve the merger agreement.</w:t>
      </w:r>
    </w:p>
    <w:p>
      <w:pPr>
        <w:spacing w:after="0" w:line="160"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Are Peach State shareholders entitled to appraisal rights?</w:t>
      </w:r>
    </w:p>
    <w:p>
      <w:pPr>
        <w:spacing w:after="0" w:line="128" w:lineRule="exact"/>
        <w:rPr>
          <w:sz w:val="20"/>
          <w:szCs w:val="20"/>
          <w:color w:val="auto"/>
        </w:rPr>
      </w:pPr>
    </w:p>
    <w:p>
      <w:pPr>
        <w:ind w:left="1420" w:right="919" w:hanging="317"/>
        <w:spacing w:after="0" w:line="252"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Yes. Under Georgia law, record holders of shares of Peach State common stock have the right to demand in writing to receive a payment in cash for the “fair value” of their shares as determined by an appraisal process. To exercise such rights, a Peach State shareholder must follow exactly the procedures specified under Georgia law. A copy of Article 13 of the GBCC is attached as Annex D to this joint proxy statement/prospectus. The value determined in the appraisal process may be more or less than the value a Peach State shareholder would receive in the merger under the terms of the merger agreement. </w:t>
      </w:r>
      <w:r>
        <w:rPr>
          <w:rFonts w:ascii="Times New Roman" w:cs="Times New Roman" w:eastAsia="Times New Roman" w:hAnsi="Times New Roman"/>
          <w:sz w:val="16"/>
          <w:szCs w:val="16"/>
          <w:b w:val="1"/>
          <w:bCs w:val="1"/>
          <w:color w:val="auto"/>
        </w:rPr>
        <w:t>Failure to strictly comply with the applicable provisions of Georgia law will result in the loss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the right of appraisal. </w:t>
      </w:r>
      <w:r>
        <w:rPr>
          <w:rFonts w:ascii="Times New Roman" w:cs="Times New Roman" w:eastAsia="Times New Roman" w:hAnsi="Times New Roman"/>
          <w:sz w:val="16"/>
          <w:szCs w:val="16"/>
          <w:color w:val="auto"/>
        </w:rPr>
        <w:t>For further information, see “The Merger Agreement</w:t>
      </w:r>
      <w:r>
        <w:rPr>
          <w:rFonts w:ascii="Times New Roman" w:cs="Times New Roman" w:eastAsia="Times New Roman" w:hAnsi="Times New Roman"/>
          <w:sz w:val="16"/>
          <w:szCs w:val="16"/>
          <w:i w:val="1"/>
          <w:iCs w:val="1"/>
          <w:color w:val="auto"/>
        </w:rPr>
        <w:t> — </w:t>
      </w:r>
      <w:r>
        <w:rPr>
          <w:rFonts w:ascii="Times New Roman" w:cs="Times New Roman" w:eastAsia="Times New Roman" w:hAnsi="Times New Roman"/>
          <w:sz w:val="16"/>
          <w:szCs w:val="16"/>
          <w:color w:val="auto"/>
        </w:rPr>
        <w:t>Dissenters’ Rights”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u w:val="single" w:color="auto"/>
          <w:color w:val="0000EE"/>
        </w:rPr>
        <w:t>64</w:t>
      </w:r>
      <w:r>
        <w:rPr>
          <w:rFonts w:ascii="Times New Roman" w:cs="Times New Roman" w:eastAsia="Times New Roman" w:hAnsi="Times New Roman"/>
          <w:sz w:val="16"/>
          <w:szCs w:val="16"/>
          <w:color w:val="auto"/>
        </w:rPr>
        <w:t>.</w:t>
      </w:r>
    </w:p>
    <w:p>
      <w:pPr>
        <w:spacing w:after="0" w:line="300" w:lineRule="exact"/>
        <w:rPr>
          <w:rFonts w:ascii="Times New Roman" w:cs="Times New Roman" w:eastAsia="Times New Roman" w:hAnsi="Times New Roman"/>
          <w:sz w:val="16"/>
          <w:szCs w:val="16"/>
          <w:color w:val="auto"/>
        </w:rPr>
      </w:pPr>
    </w:p>
    <w:p>
      <w:pPr>
        <w:ind w:left="1420" w:right="919"/>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merger agreement, United will not be obligated to consummate the merger if dissenters’ rights are properly asserted with respect to 5% or more of the outstanding shares of Peach State common stock.</w:t>
      </w:r>
    </w:p>
    <w:p>
      <w:pPr>
        <w:spacing w:after="0" w:line="156"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When do you expect to complete the merger?</w:t>
      </w:r>
    </w:p>
    <w:p>
      <w:pPr>
        <w:spacing w:after="0" w:line="140" w:lineRule="exact"/>
        <w:rPr>
          <w:sz w:val="20"/>
          <w:szCs w:val="20"/>
          <w:color w:val="auto"/>
        </w:rPr>
      </w:pPr>
    </w:p>
    <w:p>
      <w:pPr>
        <w:jc w:val="both"/>
        <w:ind w:left="1420" w:right="1139" w:hanging="317"/>
        <w:spacing w:after="0" w:line="279" w:lineRule="auto"/>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 and Peach State expect to complete the merger in the third quarter of 2026. However, neither United nor Peach State can assure you of when or if the merger will be completed. Peach State must</w:t>
      </w:r>
    </w:p>
    <w:p>
      <w:pPr>
        <w:spacing w:after="0" w:line="2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420" w:right="979"/>
        <w:spacing w:after="0" w:line="263" w:lineRule="auto"/>
        <w:rPr>
          <w:sz w:val="20"/>
          <w:szCs w:val="20"/>
          <w:color w:val="auto"/>
        </w:rPr>
      </w:pPr>
      <w:r>
        <w:rPr>
          <w:rFonts w:ascii="Times New Roman" w:cs="Times New Roman" w:eastAsia="Times New Roman" w:hAnsi="Times New Roman"/>
          <w:sz w:val="16"/>
          <w:szCs w:val="16"/>
          <w:color w:val="auto"/>
        </w:rPr>
        <w:t>obtain the approval of the merger agreement by the Peach State shareholders at the Peach State special meeting, and United must obtain necessary regulatory approvals. In addition, each party is required to satisfy certain other customary closing conditions.</w:t>
      </w:r>
    </w:p>
    <w:p>
      <w:pPr>
        <w:spacing w:after="0" w:line="156"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happens if the merger is not completed?</w:t>
      </w:r>
    </w:p>
    <w:p>
      <w:pPr>
        <w:spacing w:after="0" w:line="140" w:lineRule="exact"/>
        <w:rPr>
          <w:sz w:val="20"/>
          <w:szCs w:val="20"/>
          <w:color w:val="auto"/>
        </w:rPr>
      </w:pPr>
    </w:p>
    <w:p>
      <w:pPr>
        <w:ind w:left="1420" w:right="939" w:hanging="317"/>
        <w:spacing w:after="0" w:line="254"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merger is not completed, Peach State shareholders will not receive any consideration for their shares of Peach State common stock in connection with the merger. Instead, Peach State will remain an independent company and your shares of Peach State common stock will remain outstanding. In addition, if the merger agreement is terminated in certain circumstances, a termination fee may be required to be paid by Peach State to United. See “The Merger Agreement — Termination Fee” for a complete discussion of the circumstances under which any such termination fee will be required to be paid.</w:t>
      </w:r>
    </w:p>
    <w:p>
      <w:pPr>
        <w:spacing w:after="0" w:line="355" w:lineRule="exact"/>
        <w:rPr>
          <w:sz w:val="20"/>
          <w:szCs w:val="20"/>
          <w:color w:val="auto"/>
        </w:rPr>
      </w:pPr>
    </w:p>
    <w:p>
      <w:pPr>
        <w:ind w:left="11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Whom should I call with questions?</w:t>
      </w:r>
    </w:p>
    <w:p>
      <w:pPr>
        <w:spacing w:after="0" w:line="140" w:lineRule="exact"/>
        <w:rPr>
          <w:sz w:val="20"/>
          <w:szCs w:val="20"/>
          <w:color w:val="auto"/>
        </w:rPr>
      </w:pPr>
    </w:p>
    <w:p>
      <w:pPr>
        <w:ind w:left="1420" w:right="1099" w:hanging="317"/>
        <w:spacing w:after="0" w:line="258" w:lineRule="auto"/>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have any questions concerning the merger or this proxy statement/prospectus, would like additional copies of this proxy statement/prospectus, or need help voting your shares of Peach State common stock, please contact Charles Blair, Executive Vice President and Chief Financial Officer of Peach State, 121 E.E. Butler Parkway, Gainesville, Georgia 30501, at (770) 531-2771.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288290</wp:posOffset>
            </wp:positionV>
            <wp:extent cx="4861560" cy="7025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6156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138" w:lineRule="exact"/>
        <w:rPr>
          <w:sz w:val="20"/>
          <w:szCs w:val="20"/>
          <w:color w:val="auto"/>
        </w:rPr>
      </w:pPr>
    </w:p>
    <w:p>
      <w:pPr>
        <w:ind w:left="1120" w:right="879" w:firstLine="318"/>
        <w:spacing w:after="0" w:line="278" w:lineRule="auto"/>
        <w:rPr>
          <w:sz w:val="20"/>
          <w:szCs w:val="20"/>
          <w:color w:val="auto"/>
        </w:rPr>
      </w:pPr>
      <w:r>
        <w:rPr>
          <w:rFonts w:ascii="Times New Roman" w:cs="Times New Roman" w:eastAsia="Times New Roman" w:hAnsi="Times New Roman"/>
          <w:sz w:val="15"/>
          <w:szCs w:val="15"/>
          <w:b w:val="1"/>
          <w:bCs w:val="1"/>
          <w:color w:val="auto"/>
        </w:rPr>
        <w:t>This summary highlights selected information from this proxy statement/prospectus. It may not contain all of the information that is important to you. We urge you to read carefully the entire proxy statement/​prospectus, including the annexes and exhibits, and the other documents to which we refer in order to fully understand the merger. See “Where You Can Find More Information.” Each item in this summary refers to the page of this proxy statement/prospectus on which that subject is discussed in more detail.</w:t>
      </w:r>
    </w:p>
    <w:p>
      <w:pPr>
        <w:spacing w:after="0" w:line="1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The Merger (page </w:t>
      </w:r>
      <w:r>
        <w:rPr>
          <w:rFonts w:ascii="Times New Roman" w:cs="Times New Roman" w:eastAsia="Times New Roman" w:hAnsi="Times New Roman"/>
          <w:sz w:val="16"/>
          <w:szCs w:val="16"/>
          <w:b w:val="1"/>
          <w:bCs w:val="1"/>
          <w:u w:val="single" w:color="auto"/>
          <w:color w:val="0000EE"/>
        </w:rPr>
        <w:t>35</w:t>
      </w:r>
      <w:r>
        <w:rPr>
          <w:rFonts w:ascii="Times New Roman" w:cs="Times New Roman" w:eastAsia="Times New Roman" w:hAnsi="Times New Roman"/>
          <w:sz w:val="16"/>
          <w:szCs w:val="16"/>
          <w:b w:val="1"/>
          <w:bCs w:val="1"/>
          <w:color w:val="auto"/>
        </w:rPr>
        <w:t>)</w:t>
      </w:r>
    </w:p>
    <w:p>
      <w:pPr>
        <w:spacing w:after="0" w:line="140" w:lineRule="exact"/>
        <w:rPr>
          <w:sz w:val="20"/>
          <w:szCs w:val="20"/>
          <w:color w:val="auto"/>
        </w:rPr>
      </w:pPr>
    </w:p>
    <w:p>
      <w:pPr>
        <w:ind w:left="1120" w:right="919" w:firstLine="318"/>
        <w:spacing w:after="0" w:line="256" w:lineRule="auto"/>
        <w:rPr>
          <w:sz w:val="20"/>
          <w:szCs w:val="20"/>
          <w:color w:val="auto"/>
        </w:rPr>
      </w:pPr>
      <w:r>
        <w:rPr>
          <w:rFonts w:ascii="Times New Roman" w:cs="Times New Roman" w:eastAsia="Times New Roman" w:hAnsi="Times New Roman"/>
          <w:sz w:val="16"/>
          <w:szCs w:val="16"/>
          <w:color w:val="auto"/>
        </w:rPr>
        <w:t>The terms and conditions of the merger are contained in the merger agreement, a copy of which is attached to this proxy statement/prospectus as Annex A and is incorporated by reference herein in its entirety. All descriptions in this summary and elsewhere in this proxy statement/prospectus of the terms and conditions of the merger are qualified in their entirety by reference to the merger agreement. Please read the merger agreement carefully for a more complete understanding of the merger.</w:t>
      </w:r>
    </w:p>
    <w:p>
      <w:pPr>
        <w:spacing w:after="0" w:line="91" w:lineRule="exact"/>
        <w:rPr>
          <w:sz w:val="20"/>
          <w:szCs w:val="20"/>
          <w:color w:val="auto"/>
        </w:rPr>
      </w:pPr>
    </w:p>
    <w:p>
      <w:pPr>
        <w:ind w:left="1120" w:right="939" w:firstLine="318"/>
        <w:spacing w:after="0" w:line="253" w:lineRule="auto"/>
        <w:rPr>
          <w:sz w:val="20"/>
          <w:szCs w:val="20"/>
          <w:color w:val="auto"/>
        </w:rPr>
      </w:pPr>
      <w:r>
        <w:rPr>
          <w:rFonts w:ascii="Times New Roman" w:cs="Times New Roman" w:eastAsia="Times New Roman" w:hAnsi="Times New Roman"/>
          <w:sz w:val="16"/>
          <w:szCs w:val="16"/>
          <w:color w:val="auto"/>
        </w:rPr>
        <w:t>The merger agreement provides, among other matters, for the acquisition of Peach State by United pursuant to a merger, on the terms and subject to the conditions in the merger agreement. Under the merger agreement, Peach State will merge with and into United, with United continuing as the surviving corporation, in a transaction we refer to as the merger. Immediately following the completion of the merger, Peach State Bank &amp; Trust, a wholly-owned subsidiary of Peach State, will merge with and into United Community Bank, a wholly-owned subsidiary of United, with United Community Bank continuing as the surviving bank, in a transaction we refer to as the bank merger.</w:t>
      </w:r>
    </w:p>
    <w:p>
      <w:pPr>
        <w:spacing w:after="0" w:line="108" w:lineRule="exact"/>
        <w:rPr>
          <w:sz w:val="20"/>
          <w:szCs w:val="20"/>
          <w:color w:val="auto"/>
        </w:rPr>
      </w:pPr>
    </w:p>
    <w:p>
      <w:pPr>
        <w:ind w:left="1120" w:right="919" w:firstLine="318"/>
        <w:spacing w:after="0" w:line="253" w:lineRule="auto"/>
        <w:rPr>
          <w:sz w:val="20"/>
          <w:szCs w:val="20"/>
          <w:color w:val="auto"/>
        </w:rPr>
      </w:pPr>
      <w:r>
        <w:rPr>
          <w:rFonts w:ascii="Times New Roman" w:cs="Times New Roman" w:eastAsia="Times New Roman" w:hAnsi="Times New Roman"/>
          <w:sz w:val="16"/>
          <w:szCs w:val="16"/>
          <w:color w:val="auto"/>
        </w:rPr>
        <w:t>Pursuant to the terms and subject to the conditions set forth in the merger agreement, each issued and outstanding share of Peach State common stock (except for treasury stock or shares owned by Peach State or United, in each case, other than in a fiduciary or agency capacity or as a result of debts previously contracted, and shares held by shareholders who properly exercise appraisal rights) issued and outstanding immediately prior to the effective time of the merger will be converted into the right to receive, at the election of the holder of such share and subject to proration, $31.75 in cash, less any applicable withholding taxes and without interest, or 0.8978 of a share of United common stock.</w:t>
      </w:r>
    </w:p>
    <w:p>
      <w:pPr>
        <w:spacing w:after="0" w:line="108" w:lineRule="exact"/>
        <w:rPr>
          <w:sz w:val="20"/>
          <w:szCs w:val="20"/>
          <w:color w:val="auto"/>
        </w:rPr>
      </w:pPr>
    </w:p>
    <w:p>
      <w:pPr>
        <w:ind w:left="1120" w:right="899" w:firstLine="318"/>
        <w:spacing w:after="0" w:line="252" w:lineRule="auto"/>
        <w:rPr>
          <w:sz w:val="20"/>
          <w:szCs w:val="20"/>
          <w:color w:val="auto"/>
        </w:rPr>
      </w:pPr>
      <w:r>
        <w:rPr>
          <w:rFonts w:ascii="Times New Roman" w:cs="Times New Roman" w:eastAsia="Times New Roman" w:hAnsi="Times New Roman"/>
          <w:sz w:val="16"/>
          <w:szCs w:val="16"/>
          <w:color w:val="auto"/>
        </w:rPr>
        <w:t xml:space="preserve">No fractional shares of United common stock will be issued in the merger, and holders of Peach State common stock will be entitled to receive cash in lieu of fractional shares. Peach State shareholders who would otherwise be entitled to a fraction of a share of United common stock upon the completion of the merger will instead receive, for the fraction of a share, an amount in cash (rounded to the nearest cent) equal to the product of (i) the average closing sale price of United common stock on the twenty consecutive full trading days immediately preceding the closing date of the merger as reported on NYSE, </w:t>
      </w:r>
      <w:r>
        <w:rPr>
          <w:rFonts w:ascii="Times New Roman" w:cs="Times New Roman" w:eastAsia="Times New Roman" w:hAnsi="Times New Roman"/>
          <w:sz w:val="16"/>
          <w:szCs w:val="16"/>
          <w:u w:val="single" w:color="auto"/>
          <w:color w:val="auto"/>
        </w:rPr>
        <w:t>multiplied by</w:t>
      </w:r>
    </w:p>
    <w:p>
      <w:pPr>
        <w:spacing w:after="0" w:line="1" w:lineRule="exact"/>
        <w:rPr>
          <w:sz w:val="20"/>
          <w:szCs w:val="20"/>
          <w:color w:val="auto"/>
        </w:rPr>
      </w:pPr>
    </w:p>
    <w:p>
      <w:pPr>
        <w:jc w:val="both"/>
        <w:ind w:left="1120" w:right="1119" w:hanging="1"/>
        <w:spacing w:after="0" w:line="252" w:lineRule="auto"/>
        <w:tabs>
          <w:tab w:leader="none" w:pos="137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fraction of a share (rounded to the nearest thousandth when expressed in decimal form) of United common stock which such Peach State shareholder would otherwise be entitled to receive pursuant to the merger agreement.</w:t>
      </w:r>
    </w:p>
    <w:p>
      <w:pPr>
        <w:spacing w:after="0" w:line="94" w:lineRule="exact"/>
        <w:rPr>
          <w:sz w:val="20"/>
          <w:szCs w:val="20"/>
          <w:color w:val="auto"/>
        </w:rPr>
      </w:pPr>
    </w:p>
    <w:p>
      <w:pPr>
        <w:ind w:left="1120" w:right="899" w:firstLine="318"/>
        <w:spacing w:after="0" w:line="253" w:lineRule="auto"/>
        <w:rPr>
          <w:sz w:val="20"/>
          <w:szCs w:val="20"/>
          <w:color w:val="auto"/>
        </w:rPr>
      </w:pPr>
      <w:r>
        <w:rPr>
          <w:rFonts w:ascii="Times New Roman" w:cs="Times New Roman" w:eastAsia="Times New Roman" w:hAnsi="Times New Roman"/>
          <w:sz w:val="16"/>
          <w:szCs w:val="16"/>
          <w:color w:val="auto"/>
        </w:rPr>
        <w:t>Additionally, 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w:t>
      </w:r>
    </w:p>
    <w:p>
      <w:pPr>
        <w:spacing w:after="0" w:line="104" w:lineRule="exact"/>
        <w:rPr>
          <w:sz w:val="20"/>
          <w:szCs w:val="20"/>
          <w:color w:val="auto"/>
        </w:rPr>
      </w:pPr>
    </w:p>
    <w:p>
      <w:pPr>
        <w:ind w:left="1120" w:right="959" w:firstLine="318"/>
        <w:spacing w:after="0" w:line="254" w:lineRule="auto"/>
        <w:rPr>
          <w:sz w:val="20"/>
          <w:szCs w:val="20"/>
          <w:color w:val="auto"/>
        </w:rPr>
      </w:pPr>
      <w:r>
        <w:rPr>
          <w:rFonts w:ascii="Times New Roman" w:cs="Times New Roman" w:eastAsia="Times New Roman" w:hAnsi="Times New Roman"/>
          <w:sz w:val="16"/>
          <w:szCs w:val="16"/>
          <w:color w:val="auto"/>
        </w:rPr>
        <w:t>The merger consideration is subject to proration so that 50% of Peach State common stock issued and outstanding immediately prior to the effective time of the merger will be converted into cash consideration and 50% of Peach State common stock will be converted into stock consideration, based on an exchange ratio of 0.8978 of a share of United common stock. Holders of Peach State common stock who do not make an election will be treated as having elected to receive cash consideration or stock consideration in accordance with the proration methodology in the merger agreement.</w:t>
      </w:r>
    </w:p>
    <w:p>
      <w:pPr>
        <w:spacing w:after="0" w:line="39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288290</wp:posOffset>
            </wp:positionV>
            <wp:extent cx="4861560" cy="70853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61560" cy="708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20" w:right="919" w:firstLine="318"/>
        <w:spacing w:after="0" w:line="258" w:lineRule="auto"/>
        <w:rPr>
          <w:sz w:val="20"/>
          <w:szCs w:val="20"/>
          <w:color w:val="auto"/>
        </w:rPr>
      </w:pPr>
      <w:r>
        <w:rPr>
          <w:rFonts w:ascii="Times New Roman" w:cs="Times New Roman" w:eastAsia="Times New Roman" w:hAnsi="Times New Roman"/>
          <w:sz w:val="16"/>
          <w:szCs w:val="16"/>
          <w:color w:val="auto"/>
        </w:rPr>
        <w:t>Based on the exchange ratio of 0.8978, and on the closing stock price of United common stock of $33.34 as of June 5, 2026, the latest practicable trading day before the date of this proxy statement/​ prospectus, the value of the per share merger consideration payable to holders of Peach State common stock was approximately $29.93 as of such date.</w:t>
      </w:r>
    </w:p>
    <w:p>
      <w:pPr>
        <w:spacing w:after="0" w:line="102" w:lineRule="exact"/>
        <w:rPr>
          <w:sz w:val="20"/>
          <w:szCs w:val="20"/>
          <w:color w:val="auto"/>
        </w:rPr>
      </w:pPr>
    </w:p>
    <w:p>
      <w:pPr>
        <w:ind w:left="1120" w:right="1179" w:firstLine="318"/>
        <w:spacing w:after="0" w:line="279" w:lineRule="auto"/>
        <w:rPr>
          <w:sz w:val="20"/>
          <w:szCs w:val="20"/>
          <w:color w:val="auto"/>
        </w:rPr>
      </w:pPr>
      <w:r>
        <w:rPr>
          <w:rFonts w:ascii="Times New Roman" w:cs="Times New Roman" w:eastAsia="Times New Roman" w:hAnsi="Times New Roman"/>
          <w:sz w:val="16"/>
          <w:szCs w:val="16"/>
          <w:color w:val="auto"/>
        </w:rPr>
        <w:t xml:space="preserve">The trading price of United common stock will continue to fluctuate until the date the merger is consummated. For further information, see “The Merger — Terms of the Merger” beginning on page </w:t>
      </w:r>
      <w:r>
        <w:rPr>
          <w:rFonts w:ascii="Times New Roman" w:cs="Times New Roman" w:eastAsia="Times New Roman" w:hAnsi="Times New Roman"/>
          <w:sz w:val="16"/>
          <w:szCs w:val="16"/>
          <w:u w:val="single" w:color="auto"/>
          <w:color w:val="0000EE"/>
        </w:rPr>
        <w:t>35</w:t>
      </w:r>
      <w:r>
        <w:rPr>
          <w:rFonts w:ascii="Times New Roman" w:cs="Times New Roman" w:eastAsia="Times New Roman" w:hAnsi="Times New Roman"/>
          <w:sz w:val="16"/>
          <w:szCs w:val="16"/>
          <w:color w:val="auto"/>
        </w:rPr>
        <w:t>.</w:t>
      </w:r>
    </w:p>
    <w:p>
      <w:pPr>
        <w:spacing w:after="0" w:line="84" w:lineRule="exact"/>
        <w:rPr>
          <w:sz w:val="20"/>
          <w:szCs w:val="20"/>
          <w:color w:val="auto"/>
        </w:rPr>
      </w:pPr>
    </w:p>
    <w:p>
      <w:pPr>
        <w:ind w:left="1120" w:right="979" w:firstLine="318"/>
        <w:spacing w:after="0" w:line="258" w:lineRule="auto"/>
        <w:rPr>
          <w:sz w:val="20"/>
          <w:szCs w:val="20"/>
          <w:color w:val="auto"/>
        </w:rPr>
      </w:pPr>
      <w:r>
        <w:rPr>
          <w:rFonts w:ascii="Times New Roman" w:cs="Times New Roman" w:eastAsia="Times New Roman" w:hAnsi="Times New Roman"/>
          <w:sz w:val="16"/>
          <w:szCs w:val="16"/>
          <w:color w:val="auto"/>
        </w:rPr>
        <w:t>As a result of the foregoing, based on the number of shares of United common stock and Peach State common stock outstanding as of April 20, 2026, the date of the merger agreement, it is expected that Peach State shareholders will hold approximately 1% of the shares of the combined company outstanding immediately after the effective time of the merger, which we refer to as the effective time.</w:t>
      </w:r>
    </w:p>
    <w:p>
      <w:pPr>
        <w:spacing w:after="0" w:line="90" w:lineRule="exact"/>
        <w:rPr>
          <w:sz w:val="20"/>
          <w:szCs w:val="20"/>
          <w:color w:val="auto"/>
        </w:rPr>
      </w:pPr>
    </w:p>
    <w:p>
      <w:pPr>
        <w:ind w:left="1120" w:right="879" w:firstLine="318"/>
        <w:spacing w:after="0" w:line="253" w:lineRule="auto"/>
        <w:rPr>
          <w:sz w:val="20"/>
          <w:szCs w:val="20"/>
          <w:color w:val="auto"/>
        </w:rPr>
      </w:pPr>
      <w:r>
        <w:rPr>
          <w:rFonts w:ascii="Times New Roman" w:cs="Times New Roman" w:eastAsia="Times New Roman" w:hAnsi="Times New Roman"/>
          <w:sz w:val="16"/>
          <w:szCs w:val="16"/>
          <w:color w:val="auto"/>
        </w:rPr>
        <w:t>United common stock is listed on NYSE under the symbol “UCB.” Peach State’s common stock is not listed or quoted on any exchange. The following table shows the closing sale prices of United common stock as reported on NYSE on April 20, 2026, the trading day before the public announcement of the merger agreement, and on June 5, 2026, the latest practicable trading day before the date of this proxy statement/​ prospectus. The table also shows the implied value of the merger consideration payable for each share of Peach State common stock, which we calculated by multiplying the closing price per share of United common stock on those dates by the exchange ratio of 0.8978.</w:t>
      </w:r>
    </w:p>
    <w:p>
      <w:pPr>
        <w:spacing w:after="0" w:line="13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Implied Per Share</w:t>
            </w:r>
          </w:p>
        </w:tc>
        <w:tc>
          <w:tcPr>
            <w:tcW w:w="40" w:type="dxa"/>
            <w:vAlign w:val="bottom"/>
          </w:tcPr>
          <w:p>
            <w:pPr>
              <w:spacing w:after="0"/>
              <w:rPr>
                <w:sz w:val="12"/>
                <w:szCs w:val="12"/>
                <w:color w:val="auto"/>
              </w:rPr>
            </w:pPr>
          </w:p>
        </w:tc>
      </w:tr>
      <w:tr>
        <w:trPr>
          <w:trHeight w:val="132"/>
        </w:trPr>
        <w:tc>
          <w:tcPr>
            <w:tcW w:w="24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0"/>
              </w:rPr>
              <w:t>United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3"/>
              </w:rPr>
              <w:t>Per Share Value of</w:t>
            </w:r>
          </w:p>
        </w:tc>
        <w:tc>
          <w:tcPr>
            <w:tcW w:w="200" w:type="dxa"/>
            <w:vAlign w:val="bottom"/>
          </w:tcPr>
          <w:p>
            <w:pPr>
              <w:spacing w:after="0"/>
              <w:rPr>
                <w:sz w:val="11"/>
                <w:szCs w:val="11"/>
                <w:color w:val="auto"/>
              </w:rPr>
            </w:pP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1"/>
              </w:rPr>
              <w:t>Value of Stock</w:t>
            </w:r>
          </w:p>
        </w:tc>
        <w:tc>
          <w:tcPr>
            <w:tcW w:w="40" w:type="dxa"/>
            <w:vAlign w:val="bottom"/>
          </w:tcPr>
          <w:p>
            <w:pPr>
              <w:spacing w:after="0"/>
              <w:rPr>
                <w:sz w:val="11"/>
                <w:szCs w:val="11"/>
                <w:color w:val="auto"/>
              </w:rPr>
            </w:pPr>
          </w:p>
        </w:tc>
      </w:tr>
      <w:tr>
        <w:trPr>
          <w:trHeight w:val="200"/>
        </w:trPr>
        <w:tc>
          <w:tcPr>
            <w:tcW w:w="2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840" w:type="dxa"/>
            <w:vAlign w:val="bottom"/>
            <w:gridSpan w:val="6"/>
          </w:tcPr>
          <w:p>
            <w:pPr>
              <w:ind w:left="146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Common Stock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Cash Consideration </w:t>
            </w:r>
            <w:r>
              <w:rPr>
                <w:rFonts w:ascii="Times New Roman" w:cs="Times New Roman" w:eastAsia="Times New Roman" w:hAnsi="Times New Roman"/>
                <w:sz w:val="23"/>
                <w:szCs w:val="23"/>
                <w:b w:val="1"/>
                <w:bCs w:val="1"/>
                <w:color w:val="auto"/>
                <w:vertAlign w:val="subscript"/>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Consideration</w:t>
            </w:r>
            <w:r>
              <w:rPr>
                <w:rFonts w:ascii="Times New Roman" w:cs="Times New Roman" w:eastAsia="Times New Roman" w:hAnsi="Times New Roman"/>
                <w:sz w:val="15"/>
                <w:szCs w:val="15"/>
                <w:b w:val="1"/>
                <w:bCs w:val="1"/>
                <w:color w:val="auto"/>
                <w:w w:val="90"/>
                <w:vertAlign w:val="superscript"/>
              </w:rPr>
              <w:t>(1)</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24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20, 2026</w:t>
            </w:r>
          </w:p>
        </w:tc>
        <w:tc>
          <w:tcPr>
            <w:tcW w:w="16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center"/>
              <w:ind w:left="6"/>
              <w:spacing w:after="0"/>
              <w:rPr>
                <w:sz w:val="20"/>
                <w:szCs w:val="20"/>
                <w:color w:val="auto"/>
              </w:rPr>
            </w:pPr>
            <w:r>
              <w:rPr>
                <w:rFonts w:ascii="Times New Roman" w:cs="Times New Roman" w:eastAsia="Times New Roman" w:hAnsi="Times New Roman"/>
                <w:sz w:val="16"/>
                <w:szCs w:val="16"/>
                <w:color w:val="auto"/>
                <w:w w:val="99"/>
              </w:rPr>
              <w:t>​$34.31</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​$31.75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​$30.80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1"/>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June 5, 2026</w:t>
            </w:r>
          </w:p>
        </w:tc>
        <w:tc>
          <w:tcPr>
            <w:tcW w:w="16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jc w:val="center"/>
              <w:ind w:left="6"/>
              <w:spacing w:after="0"/>
              <w:rPr>
                <w:sz w:val="20"/>
                <w:szCs w:val="20"/>
                <w:color w:val="auto"/>
              </w:rPr>
            </w:pPr>
            <w:r>
              <w:rPr>
                <w:rFonts w:ascii="Times New Roman" w:cs="Times New Roman" w:eastAsia="Times New Roman" w:hAnsi="Times New Roman"/>
                <w:sz w:val="16"/>
                <w:szCs w:val="16"/>
                <w:color w:val="auto"/>
                <w:w w:val="99"/>
              </w:rPr>
              <w:t>​$33.34</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​$31.75</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​$29.93</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305" w:lineRule="exact"/>
        <w:rPr>
          <w:sz w:val="20"/>
          <w:szCs w:val="20"/>
          <w:color w:val="auto"/>
        </w:rPr>
      </w:pPr>
    </w:p>
    <w:p>
      <w:pPr>
        <w:ind w:left="1440" w:right="1519" w:hanging="321"/>
        <w:spacing w:after="0" w:line="279" w:lineRule="auto"/>
        <w:tabs>
          <w:tab w:leader="none" w:pos="14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multiplying the United common stock share price as of the specified date by the exchange ratio of 0.8978.</w:t>
      </w:r>
    </w:p>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Peach State’s Reasons for the Merger; Recommendation of the Peach State Board of Directors (page </w:t>
      </w:r>
      <w:r>
        <w:rPr>
          <w:rFonts w:ascii="Times New Roman" w:cs="Times New Roman" w:eastAsia="Times New Roman" w:hAnsi="Times New Roman"/>
          <w:sz w:val="16"/>
          <w:szCs w:val="16"/>
          <w:b w:val="1"/>
          <w:bCs w:val="1"/>
          <w:u w:val="single" w:color="auto"/>
          <w:color w:val="0000EE"/>
        </w:rPr>
        <w:t>39</w:t>
      </w:r>
      <w:r>
        <w:rPr>
          <w:rFonts w:ascii="Times New Roman" w:cs="Times New Roman" w:eastAsia="Times New Roman" w:hAnsi="Times New Roman"/>
          <w:sz w:val="16"/>
          <w:szCs w:val="16"/>
          <w:b w:val="1"/>
          <w:bCs w:val="1"/>
          <w:color w:val="auto"/>
        </w:rPr>
        <w:t>)</w:t>
      </w:r>
    </w:p>
    <w:p>
      <w:pPr>
        <w:spacing w:after="0" w:line="128" w:lineRule="exact"/>
        <w:rPr>
          <w:sz w:val="20"/>
          <w:szCs w:val="20"/>
          <w:color w:val="auto"/>
        </w:rPr>
      </w:pPr>
    </w:p>
    <w:p>
      <w:pPr>
        <w:ind w:left="1120" w:right="899" w:firstLine="318"/>
        <w:spacing w:after="0" w:line="252" w:lineRule="auto"/>
        <w:rPr>
          <w:sz w:val="20"/>
          <w:szCs w:val="20"/>
          <w:color w:val="auto"/>
        </w:rPr>
      </w:pPr>
      <w:r>
        <w:rPr>
          <w:rFonts w:ascii="Times New Roman" w:cs="Times New Roman" w:eastAsia="Times New Roman" w:hAnsi="Times New Roman"/>
          <w:sz w:val="16"/>
          <w:szCs w:val="16"/>
          <w:color w:val="auto"/>
        </w:rPr>
        <w:t xml:space="preserve">The Peach State board of directors has unanimously (i) determined that the merger agreement and the transactions contemplated thereby, including the merger, is in the best interests of Peach State and the Peach State shareholders and (ii) adopted the merger agreement and approved the execution, delivery and performance by Peach State of the merger agreement and the consummation of the transactions contemplated thereby, including the merger. </w:t>
      </w:r>
      <w:r>
        <w:rPr>
          <w:rFonts w:ascii="Times New Roman" w:cs="Times New Roman" w:eastAsia="Times New Roman" w:hAnsi="Times New Roman"/>
          <w:sz w:val="16"/>
          <w:szCs w:val="16"/>
          <w:b w:val="1"/>
          <w:bCs w:val="1"/>
          <w:color w:val="auto"/>
        </w:rPr>
        <w:t>The Peach State board of directors unanimously recommends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that Peach State shareholders vote “FOR” the merger proposal and “FOR” the adjournment proposal. </w:t>
      </w:r>
      <w:r>
        <w:rPr>
          <w:rFonts w:ascii="Times New Roman" w:cs="Times New Roman" w:eastAsia="Times New Roman" w:hAnsi="Times New Roman"/>
          <w:sz w:val="16"/>
          <w:szCs w:val="16"/>
          <w:color w:val="auto"/>
        </w:rPr>
        <w:t>For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factors considered by the Peach State board of directors in reaching its decision to adopt the merger agreement, see “The Merger — Peach State’s Reasons for the Merger and Recommendation of the Peach State’s Board of Directors,” beginning on page </w:t>
      </w:r>
      <w:r>
        <w:rPr>
          <w:rFonts w:ascii="Times New Roman" w:cs="Times New Roman" w:eastAsia="Times New Roman" w:hAnsi="Times New Roman"/>
          <w:sz w:val="16"/>
          <w:szCs w:val="16"/>
          <w:u w:val="single" w:color="auto"/>
          <w:color w:val="0000EE"/>
        </w:rPr>
        <w:t>39</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Opinion of Peach State’s Financial Advisor (page </w:t>
      </w:r>
      <w:r>
        <w:rPr>
          <w:rFonts w:ascii="Times New Roman" w:cs="Times New Roman" w:eastAsia="Times New Roman" w:hAnsi="Times New Roman"/>
          <w:sz w:val="16"/>
          <w:szCs w:val="16"/>
          <w:b w:val="1"/>
          <w:bCs w:val="1"/>
          <w:u w:val="single" w:color="auto"/>
          <w:color w:val="0000EE"/>
        </w:rPr>
        <w:t>42</w:t>
      </w:r>
      <w:r>
        <w:rPr>
          <w:rFonts w:ascii="Times New Roman" w:cs="Times New Roman" w:eastAsia="Times New Roman" w:hAnsi="Times New Roman"/>
          <w:sz w:val="16"/>
          <w:szCs w:val="16"/>
          <w:b w:val="1"/>
          <w:bCs w:val="1"/>
          <w:color w:val="auto"/>
        </w:rPr>
        <w:t xml:space="preserve"> and Annex C)</w:t>
      </w:r>
    </w:p>
    <w:p>
      <w:pPr>
        <w:spacing w:after="0" w:line="140" w:lineRule="exact"/>
        <w:rPr>
          <w:sz w:val="20"/>
          <w:szCs w:val="20"/>
          <w:color w:val="auto"/>
        </w:rPr>
      </w:pPr>
    </w:p>
    <w:p>
      <w:pPr>
        <w:ind w:left="1120" w:right="999" w:firstLine="318"/>
        <w:spacing w:after="0" w:line="259" w:lineRule="auto"/>
        <w:rPr>
          <w:sz w:val="20"/>
          <w:szCs w:val="20"/>
          <w:color w:val="auto"/>
        </w:rPr>
      </w:pPr>
      <w:r>
        <w:rPr>
          <w:rFonts w:ascii="Times New Roman" w:cs="Times New Roman" w:eastAsia="Times New Roman" w:hAnsi="Times New Roman"/>
          <w:sz w:val="16"/>
          <w:szCs w:val="16"/>
          <w:color w:val="auto"/>
        </w:rPr>
        <w:t>At the April 20, 2026 meeting at which the Peach State board of directors considered and discussed in detail the terms of the merger agreement and the merger, Peach State’s financial advisor Piper</w:t>
      </w:r>
    </w:p>
    <w:p>
      <w:pPr>
        <w:spacing w:after="0" w:line="1" w:lineRule="exact"/>
        <w:rPr>
          <w:sz w:val="20"/>
          <w:szCs w:val="20"/>
          <w:color w:val="auto"/>
        </w:rPr>
      </w:pPr>
    </w:p>
    <w:p>
      <w:pPr>
        <w:ind w:left="1120" w:right="919"/>
        <w:spacing w:after="0" w:line="249" w:lineRule="auto"/>
        <w:rPr>
          <w:sz w:val="20"/>
          <w:szCs w:val="20"/>
          <w:color w:val="auto"/>
        </w:rPr>
      </w:pPr>
      <w:r>
        <w:rPr>
          <w:rFonts w:ascii="Times New Roman" w:cs="Times New Roman" w:eastAsia="Times New Roman" w:hAnsi="Times New Roman"/>
          <w:sz w:val="16"/>
          <w:szCs w:val="16"/>
          <w:color w:val="auto"/>
        </w:rPr>
        <w:t>Sandler &amp; Co., which we refer to as Piper, delivered to the Peach State board of directors its oral opinion, which was subsequently confirmed in writing on April 20, 2026, to the effect that, as of the date thereof, the exchange ratio pursuant to the merger is fair, from a financial point of view, to holders of Peach State common stock. The full text of Piper’s opinion is attached as Annex C to this proxy statement/prospectus. The opinion outlines the procedures followed, assumptions made, matters considered and qualifications and limitations on the review undertaken by Piper in rendering its opinion. The description of the opinion set forth below is qualified in its entirety by reference to the full text of the opinion. Peach State shareholders are urged to read the entire opinion carefully in connection with their consideration of the proposed merger.</w:t>
      </w:r>
    </w:p>
    <w:p>
      <w:pPr>
        <w:spacing w:after="0" w:line="112" w:lineRule="exact"/>
        <w:rPr>
          <w:sz w:val="20"/>
          <w:szCs w:val="20"/>
          <w:color w:val="auto"/>
        </w:rPr>
      </w:pPr>
    </w:p>
    <w:p>
      <w:pPr>
        <w:ind w:left="1120" w:right="899" w:firstLine="318"/>
        <w:spacing w:after="0" w:line="279" w:lineRule="auto"/>
        <w:rPr>
          <w:sz w:val="20"/>
          <w:szCs w:val="20"/>
          <w:color w:val="auto"/>
        </w:rPr>
      </w:pPr>
      <w:r>
        <w:rPr>
          <w:rFonts w:ascii="Times New Roman" w:cs="Times New Roman" w:eastAsia="Times New Roman" w:hAnsi="Times New Roman"/>
          <w:sz w:val="16"/>
          <w:szCs w:val="16"/>
          <w:color w:val="auto"/>
        </w:rPr>
        <w:t xml:space="preserve">For further information, see “The Merger — Opinion of Peach State’s Financial Advisor,” beginning on page </w:t>
      </w:r>
      <w:r>
        <w:rPr>
          <w:rFonts w:ascii="Times New Roman" w:cs="Times New Roman" w:eastAsia="Times New Roman" w:hAnsi="Times New Roman"/>
          <w:sz w:val="16"/>
          <w:szCs w:val="16"/>
          <w:u w:val="single" w:color="auto"/>
          <w:color w:val="0000EE"/>
        </w:rPr>
        <w:t>42</w:t>
      </w:r>
      <w:r>
        <w:rPr>
          <w:rFonts w:ascii="Times New Roman" w:cs="Times New Roman" w:eastAsia="Times New Roman" w:hAnsi="Times New Roman"/>
          <w:sz w:val="16"/>
          <w:szCs w:val="16"/>
          <w:color w:val="auto"/>
        </w:rPr>
        <w:t>.</w:t>
      </w:r>
    </w:p>
    <w:p>
      <w:pPr>
        <w:spacing w:after="0" w:line="3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288290</wp:posOffset>
            </wp:positionV>
            <wp:extent cx="4861560" cy="7025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6156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Peach State Will Hold Its Special Meeting on July 21, 2026 (page </w:t>
      </w:r>
      <w:r>
        <w:rPr>
          <w:rFonts w:ascii="Times New Roman" w:cs="Times New Roman" w:eastAsia="Times New Roman" w:hAnsi="Times New Roman"/>
          <w:sz w:val="16"/>
          <w:szCs w:val="16"/>
          <w:b w:val="1"/>
          <w:bCs w:val="1"/>
          <w:u w:val="single" w:color="auto"/>
          <w:color w:val="0000EE"/>
        </w:rPr>
        <w:t>27</w:t>
      </w:r>
      <w:r>
        <w:rPr>
          <w:rFonts w:ascii="Times New Roman" w:cs="Times New Roman" w:eastAsia="Times New Roman" w:hAnsi="Times New Roman"/>
          <w:sz w:val="16"/>
          <w:szCs w:val="16"/>
          <w:b w:val="1"/>
          <w:bCs w:val="1"/>
          <w:color w:val="auto"/>
        </w:rPr>
        <w:t>)</w:t>
      </w:r>
    </w:p>
    <w:p>
      <w:pPr>
        <w:spacing w:after="0" w:line="140" w:lineRule="exact"/>
        <w:rPr>
          <w:sz w:val="20"/>
          <w:szCs w:val="20"/>
          <w:color w:val="auto"/>
        </w:rPr>
      </w:pPr>
    </w:p>
    <w:p>
      <w:pPr>
        <w:ind w:left="1120" w:right="1119" w:firstLine="318"/>
        <w:spacing w:after="0" w:line="256" w:lineRule="auto"/>
        <w:rPr>
          <w:sz w:val="20"/>
          <w:szCs w:val="20"/>
          <w:color w:val="auto"/>
        </w:rPr>
      </w:pPr>
      <w:r>
        <w:rPr>
          <w:rFonts w:ascii="Times New Roman" w:cs="Times New Roman" w:eastAsia="Times New Roman" w:hAnsi="Times New Roman"/>
          <w:sz w:val="16"/>
          <w:szCs w:val="16"/>
          <w:color w:val="auto"/>
        </w:rPr>
        <w:t>The special meeting will be held on July 21, 2026, at 4:00 P.M., Eastern Time, at Peach State’s main office, located at 121 E.E. Butler Parkway, Gainesville, Georgia 30501. At the special meeting, Peach State’s shareholders will be asked to consider and vote upon the following matters:</w:t>
      </w:r>
    </w:p>
    <w:p>
      <w:pPr>
        <w:spacing w:after="0" w:line="55" w:lineRule="exact"/>
        <w:rPr>
          <w:sz w:val="20"/>
          <w:szCs w:val="20"/>
          <w:color w:val="auto"/>
        </w:rPr>
      </w:pPr>
    </w:p>
    <w:p>
      <w:pPr>
        <w:ind w:left="1600" w:right="879" w:hanging="164"/>
        <w:spacing w:after="0" w:line="258" w:lineRule="auto"/>
        <w:tabs>
          <w:tab w:leader="none" w:pos="16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proposal to adopt and approve the Agreement and Plan of Merger, dated as of April 20, 2026, as it may be amended from time to time, by and between Peach State and United, pursuant to which Peach State will merge with and into United, with United continuing as the surviving corporation, which we refer to as the merger proposal; and</w:t>
      </w:r>
    </w:p>
    <w:p>
      <w:pPr>
        <w:spacing w:after="0" w:line="66" w:lineRule="exact"/>
        <w:rPr>
          <w:rFonts w:ascii="Times New Roman" w:cs="Times New Roman" w:eastAsia="Times New Roman" w:hAnsi="Times New Roman"/>
          <w:sz w:val="16"/>
          <w:szCs w:val="16"/>
          <w:color w:val="auto"/>
        </w:rPr>
      </w:pPr>
    </w:p>
    <w:p>
      <w:pPr>
        <w:jc w:val="both"/>
        <w:ind w:left="1600" w:right="1039" w:hanging="164"/>
        <w:spacing w:after="0" w:line="263" w:lineRule="auto"/>
        <w:tabs>
          <w:tab w:leader="none" w:pos="16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proposal to approve one or more adjournments of the Peach State special meeting, if necessary or appropriate, including adjournments to permit further solicitation of proxies in favor of the merger proposal, which we refer to as the adjournment proposal.</w:t>
      </w:r>
    </w:p>
    <w:p>
      <w:pPr>
        <w:spacing w:after="0" w:line="86" w:lineRule="exact"/>
        <w:rPr>
          <w:sz w:val="20"/>
          <w:szCs w:val="20"/>
          <w:color w:val="auto"/>
        </w:rPr>
      </w:pPr>
    </w:p>
    <w:p>
      <w:pPr>
        <w:ind w:left="1120" w:right="959" w:firstLine="318"/>
        <w:spacing w:after="0" w:line="256" w:lineRule="auto"/>
        <w:rPr>
          <w:sz w:val="20"/>
          <w:szCs w:val="20"/>
          <w:color w:val="auto"/>
        </w:rPr>
      </w:pPr>
      <w:r>
        <w:rPr>
          <w:rFonts w:ascii="Times New Roman" w:cs="Times New Roman" w:eastAsia="Times New Roman" w:hAnsi="Times New Roman"/>
          <w:sz w:val="16"/>
          <w:szCs w:val="16"/>
          <w:color w:val="auto"/>
        </w:rPr>
        <w:t>Peach State’ board of directors has fixed the close of business on June 1, 2026 as the record date for determining the holders of Peach State common stock entitled to receive notice of and to vote at the special meeting.</w:t>
      </w:r>
    </w:p>
    <w:p>
      <w:pPr>
        <w:spacing w:after="0" w:line="90" w:lineRule="exact"/>
        <w:rPr>
          <w:sz w:val="20"/>
          <w:szCs w:val="20"/>
          <w:color w:val="auto"/>
        </w:rPr>
      </w:pPr>
    </w:p>
    <w:p>
      <w:pPr>
        <w:ind w:left="1120" w:right="879" w:firstLine="318"/>
        <w:spacing w:after="0"/>
        <w:rPr>
          <w:sz w:val="20"/>
          <w:szCs w:val="20"/>
          <w:color w:val="auto"/>
        </w:rPr>
      </w:pPr>
      <w:r>
        <w:rPr>
          <w:rFonts w:ascii="Times New Roman" w:cs="Times New Roman" w:eastAsia="Times New Roman" w:hAnsi="Times New Roman"/>
          <w:sz w:val="16"/>
          <w:szCs w:val="16"/>
          <w:color w:val="auto"/>
        </w:rPr>
        <w:t xml:space="preserve">As of the Peach State record date, there were 3,000,542 shares of Peach State common stock outstanding and entitled to vote at the Peach State special meeting, held by approximately 444 holders of record. Each share of Peach State common stock entitles the holder to one vote at the Peach State special meeting on each proposal to be considered at the special meeting. The directors and executive officers of Peach State have entered into a voting and support agreement with United pursuant to which they have agreed to vote all of their shares in favor of the approval and adoption of the merger agreement, subject to the terms of the voting and support agreement. As of the record date for the Peach State special meeting, the directors and executive officers collectively and beneficially owned approximately 40.70% of the outstanding shares of Peach State common stock. However, pursuant to the terms of the voting and support agreement, in the event of an adverse recommendation change by the Peach State board, the aggregate 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For information regarding the voting and support agreement and certain holders of shares of Peach State common stock, see “Information About the Peach State Special Meeting — Shares Subject to Voting and Support Agreement; Shares Held by Directors and Executive Officers” beginning on page </w:t>
      </w:r>
      <w:r>
        <w:rPr>
          <w:rFonts w:ascii="Times New Roman" w:cs="Times New Roman" w:eastAsia="Times New Roman" w:hAnsi="Times New Roman"/>
          <w:sz w:val="16"/>
          <w:szCs w:val="16"/>
          <w:u w:val="single" w:color="auto"/>
          <w:color w:val="0000EE"/>
        </w:rPr>
        <w:t>28</w:t>
      </w:r>
      <w:r>
        <w:rPr>
          <w:rFonts w:ascii="Times New Roman" w:cs="Times New Roman" w:eastAsia="Times New Roman" w:hAnsi="Times New Roman"/>
          <w:sz w:val="16"/>
          <w:szCs w:val="16"/>
          <w:color w:val="auto"/>
        </w:rPr>
        <w:t>.</w:t>
      </w:r>
    </w:p>
    <w:p>
      <w:pPr>
        <w:spacing w:after="0" w:line="3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Material U.S. Federal Income Tax Consequences of the Merger (page </w:t>
      </w:r>
      <w:r>
        <w:rPr>
          <w:rFonts w:ascii="Times New Roman" w:cs="Times New Roman" w:eastAsia="Times New Roman" w:hAnsi="Times New Roman"/>
          <w:sz w:val="16"/>
          <w:szCs w:val="16"/>
          <w:b w:val="1"/>
          <w:bCs w:val="1"/>
          <w:u w:val="single" w:color="auto"/>
          <w:color w:val="0000EE"/>
        </w:rPr>
        <w:t>78</w:t>
      </w:r>
      <w:r>
        <w:rPr>
          <w:rFonts w:ascii="Times New Roman" w:cs="Times New Roman" w:eastAsia="Times New Roman" w:hAnsi="Times New Roman"/>
          <w:sz w:val="16"/>
          <w:szCs w:val="16"/>
          <w:b w:val="1"/>
          <w:bCs w:val="1"/>
          <w:color w:val="auto"/>
        </w:rPr>
        <w:t>)</w:t>
      </w:r>
    </w:p>
    <w:p>
      <w:pPr>
        <w:spacing w:after="0" w:line="140" w:lineRule="exact"/>
        <w:rPr>
          <w:sz w:val="20"/>
          <w:szCs w:val="20"/>
          <w:color w:val="auto"/>
        </w:rPr>
      </w:pPr>
    </w:p>
    <w:p>
      <w:pPr>
        <w:ind w:left="1120" w:right="979" w:firstLine="318"/>
        <w:spacing w:after="0" w:line="241" w:lineRule="auto"/>
        <w:rPr>
          <w:sz w:val="20"/>
          <w:szCs w:val="20"/>
          <w:color w:val="auto"/>
        </w:rPr>
      </w:pPr>
      <w:r>
        <w:rPr>
          <w:rFonts w:ascii="Times New Roman" w:cs="Times New Roman" w:eastAsia="Times New Roman" w:hAnsi="Times New Roman"/>
          <w:sz w:val="16"/>
          <w:szCs w:val="16"/>
          <w:color w:val="auto"/>
        </w:rPr>
        <w:t>It is intended that the merger qualify as a “reorganization” within the meaning of Section 368(a) of the Code. It is a condition to the respective obligations of Peach State and United to complete the merger that each of Peach State and United receives a written opinion from its respective tax counsel to the effect that the merger will qualify as a “reorganization” within the meaning of Section 368(a) of the Code. If the merger so qualifies, the U.S. federal income tax consequences to Peach State shareholders who are a U.S. holder (as defined under “Material U.S. Federal Income Tax Consequences of the Merger”) and receive stock consideration and/or cash consideration in exchange for their shares of Peach State common stock pursuant to the merger agreement generally will be as follows:</w:t>
      </w:r>
    </w:p>
    <w:p>
      <w:pPr>
        <w:spacing w:after="0" w:line="71" w:lineRule="exact"/>
        <w:rPr>
          <w:sz w:val="20"/>
          <w:szCs w:val="20"/>
          <w:color w:val="auto"/>
        </w:rPr>
      </w:pPr>
    </w:p>
    <w:p>
      <w:pPr>
        <w:ind w:left="1600" w:right="979" w:hanging="164"/>
        <w:spacing w:after="0" w:line="258" w:lineRule="auto"/>
        <w:tabs>
          <w:tab w:leader="none" w:pos="16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Peach State shareholder receives solely cash consideration in exchange for such shareholder’s shares of Peach State common stock, such shareholder generally will recognize gain or loss equal to the difference between the amount of cash consideration received and the shareholder’s adjusted tax basis in the shares of Peach State common stock surrendered;</w:t>
      </w:r>
    </w:p>
    <w:p>
      <w:pPr>
        <w:spacing w:after="0" w:line="66" w:lineRule="exact"/>
        <w:rPr>
          <w:rFonts w:ascii="Times New Roman" w:cs="Times New Roman" w:eastAsia="Times New Roman" w:hAnsi="Times New Roman"/>
          <w:sz w:val="16"/>
          <w:szCs w:val="16"/>
          <w:color w:val="auto"/>
        </w:rPr>
      </w:pPr>
    </w:p>
    <w:p>
      <w:pPr>
        <w:ind w:left="1600" w:right="979" w:hanging="164"/>
        <w:spacing w:after="0" w:line="263" w:lineRule="auto"/>
        <w:tabs>
          <w:tab w:leader="none" w:pos="16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Peach State shareholder receives solely stock consideration in exchange for such shareholder’s shares of Peach State common stock, such shareholder generally will not recognize any gain or loss, except in respect of cash in lieu of a fractional share of United common stock; and</w:t>
      </w:r>
    </w:p>
    <w:p>
      <w:pPr>
        <w:spacing w:after="0" w:line="62" w:lineRule="exact"/>
        <w:rPr>
          <w:rFonts w:ascii="Times New Roman" w:cs="Times New Roman" w:eastAsia="Times New Roman" w:hAnsi="Times New Roman"/>
          <w:sz w:val="16"/>
          <w:szCs w:val="16"/>
          <w:color w:val="auto"/>
        </w:rPr>
      </w:pPr>
    </w:p>
    <w:p>
      <w:pPr>
        <w:ind w:left="1600" w:right="1079" w:hanging="164"/>
        <w:spacing w:after="0" w:line="263" w:lineRule="auto"/>
        <w:tabs>
          <w:tab w:leader="none" w:pos="16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Peach State shareholder receives a combination of stock consideration and cash consideration (other than cash in lieu of a fractional share of United common stock) pursuant to the merger, such shareholder generally will recognize gain (but not loss) in an amount equal to the lesser of (1) the</w:t>
      </w:r>
    </w:p>
    <w:p>
      <w:pPr>
        <w:spacing w:after="0" w:line="36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288290</wp:posOffset>
            </wp:positionV>
            <wp:extent cx="4861560" cy="7025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6156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0" w:right="1259"/>
        <w:spacing w:after="0" w:line="256" w:lineRule="auto"/>
        <w:rPr>
          <w:sz w:val="20"/>
          <w:szCs w:val="20"/>
          <w:color w:val="auto"/>
        </w:rPr>
      </w:pPr>
      <w:r>
        <w:rPr>
          <w:rFonts w:ascii="Times New Roman" w:cs="Times New Roman" w:eastAsia="Times New Roman" w:hAnsi="Times New Roman"/>
          <w:sz w:val="16"/>
          <w:szCs w:val="16"/>
          <w:color w:val="auto"/>
        </w:rPr>
        <w:t>sum of the amount of cash consideration and the fair market value of the stock consideration received, minus such shareholder’s adjusted tax basis in its shares of Peach State common stock surrendered and (2) the amount of cash consideration received.</w:t>
      </w:r>
    </w:p>
    <w:p>
      <w:pPr>
        <w:spacing w:after="0" w:line="90" w:lineRule="exact"/>
        <w:rPr>
          <w:sz w:val="20"/>
          <w:szCs w:val="20"/>
          <w:color w:val="auto"/>
        </w:rPr>
      </w:pPr>
    </w:p>
    <w:p>
      <w:pPr>
        <w:ind w:left="1120" w:right="1559" w:firstLine="318"/>
        <w:spacing w:after="0" w:line="263" w:lineRule="auto"/>
        <w:rPr>
          <w:sz w:val="20"/>
          <w:szCs w:val="20"/>
          <w:color w:val="auto"/>
        </w:rPr>
      </w:pPr>
      <w:r>
        <w:rPr>
          <w:rFonts w:ascii="Times New Roman" w:cs="Times New Roman" w:eastAsia="Times New Roman" w:hAnsi="Times New Roman"/>
          <w:sz w:val="16"/>
          <w:szCs w:val="16"/>
          <w:color w:val="auto"/>
        </w:rPr>
        <w:t xml:space="preserve">For further information, see “Material U.S. Federal Income Tax Consequences of the Merger” beginning on page </w:t>
      </w:r>
      <w:r>
        <w:rPr>
          <w:rFonts w:ascii="Times New Roman" w:cs="Times New Roman" w:eastAsia="Times New Roman" w:hAnsi="Times New Roman"/>
          <w:sz w:val="16"/>
          <w:szCs w:val="16"/>
          <w:u w:val="single" w:color="auto"/>
          <w:color w:val="0000EE"/>
        </w:rPr>
        <w:t>78</w:t>
      </w:r>
      <w:r>
        <w:rPr>
          <w:rFonts w:ascii="Times New Roman" w:cs="Times New Roman" w:eastAsia="Times New Roman" w:hAnsi="Times New Roman"/>
          <w:sz w:val="16"/>
          <w:szCs w:val="16"/>
          <w:color w:val="auto"/>
        </w:rPr>
        <w:t>.</w:t>
      </w:r>
    </w:p>
    <w:p>
      <w:pPr>
        <w:spacing w:after="0" w:line="85" w:lineRule="exact"/>
        <w:rPr>
          <w:sz w:val="20"/>
          <w:szCs w:val="20"/>
          <w:color w:val="auto"/>
        </w:rPr>
      </w:pPr>
    </w:p>
    <w:p>
      <w:pPr>
        <w:ind w:left="1120" w:right="959" w:firstLine="318"/>
        <w:spacing w:after="0" w:line="248" w:lineRule="auto"/>
        <w:rPr>
          <w:sz w:val="20"/>
          <w:szCs w:val="20"/>
          <w:color w:val="auto"/>
        </w:rPr>
      </w:pPr>
      <w:r>
        <w:rPr>
          <w:rFonts w:ascii="Times New Roman" w:cs="Times New Roman" w:eastAsia="Times New Roman" w:hAnsi="Times New Roman"/>
          <w:sz w:val="16"/>
          <w:szCs w:val="16"/>
          <w:color w:val="auto"/>
        </w:rPr>
        <w:t>The U.S. federal income tax consequences described above may not apply to all holders of Peach State common stock. The tax consequences to a holder of Peach State common stock will depend on his or her individual situation. Accordingly, Peach State shareholders should consult their own tax advisors for a full understanding of the particular tax consequences of the merger to them.</w:t>
      </w:r>
    </w:p>
    <w:p>
      <w:pPr>
        <w:spacing w:after="0" w:line="16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Interests of Peach’s Directors and Executive Officers in the Merger (page </w:t>
      </w:r>
      <w:r>
        <w:rPr>
          <w:rFonts w:ascii="Times New Roman" w:cs="Times New Roman" w:eastAsia="Times New Roman" w:hAnsi="Times New Roman"/>
          <w:sz w:val="16"/>
          <w:szCs w:val="16"/>
          <w:b w:val="1"/>
          <w:bCs w:val="1"/>
          <w:u w:val="single" w:color="auto"/>
          <w:color w:val="0000EE"/>
        </w:rPr>
        <w:t>82</w:t>
      </w:r>
      <w:r>
        <w:rPr>
          <w:rFonts w:ascii="Times New Roman" w:cs="Times New Roman" w:eastAsia="Times New Roman" w:hAnsi="Times New Roman"/>
          <w:sz w:val="16"/>
          <w:szCs w:val="16"/>
          <w:b w:val="1"/>
          <w:bCs w:val="1"/>
          <w:color w:val="auto"/>
        </w:rPr>
        <w:t>)</w:t>
      </w:r>
    </w:p>
    <w:p>
      <w:pPr>
        <w:spacing w:after="0" w:line="128" w:lineRule="exact"/>
        <w:rPr>
          <w:sz w:val="20"/>
          <w:szCs w:val="20"/>
          <w:color w:val="auto"/>
        </w:rPr>
      </w:pPr>
    </w:p>
    <w:p>
      <w:pPr>
        <w:ind w:left="1120" w:right="1019" w:firstLine="318"/>
        <w:spacing w:after="0" w:line="245" w:lineRule="auto"/>
        <w:rPr>
          <w:sz w:val="20"/>
          <w:szCs w:val="20"/>
          <w:color w:val="auto"/>
        </w:rPr>
      </w:pPr>
      <w:r>
        <w:rPr>
          <w:rFonts w:ascii="Times New Roman" w:cs="Times New Roman" w:eastAsia="Times New Roman" w:hAnsi="Times New Roman"/>
          <w:sz w:val="16"/>
          <w:szCs w:val="16"/>
          <w:color w:val="auto"/>
        </w:rPr>
        <w:t>In considering the recommendation of the Peach State board of directors with respect to the merger, Peach State shareholders should be aware that Peach State’s directors and executive officers may have interests in the merger that are different from, or in addition to, the interests of Peach State shareholders generally. The Peach State board of directors was aware of and considered these interests in evaluating the merger and in determining to approve the merger agreement and recommend that Peach State shareholders vote in favor of adopting the merger agreement.</w:t>
      </w:r>
    </w:p>
    <w:p>
      <w:pPr>
        <w:spacing w:after="0" w:line="10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These interests include, among others, the following:</w:t>
      </w:r>
    </w:p>
    <w:p>
      <w:pPr>
        <w:spacing w:after="0" w:line="100" w:lineRule="exact"/>
        <w:rPr>
          <w:sz w:val="20"/>
          <w:szCs w:val="20"/>
          <w:color w:val="auto"/>
        </w:rPr>
      </w:pPr>
    </w:p>
    <w:p>
      <w:pPr>
        <w:ind w:left="1600" w:right="899" w:hanging="164"/>
        <w:spacing w:after="0" w:line="259" w:lineRule="auto"/>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Equity awards</w:t>
      </w:r>
      <w:r>
        <w:rPr>
          <w:rFonts w:ascii="Times New Roman" w:cs="Times New Roman" w:eastAsia="Times New Roman" w:hAnsi="Times New Roman"/>
          <w:sz w:val="16"/>
          <w:szCs w:val="16"/>
          <w:color w:val="auto"/>
        </w:rPr>
        <w:t>. Each of Peach State’s executive officers and certain of its directors hold unvested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options to acquire shares of Peach State common stock and, at the effective time of the merger, each outstanding stock option will vest and be cashed out for the amount (if any) equal to $31.75 less the applicable exercise price, subject to the terms and conditions described in the merger agreement.</w:t>
      </w:r>
    </w:p>
    <w:p>
      <w:pPr>
        <w:spacing w:after="0" w:line="39" w:lineRule="exact"/>
        <w:rPr>
          <w:rFonts w:ascii="Times New Roman" w:cs="Times New Roman" w:eastAsia="Times New Roman" w:hAnsi="Times New Roman"/>
          <w:sz w:val="16"/>
          <w:szCs w:val="16"/>
          <w:color w:val="auto"/>
        </w:rPr>
      </w:pPr>
    </w:p>
    <w:p>
      <w:pPr>
        <w:ind w:left="1600" w:right="959" w:hanging="164"/>
        <w:spacing w:after="0" w:line="254" w:lineRule="auto"/>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Change-in-control arrangements</w:t>
      </w:r>
      <w:r>
        <w:rPr>
          <w:rFonts w:ascii="Times New Roman" w:cs="Times New Roman" w:eastAsia="Times New Roman" w:hAnsi="Times New Roman"/>
          <w:sz w:val="16"/>
          <w:szCs w:val="16"/>
          <w:color w:val="auto"/>
        </w:rPr>
        <w:t>. Peach State Bank has entered into change-in-control agreements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certain executive officers pursuant to which those executives may become entitled to severance payments and continued benefits in the event of a qualifying termination of employment following the merger. In connection with the consummation of the merger, the change-in-control agreements with each of Messrs. Quinn, Blair and Baker will be terminated and Peach State will pay to each executive a lump sum cash amount in satisfaction of the entitlements thereunder, irrespective of whether or not he experiences a qualifying termination at such time.</w:t>
      </w:r>
    </w:p>
    <w:p>
      <w:pPr>
        <w:spacing w:after="0" w:line="54" w:lineRule="exact"/>
        <w:rPr>
          <w:rFonts w:ascii="Times New Roman" w:cs="Times New Roman" w:eastAsia="Times New Roman" w:hAnsi="Times New Roman"/>
          <w:sz w:val="16"/>
          <w:szCs w:val="16"/>
          <w:color w:val="auto"/>
        </w:rPr>
      </w:pPr>
    </w:p>
    <w:p>
      <w:pPr>
        <w:ind w:left="1600" w:right="879" w:hanging="164"/>
        <w:spacing w:after="0" w:line="256" w:lineRule="auto"/>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Retirement and deferred compensation benefits</w:t>
      </w:r>
      <w:r>
        <w:rPr>
          <w:rFonts w:ascii="Times New Roman" w:cs="Times New Roman" w:eastAsia="Times New Roman" w:hAnsi="Times New Roman"/>
          <w:sz w:val="16"/>
          <w:szCs w:val="16"/>
          <w:color w:val="auto"/>
        </w:rPr>
        <w:t>. Certain executive officers participate in Peach State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Bank supplemental retirement and deferred compensation plans that provide for accelerated payment of benefits or account balances in connection with or following a change in control. In connection with the consummation of the merger, such supplemental retirement and deferred compensation plans will be terminated, and all amounts accrued thereunder will be distributed to participants.</w:t>
      </w:r>
    </w:p>
    <w:p>
      <w:pPr>
        <w:spacing w:after="0" w:line="43" w:lineRule="exact"/>
        <w:rPr>
          <w:rFonts w:ascii="Times New Roman" w:cs="Times New Roman" w:eastAsia="Times New Roman" w:hAnsi="Times New Roman"/>
          <w:sz w:val="16"/>
          <w:szCs w:val="16"/>
          <w:color w:val="auto"/>
        </w:rPr>
      </w:pPr>
    </w:p>
    <w:p>
      <w:pPr>
        <w:ind w:left="1600" w:right="959" w:hanging="164"/>
        <w:spacing w:after="0" w:line="259" w:lineRule="auto"/>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Post-merger employment and retention arrangements</w:t>
      </w:r>
      <w:r>
        <w:rPr>
          <w:rFonts w:ascii="Times New Roman" w:cs="Times New Roman" w:eastAsia="Times New Roman" w:hAnsi="Times New Roman"/>
          <w:sz w:val="16"/>
          <w:szCs w:val="16"/>
          <w:color w:val="auto"/>
        </w:rPr>
        <w:t>. United entered into a retention arrangement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Mr. Quinn concurrently with the execution of the merger agreement which provides for, among other things, certain compensation and benefits for his service with United following the consummation of the merger.</w:t>
      </w:r>
    </w:p>
    <w:p>
      <w:pPr>
        <w:spacing w:after="0" w:line="101" w:lineRule="exact"/>
        <w:rPr>
          <w:sz w:val="20"/>
          <w:szCs w:val="20"/>
          <w:color w:val="auto"/>
        </w:rPr>
      </w:pPr>
    </w:p>
    <w:p>
      <w:pPr>
        <w:ind w:left="1120" w:right="1079" w:firstLine="318"/>
        <w:spacing w:after="0" w:line="263" w:lineRule="auto"/>
        <w:rPr>
          <w:sz w:val="20"/>
          <w:szCs w:val="20"/>
          <w:color w:val="auto"/>
        </w:rPr>
      </w:pPr>
      <w:r>
        <w:rPr>
          <w:rFonts w:ascii="Times New Roman" w:cs="Times New Roman" w:eastAsia="Times New Roman" w:hAnsi="Times New Roman"/>
          <w:sz w:val="16"/>
          <w:szCs w:val="16"/>
          <w:color w:val="auto"/>
        </w:rPr>
        <w:t xml:space="preserve">For a more complete description of these interests, see the section entitled “Interests of Peach State’s Directors and Executive Officers in the Merger,” beginning on page </w:t>
      </w:r>
      <w:r>
        <w:rPr>
          <w:rFonts w:ascii="Times New Roman" w:cs="Times New Roman" w:eastAsia="Times New Roman" w:hAnsi="Times New Roman"/>
          <w:sz w:val="16"/>
          <w:szCs w:val="16"/>
          <w:u w:val="single" w:color="auto"/>
          <w:color w:val="0000EE"/>
        </w:rPr>
        <w:t>82</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Dissenters’ Rights in the Merger (page </w:t>
      </w:r>
      <w:r>
        <w:rPr>
          <w:rFonts w:ascii="Times New Roman" w:cs="Times New Roman" w:eastAsia="Times New Roman" w:hAnsi="Times New Roman"/>
          <w:sz w:val="16"/>
          <w:szCs w:val="16"/>
          <w:b w:val="1"/>
          <w:bCs w:val="1"/>
          <w:u w:val="single" w:color="auto"/>
          <w:color w:val="0000EE"/>
        </w:rPr>
        <w:t>94</w:t>
      </w:r>
      <w:r>
        <w:rPr>
          <w:rFonts w:ascii="Times New Roman" w:cs="Times New Roman" w:eastAsia="Times New Roman" w:hAnsi="Times New Roman"/>
          <w:sz w:val="16"/>
          <w:szCs w:val="16"/>
          <w:b w:val="1"/>
          <w:bCs w:val="1"/>
          <w:color w:val="auto"/>
        </w:rPr>
        <w:t>)</w:t>
      </w:r>
    </w:p>
    <w:p>
      <w:pPr>
        <w:spacing w:after="0" w:line="140" w:lineRule="exact"/>
        <w:rPr>
          <w:sz w:val="20"/>
          <w:szCs w:val="20"/>
          <w:color w:val="auto"/>
        </w:rPr>
      </w:pPr>
    </w:p>
    <w:p>
      <w:pPr>
        <w:ind w:left="1120" w:right="919" w:firstLine="318"/>
        <w:spacing w:after="0" w:line="244" w:lineRule="auto"/>
        <w:rPr>
          <w:sz w:val="20"/>
          <w:szCs w:val="20"/>
          <w:color w:val="auto"/>
        </w:rPr>
      </w:pPr>
      <w:r>
        <w:rPr>
          <w:rFonts w:ascii="Times New Roman" w:cs="Times New Roman" w:eastAsia="Times New Roman" w:hAnsi="Times New Roman"/>
          <w:sz w:val="16"/>
          <w:szCs w:val="16"/>
          <w:color w:val="auto"/>
        </w:rPr>
        <w:t>Under Georgia law, record holders of shares of Peach State common stock are entitled to exercise statutory rights of dissent and appraisal and receive payment of the fair value of their shares in cash as determined by an appraisal process. To exercise those dissenters’ rights, a Peach State shareholder must not vote in favor of the Peach State merger proposal and comply with the statutory requirements of Georgia law concerning dissenters’ rights of appraisal.</w:t>
      </w:r>
    </w:p>
    <w:p>
      <w:pPr>
        <w:spacing w:after="0" w:line="101" w:lineRule="exact"/>
        <w:rPr>
          <w:sz w:val="20"/>
          <w:szCs w:val="20"/>
          <w:color w:val="auto"/>
        </w:rPr>
      </w:pPr>
    </w:p>
    <w:p>
      <w:pPr>
        <w:ind w:left="1120" w:right="939" w:firstLine="318"/>
        <w:spacing w:after="0" w:line="279" w:lineRule="auto"/>
        <w:rPr>
          <w:sz w:val="20"/>
          <w:szCs w:val="20"/>
          <w:color w:val="auto"/>
        </w:rPr>
      </w:pPr>
      <w:r>
        <w:rPr>
          <w:rFonts w:ascii="Times New Roman" w:cs="Times New Roman" w:eastAsia="Times New Roman" w:hAnsi="Times New Roman"/>
          <w:sz w:val="16"/>
          <w:szCs w:val="16"/>
          <w:color w:val="auto"/>
        </w:rPr>
        <w:t>To be eligible to demand payment for their shares, Peach State shareholders must file with Peach State, prior to the vote on the Peach State merger proposal, a written notice of such holder’s intention to demand</w:t>
      </w:r>
    </w:p>
    <w:p>
      <w:pPr>
        <w:spacing w:after="0" w:line="200" w:lineRule="exact"/>
        <w:rPr>
          <w:sz w:val="20"/>
          <w:szCs w:val="20"/>
          <w:color w:val="auto"/>
        </w:rPr>
      </w:pPr>
    </w:p>
    <w:p>
      <w:pPr>
        <w:spacing w:after="0" w:line="21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288290</wp:posOffset>
            </wp:positionV>
            <wp:extent cx="4861560" cy="7025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6156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20" w:right="979"/>
        <w:spacing w:after="0" w:line="248" w:lineRule="auto"/>
        <w:rPr>
          <w:sz w:val="20"/>
          <w:szCs w:val="20"/>
          <w:color w:val="auto"/>
        </w:rPr>
      </w:pPr>
      <w:r>
        <w:rPr>
          <w:rFonts w:ascii="Times New Roman" w:cs="Times New Roman" w:eastAsia="Times New Roman" w:hAnsi="Times New Roman"/>
          <w:sz w:val="16"/>
          <w:szCs w:val="16"/>
          <w:color w:val="auto"/>
        </w:rPr>
        <w:t>payment for the fair value of their shares if the merger is completed. Voting against the Peach State merger proposal alone will not entitle a Peach State shareholder to cash payment for their shares. Please see “The Merger Agreement — Dissenters’ Rights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beginning on page </w:t>
      </w:r>
      <w:r>
        <w:rPr>
          <w:rFonts w:ascii="Times New Roman" w:cs="Times New Roman" w:eastAsia="Times New Roman" w:hAnsi="Times New Roman"/>
          <w:sz w:val="16"/>
          <w:szCs w:val="16"/>
          <w:u w:val="single" w:color="auto"/>
          <w:color w:val="0000EE"/>
        </w:rPr>
        <w:t>64</w:t>
      </w:r>
      <w:r>
        <w:rPr>
          <w:rFonts w:ascii="Times New Roman" w:cs="Times New Roman" w:eastAsia="Times New Roman" w:hAnsi="Times New Roman"/>
          <w:sz w:val="16"/>
          <w:szCs w:val="16"/>
          <w:color w:val="auto"/>
        </w:rPr>
        <w:t xml:space="preserve"> for a discussion of the statutory requirements Peach State shareholders are required to follow to perfect their dissenters’ rights of appraisal.</w:t>
      </w:r>
    </w:p>
    <w:p>
      <w:pPr>
        <w:spacing w:after="0" w:line="97" w:lineRule="exact"/>
        <w:rPr>
          <w:sz w:val="20"/>
          <w:szCs w:val="20"/>
          <w:color w:val="auto"/>
        </w:rPr>
      </w:pPr>
    </w:p>
    <w:p>
      <w:pPr>
        <w:ind w:left="1120" w:right="1199" w:firstLine="318"/>
        <w:spacing w:after="0" w:line="248" w:lineRule="auto"/>
        <w:rPr>
          <w:sz w:val="20"/>
          <w:szCs w:val="20"/>
          <w:color w:val="auto"/>
        </w:rPr>
      </w:pPr>
      <w:r>
        <w:rPr>
          <w:rFonts w:ascii="Times New Roman" w:cs="Times New Roman" w:eastAsia="Times New Roman" w:hAnsi="Times New Roman"/>
          <w:sz w:val="16"/>
          <w:szCs w:val="16"/>
          <w:color w:val="auto"/>
        </w:rPr>
        <w:t>A copy of Article 13 of the GBCC is attached as Annex D to this joint proxy statement/prospectus. Failure to strictly comply with these provisions may result in the loss of appraisal rights. The value determined in the appraisal process may be more or less than the value a Peach State shareholder would receive in the merger under the terms of the merger agreement.</w:t>
      </w:r>
    </w:p>
    <w:p>
      <w:pPr>
        <w:spacing w:after="0" w:line="97" w:lineRule="exact"/>
        <w:rPr>
          <w:sz w:val="20"/>
          <w:szCs w:val="20"/>
          <w:color w:val="auto"/>
        </w:rPr>
      </w:pPr>
    </w:p>
    <w:p>
      <w:pPr>
        <w:ind w:left="1120" w:right="1059" w:firstLine="318"/>
        <w:spacing w:after="0" w:line="256" w:lineRule="auto"/>
        <w:rPr>
          <w:sz w:val="20"/>
          <w:szCs w:val="20"/>
          <w:color w:val="auto"/>
        </w:rPr>
      </w:pPr>
      <w:r>
        <w:rPr>
          <w:rFonts w:ascii="Times New Roman" w:cs="Times New Roman" w:eastAsia="Times New Roman" w:hAnsi="Times New Roman"/>
          <w:sz w:val="16"/>
          <w:szCs w:val="16"/>
          <w:color w:val="auto"/>
        </w:rPr>
        <w:t>Pursuant to the merger agreement, United will not be obligated to consummate the merger if rights of dissenters are properly asserted with respect to more than 5% of the outstanding shares of Peach State common stock.</w:t>
      </w:r>
    </w:p>
    <w:p>
      <w:pPr>
        <w:spacing w:after="0" w:line="1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Regulatory Approvals Required for the Merger (page </w:t>
      </w:r>
      <w:r>
        <w:rPr>
          <w:rFonts w:ascii="Times New Roman" w:cs="Times New Roman" w:eastAsia="Times New Roman" w:hAnsi="Times New Roman"/>
          <w:sz w:val="16"/>
          <w:szCs w:val="16"/>
          <w:b w:val="1"/>
          <w:bCs w:val="1"/>
          <w:u w:val="single" w:color="auto"/>
          <w:color w:val="0000EE"/>
        </w:rPr>
        <w:t>56</w:t>
      </w:r>
      <w:r>
        <w:rPr>
          <w:rFonts w:ascii="Times New Roman" w:cs="Times New Roman" w:eastAsia="Times New Roman" w:hAnsi="Times New Roman"/>
          <w:sz w:val="16"/>
          <w:szCs w:val="16"/>
          <w:b w:val="1"/>
          <w:bCs w:val="1"/>
          <w:color w:val="auto"/>
        </w:rPr>
        <w:t>)</w:t>
      </w:r>
    </w:p>
    <w:p>
      <w:pPr>
        <w:spacing w:after="0" w:line="140" w:lineRule="exact"/>
        <w:rPr>
          <w:sz w:val="20"/>
          <w:szCs w:val="20"/>
          <w:color w:val="auto"/>
        </w:rPr>
      </w:pPr>
    </w:p>
    <w:p>
      <w:pPr>
        <w:ind w:left="1120" w:right="979" w:firstLine="318"/>
        <w:spacing w:after="0" w:line="243" w:lineRule="auto"/>
        <w:rPr>
          <w:sz w:val="20"/>
          <w:szCs w:val="20"/>
          <w:color w:val="auto"/>
        </w:rPr>
      </w:pPr>
      <w:r>
        <w:rPr>
          <w:rFonts w:ascii="Times New Roman" w:cs="Times New Roman" w:eastAsia="Times New Roman" w:hAnsi="Times New Roman"/>
          <w:sz w:val="16"/>
          <w:szCs w:val="16"/>
          <w:color w:val="auto"/>
        </w:rPr>
        <w:t>Subject to the terms of the merger agreement, both United and Peach State have agreed to use their reasonable best efforts and cooperate to promptly prepare and file, or cause to be prepared and filed, all necessary documentation to obtain as soon as practicable all regulatory approvals necessary or advisable to complete the transactions contemplated by the merger agreement. These include approvals from, among others, the Board of Governors of the Federal Reserve System, which we refer to as the Federal Reserve Board, and the South Carolina Board of Financial Institutions, which we refer to as the SCBFI. The initial filing of these regulatory applications occurred on May 20, 2026.</w:t>
      </w:r>
    </w:p>
    <w:p>
      <w:pPr>
        <w:spacing w:after="0" w:line="102" w:lineRule="exact"/>
        <w:rPr>
          <w:sz w:val="20"/>
          <w:szCs w:val="20"/>
          <w:color w:val="auto"/>
        </w:rPr>
      </w:pPr>
    </w:p>
    <w:p>
      <w:pPr>
        <w:ind w:left="1120" w:right="979" w:firstLine="318"/>
        <w:spacing w:after="0" w:line="244" w:lineRule="auto"/>
        <w:rPr>
          <w:sz w:val="20"/>
          <w:szCs w:val="20"/>
          <w:color w:val="auto"/>
        </w:rPr>
      </w:pPr>
      <w:r>
        <w:rPr>
          <w:rFonts w:ascii="Times New Roman" w:cs="Times New Roman" w:eastAsia="Times New Roman" w:hAnsi="Times New Roman"/>
          <w:sz w:val="16"/>
          <w:szCs w:val="16"/>
          <w:color w:val="auto"/>
        </w:rPr>
        <w:t xml:space="preserve">Although neither United nor Peach State knows of any reason why it cannot obtain these regulatory approvals in a timely manner, United and Peach State cannot be certain when or if they will be obtained, or that the granting of these regulatory approvals will not involve the imposition of conditions on the completion of the merger or the bank merger. For more information, see “The Merger — Regulatory Approvals Required for the Merger,” beginning on page </w:t>
      </w:r>
      <w:r>
        <w:rPr>
          <w:rFonts w:ascii="Times New Roman" w:cs="Times New Roman" w:eastAsia="Times New Roman" w:hAnsi="Times New Roman"/>
          <w:sz w:val="16"/>
          <w:szCs w:val="16"/>
          <w:u w:val="single" w:color="auto"/>
          <w:color w:val="0000EE"/>
        </w:rPr>
        <w:t>56</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Conditions to Complete the Merger (page </w:t>
      </w:r>
      <w:r>
        <w:rPr>
          <w:rFonts w:ascii="Times New Roman" w:cs="Times New Roman" w:eastAsia="Times New Roman" w:hAnsi="Times New Roman"/>
          <w:sz w:val="16"/>
          <w:szCs w:val="16"/>
          <w:b w:val="1"/>
          <w:bCs w:val="1"/>
          <w:u w:val="single" w:color="auto"/>
          <w:color w:val="0000EE"/>
        </w:rPr>
        <w:t>73</w:t>
      </w:r>
      <w:r>
        <w:rPr>
          <w:rFonts w:ascii="Times New Roman" w:cs="Times New Roman" w:eastAsia="Times New Roman" w:hAnsi="Times New Roman"/>
          <w:sz w:val="16"/>
          <w:szCs w:val="16"/>
          <w:b w:val="1"/>
          <w:bCs w:val="1"/>
          <w:color w:val="auto"/>
        </w:rPr>
        <w:t>)</w:t>
      </w:r>
    </w:p>
    <w:p>
      <w:pPr>
        <w:spacing w:after="0" w:line="128" w:lineRule="exact"/>
        <w:rPr>
          <w:sz w:val="20"/>
          <w:szCs w:val="20"/>
          <w:color w:val="auto"/>
        </w:rPr>
      </w:pPr>
    </w:p>
    <w:p>
      <w:pPr>
        <w:ind w:left="1120" w:right="899" w:firstLine="318"/>
        <w:spacing w:after="0" w:line="242" w:lineRule="auto"/>
        <w:rPr>
          <w:sz w:val="20"/>
          <w:szCs w:val="20"/>
          <w:color w:val="auto"/>
        </w:rPr>
      </w:pPr>
      <w:r>
        <w:rPr>
          <w:rFonts w:ascii="Times New Roman" w:cs="Times New Roman" w:eastAsia="Times New Roman" w:hAnsi="Times New Roman"/>
          <w:sz w:val="16"/>
          <w:szCs w:val="16"/>
          <w:color w:val="auto"/>
        </w:rPr>
        <w:t>Each party’s obligation to complete the merger is subject to the satisfaction or waiver (to the extent permitted under applicable law) of certain conditions, including: (1) the adoption and approval of the merger agreement by the requisite vote of Peach State shareholders; (2) the receipt of all required regulatory approvals and expiration or termination of all statutory waiting periods in respect thereof, each as described above, and no such regulatory approval shall have resulted in the imposition of a materially burdensome regulatory condition, as defined in the merger agreement; (3) authorization for listing on NYSE, subject to official notice of issuance, of the shares of United common stock to be issued in the merger;</w:t>
      </w:r>
    </w:p>
    <w:p>
      <w:pPr>
        <w:spacing w:after="0" w:line="5" w:lineRule="exact"/>
        <w:rPr>
          <w:sz w:val="20"/>
          <w:szCs w:val="20"/>
          <w:color w:val="auto"/>
        </w:rPr>
      </w:pPr>
    </w:p>
    <w:p>
      <w:pPr>
        <w:ind w:left="1120" w:right="899" w:hanging="1"/>
        <w:spacing w:after="0"/>
        <w:tabs>
          <w:tab w:leader="none" w:pos="135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effectiveness of the registration statement on Form S-4 with respect to the shares of the United common stock to be issued in the merger; (5) the absence of any order, injunction, decree or other legal restraint preventing the completion of the merger or making the completion of the merger illegal; (6) subject to certain exceptions, the accuracy of the representations and warranties of the other party; (7) performance in all material respects by the other party of its obligations under the merger agreement; (8) receipt by such party of an opinion from its respective tax counsel to the effect that the merger will qualify as a “reorganization” within the meaning of Section 368(a) of the Code; (9) with respect to United, the holders of no more than 5% of the aggregate outstanding shares of Peach State’s common stock having properly notified Peach State of their intent to exercise appraisal rights; (10) the absence of any change, state of facts, event, development or effect that has had, or would reasonably be expected to have, either individually or in the aggregate, a material adverse effect on either party since April 20, 2026; (11) with respect to United, the receipt of evidence of the dissolution of 332 Spring, LLC, an inactive subsidiary of Peach State; and (12) with respect to United, the receipt of a properly executed Foreign Investment and Real Property Tax Act of 1980 (FIRPTA) notice and certificate from Peach State stating that shares of capital stock of Peach State do not constitute “United States real property interests” under Section 897(c) of the Code.</w:t>
      </w:r>
    </w:p>
    <w:p>
      <w:pPr>
        <w:spacing w:after="0" w:line="261" w:lineRule="exact"/>
        <w:rPr>
          <w:sz w:val="20"/>
          <w:szCs w:val="20"/>
          <w:color w:val="auto"/>
        </w:rPr>
      </w:pPr>
    </w:p>
    <w:p>
      <w:pPr>
        <w:ind w:left="1120" w:right="939" w:firstLine="318"/>
        <w:spacing w:after="0" w:line="256" w:lineRule="auto"/>
        <w:rPr>
          <w:sz w:val="20"/>
          <w:szCs w:val="20"/>
          <w:color w:val="auto"/>
        </w:rPr>
      </w:pPr>
      <w:r>
        <w:rPr>
          <w:rFonts w:ascii="Times New Roman" w:cs="Times New Roman" w:eastAsia="Times New Roman" w:hAnsi="Times New Roman"/>
          <w:sz w:val="16"/>
          <w:szCs w:val="16"/>
          <w:color w:val="auto"/>
        </w:rPr>
        <w:t xml:space="preserve">Neither United nor Peach State can be certain when, or if, the conditions to the merger will be satisfied or waived, or that the merger will be completed. For more information, see “The Merger Agreement —  Conditions to Complete the Merger,” beginning on page </w:t>
      </w:r>
      <w:r>
        <w:rPr>
          <w:rFonts w:ascii="Times New Roman" w:cs="Times New Roman" w:eastAsia="Times New Roman" w:hAnsi="Times New Roman"/>
          <w:sz w:val="16"/>
          <w:szCs w:val="16"/>
          <w:u w:val="single" w:color="auto"/>
          <w:color w:val="0000EE"/>
        </w:rPr>
        <w:t>73</w:t>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288290</wp:posOffset>
            </wp:positionV>
            <wp:extent cx="4861560" cy="7025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6156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Termination of the Merger Agreement (page </w:t>
      </w:r>
      <w:r>
        <w:rPr>
          <w:rFonts w:ascii="Times New Roman" w:cs="Times New Roman" w:eastAsia="Times New Roman" w:hAnsi="Times New Roman"/>
          <w:sz w:val="16"/>
          <w:szCs w:val="16"/>
          <w:b w:val="1"/>
          <w:bCs w:val="1"/>
          <w:u w:val="single" w:color="auto"/>
          <w:color w:val="0000EE"/>
        </w:rPr>
        <w:t>74</w:t>
      </w:r>
      <w:r>
        <w:rPr>
          <w:rFonts w:ascii="Times New Roman" w:cs="Times New Roman" w:eastAsia="Times New Roman" w:hAnsi="Times New Roman"/>
          <w:sz w:val="16"/>
          <w:szCs w:val="16"/>
          <w:b w:val="1"/>
          <w:bCs w:val="1"/>
          <w:color w:val="auto"/>
        </w:rPr>
        <w:t>)</w:t>
      </w:r>
    </w:p>
    <w:p>
      <w:pPr>
        <w:spacing w:after="0" w:line="140" w:lineRule="exact"/>
        <w:rPr>
          <w:sz w:val="20"/>
          <w:szCs w:val="20"/>
          <w:color w:val="auto"/>
        </w:rPr>
      </w:pPr>
    </w:p>
    <w:p>
      <w:pPr>
        <w:ind w:left="1120" w:right="1339" w:firstLine="318"/>
        <w:spacing w:after="0" w:line="263" w:lineRule="auto"/>
        <w:rPr>
          <w:sz w:val="20"/>
          <w:szCs w:val="20"/>
          <w:color w:val="auto"/>
        </w:rPr>
      </w:pPr>
      <w:r>
        <w:rPr>
          <w:rFonts w:ascii="Times New Roman" w:cs="Times New Roman" w:eastAsia="Times New Roman" w:hAnsi="Times New Roman"/>
          <w:sz w:val="16"/>
          <w:szCs w:val="16"/>
          <w:color w:val="auto"/>
        </w:rPr>
        <w:t>The merger agreement may be terminated at any time by either United or Peach State prior to the effective time under the following circumstances:</w:t>
      </w:r>
    </w:p>
    <w:p>
      <w:pPr>
        <w:spacing w:after="0" w:line="49" w:lineRule="exact"/>
        <w:rPr>
          <w:sz w:val="20"/>
          <w:szCs w:val="20"/>
          <w:color w:val="auto"/>
        </w:rPr>
      </w:pPr>
    </w:p>
    <w:p>
      <w:pPr>
        <w:ind w:left="1600" w:hanging="164"/>
        <w:spacing w:after="0"/>
        <w:tabs>
          <w:tab w:leader="none" w:pos="1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written consent of United and Peach State;</w:t>
      </w:r>
    </w:p>
    <w:p>
      <w:pPr>
        <w:spacing w:after="0" w:line="101" w:lineRule="exact"/>
        <w:rPr>
          <w:rFonts w:ascii="Times New Roman" w:cs="Times New Roman" w:eastAsia="Times New Roman" w:hAnsi="Times New Roman"/>
          <w:sz w:val="16"/>
          <w:szCs w:val="16"/>
          <w:color w:val="auto"/>
        </w:rPr>
      </w:pPr>
    </w:p>
    <w:p>
      <w:pPr>
        <w:ind w:left="1600" w:right="1059" w:hanging="164"/>
        <w:spacing w:after="0" w:line="263" w:lineRule="auto"/>
        <w:tabs>
          <w:tab w:leader="none" w:pos="1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merger is not consummated by January 22, 2027, unless the failure of the merger to be consummated by that date is due to a material breach of the merger agreement by the party seeking to terminate the merger agreement;</w:t>
      </w:r>
    </w:p>
    <w:p>
      <w:pPr>
        <w:spacing w:after="0" w:line="62" w:lineRule="exact"/>
        <w:rPr>
          <w:rFonts w:ascii="Times New Roman" w:cs="Times New Roman" w:eastAsia="Times New Roman" w:hAnsi="Times New Roman"/>
          <w:sz w:val="16"/>
          <w:szCs w:val="16"/>
          <w:color w:val="auto"/>
        </w:rPr>
      </w:pPr>
    </w:p>
    <w:p>
      <w:pPr>
        <w:ind w:left="1600" w:right="959" w:hanging="164"/>
        <w:spacing w:after="0" w:line="254" w:lineRule="auto"/>
        <w:tabs>
          <w:tab w:leader="none" w:pos="1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regulatory approval required to complete the merger is denied by a final, non-appealable action or an application for any such regulatory approval is permanently withdrawn at the request of a governmental authority (provided that the right to terminate the merger agreement pursuant to this bullet point will not be available to any party whose failure (or the failure of any of its affiliates) to fulfill any of its obligations (excluding representations and warranties) under the merger agreement has been the cause of or resulted in the occurrence of such event described in this bullet point);</w:t>
      </w:r>
    </w:p>
    <w:p>
      <w:pPr>
        <w:spacing w:after="0" w:line="58" w:lineRule="exact"/>
        <w:rPr>
          <w:rFonts w:ascii="Times New Roman" w:cs="Times New Roman" w:eastAsia="Times New Roman" w:hAnsi="Times New Roman"/>
          <w:sz w:val="16"/>
          <w:szCs w:val="16"/>
          <w:color w:val="auto"/>
        </w:rPr>
      </w:pPr>
    </w:p>
    <w:p>
      <w:pPr>
        <w:ind w:left="1600" w:right="1119" w:hanging="164"/>
        <w:spacing w:after="0" w:line="258" w:lineRule="auto"/>
        <w:tabs>
          <w:tab w:leader="none" w:pos="1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adoption and approval of the merger proposal by Peach State shareholders is not obtained at the Peach State special meeting or any adjournment or postponement thereof (provided that Peach State may not terminate the merger agreement pursuant to this bullet point if it is in breach of its shareholder meeting and non-solicitation obligations);</w:t>
      </w:r>
    </w:p>
    <w:p>
      <w:pPr>
        <w:spacing w:after="0" w:line="66" w:lineRule="exact"/>
        <w:rPr>
          <w:rFonts w:ascii="Times New Roman" w:cs="Times New Roman" w:eastAsia="Times New Roman" w:hAnsi="Times New Roman"/>
          <w:sz w:val="16"/>
          <w:szCs w:val="16"/>
          <w:color w:val="auto"/>
        </w:rPr>
      </w:pPr>
    </w:p>
    <w:p>
      <w:pPr>
        <w:ind w:left="1600" w:right="1039" w:hanging="164"/>
        <w:spacing w:after="0" w:line="263" w:lineRule="auto"/>
        <w:tabs>
          <w:tab w:leader="none" w:pos="1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cure rights, in the event of a breach of any of the covenants or agreements, or any inaccuracy of any of the representations or warranties of the other party, such that the conditions to the terminating party’s obligations to complete the merger would not be satisfied.</w:t>
      </w:r>
    </w:p>
    <w:p>
      <w:pPr>
        <w:spacing w:after="0" w:line="98" w:lineRule="exact"/>
        <w:rPr>
          <w:sz w:val="20"/>
          <w:szCs w:val="20"/>
          <w:color w:val="auto"/>
        </w:rPr>
      </w:pPr>
    </w:p>
    <w:p>
      <w:pPr>
        <w:ind w:left="1120" w:right="919" w:firstLine="318"/>
        <w:spacing w:after="0" w:line="244" w:lineRule="auto"/>
        <w:rPr>
          <w:sz w:val="20"/>
          <w:szCs w:val="20"/>
          <w:color w:val="auto"/>
        </w:rPr>
      </w:pPr>
      <w:r>
        <w:rPr>
          <w:rFonts w:ascii="Times New Roman" w:cs="Times New Roman" w:eastAsia="Times New Roman" w:hAnsi="Times New Roman"/>
          <w:sz w:val="16"/>
          <w:szCs w:val="16"/>
          <w:color w:val="auto"/>
        </w:rPr>
        <w:t>In addition, the merger agreement may be terminated by United if, prior to the adoption and approval by Peach State shareholders of the merger agreement, (i) Peach State has materially breached its obligations to call, give notice of, and hold the Peach State shareholders meeting, (ii) Peach State has materially breached its non -solicitation obligations or (iii) the Peach State board of directors has failed to recommend that Peach State shareholders approve the merger proposal or has made an adverse recommendation change.</w:t>
      </w:r>
    </w:p>
    <w:p>
      <w:pPr>
        <w:spacing w:after="0" w:line="101" w:lineRule="exact"/>
        <w:rPr>
          <w:sz w:val="20"/>
          <w:szCs w:val="20"/>
          <w:color w:val="auto"/>
        </w:rPr>
      </w:pPr>
    </w:p>
    <w:p>
      <w:pPr>
        <w:ind w:left="1120" w:right="1499" w:firstLine="318"/>
        <w:spacing w:after="0" w:line="263" w:lineRule="auto"/>
        <w:rPr>
          <w:sz w:val="20"/>
          <w:szCs w:val="20"/>
          <w:color w:val="auto"/>
        </w:rPr>
      </w:pPr>
      <w:r>
        <w:rPr>
          <w:rFonts w:ascii="Times New Roman" w:cs="Times New Roman" w:eastAsia="Times New Roman" w:hAnsi="Times New Roman"/>
          <w:sz w:val="16"/>
          <w:szCs w:val="16"/>
          <w:color w:val="auto"/>
        </w:rPr>
        <w:t xml:space="preserve">For more information, see “The Merger Agreement — Termination of the Merger Agreement,” beginning on page </w:t>
      </w:r>
      <w:r>
        <w:rPr>
          <w:rFonts w:ascii="Times New Roman" w:cs="Times New Roman" w:eastAsia="Times New Roman" w:hAnsi="Times New Roman"/>
          <w:sz w:val="16"/>
          <w:szCs w:val="16"/>
          <w:u w:val="single" w:color="auto"/>
          <w:color w:val="0000EE"/>
        </w:rPr>
        <w:t>74</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Termination Fee (page </w:t>
      </w:r>
      <w:r>
        <w:rPr>
          <w:rFonts w:ascii="Times New Roman" w:cs="Times New Roman" w:eastAsia="Times New Roman" w:hAnsi="Times New Roman"/>
          <w:sz w:val="16"/>
          <w:szCs w:val="16"/>
          <w:b w:val="1"/>
          <w:bCs w:val="1"/>
          <w:u w:val="single" w:color="auto"/>
          <w:color w:val="0000EE"/>
        </w:rPr>
        <w:t>75</w:t>
      </w:r>
      <w:r>
        <w:rPr>
          <w:rFonts w:ascii="Times New Roman" w:cs="Times New Roman" w:eastAsia="Times New Roman" w:hAnsi="Times New Roman"/>
          <w:sz w:val="16"/>
          <w:szCs w:val="16"/>
          <w:b w:val="1"/>
          <w:bCs w:val="1"/>
          <w:color w:val="auto"/>
        </w:rPr>
        <w:t>)</w:t>
      </w:r>
    </w:p>
    <w:p>
      <w:pPr>
        <w:spacing w:after="0" w:line="128" w:lineRule="exact"/>
        <w:rPr>
          <w:sz w:val="20"/>
          <w:szCs w:val="20"/>
          <w:color w:val="auto"/>
        </w:rPr>
      </w:pPr>
    </w:p>
    <w:p>
      <w:pPr>
        <w:ind w:left="1120" w:right="879" w:firstLine="318"/>
        <w:spacing w:after="0" w:line="248" w:lineRule="auto"/>
        <w:rPr>
          <w:sz w:val="20"/>
          <w:szCs w:val="20"/>
          <w:color w:val="auto"/>
        </w:rPr>
      </w:pPr>
      <w:r>
        <w:rPr>
          <w:rFonts w:ascii="Times New Roman" w:cs="Times New Roman" w:eastAsia="Times New Roman" w:hAnsi="Times New Roman"/>
          <w:sz w:val="16"/>
          <w:szCs w:val="16"/>
          <w:color w:val="auto"/>
        </w:rPr>
        <w:t xml:space="preserve">If the merger agreement is terminated under certain circumstances, including circumstances involving alternative acquisition proposals and changes in the recommendation of the Peach State board of directors, Peach State may be required to pay to United a termination fee equal to $ 3,570,000. This termination fee could discourage other companies from seeking to acquire or merge with Peach State. For more information, see “The Merger Agreement — Termination Fee,” beginning on page </w:t>
      </w:r>
      <w:r>
        <w:rPr>
          <w:rFonts w:ascii="Times New Roman" w:cs="Times New Roman" w:eastAsia="Times New Roman" w:hAnsi="Times New Roman"/>
          <w:sz w:val="16"/>
          <w:szCs w:val="16"/>
          <w:u w:val="single" w:color="auto"/>
          <w:color w:val="0000EE"/>
        </w:rPr>
        <w:t>75</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The Rights of Peach State Shareholders Will Change as a Result of the Merger (page </w:t>
      </w:r>
      <w:r>
        <w:rPr>
          <w:rFonts w:ascii="Times New Roman" w:cs="Times New Roman" w:eastAsia="Times New Roman" w:hAnsi="Times New Roman"/>
          <w:sz w:val="16"/>
          <w:szCs w:val="16"/>
          <w:b w:val="1"/>
          <w:bCs w:val="1"/>
          <w:u w:val="single" w:color="auto"/>
          <w:color w:val="0000EE"/>
        </w:rPr>
        <w:t>88</w:t>
      </w:r>
      <w:r>
        <w:rPr>
          <w:rFonts w:ascii="Times New Roman" w:cs="Times New Roman" w:eastAsia="Times New Roman" w:hAnsi="Times New Roman"/>
          <w:sz w:val="16"/>
          <w:szCs w:val="16"/>
          <w:b w:val="1"/>
          <w:bCs w:val="1"/>
          <w:color w:val="auto"/>
        </w:rPr>
        <w:t>)</w:t>
      </w:r>
    </w:p>
    <w:p>
      <w:pPr>
        <w:spacing w:after="0" w:line="140" w:lineRule="exact"/>
        <w:rPr>
          <w:sz w:val="20"/>
          <w:szCs w:val="20"/>
          <w:color w:val="auto"/>
        </w:rPr>
      </w:pPr>
    </w:p>
    <w:p>
      <w:pPr>
        <w:jc w:val="both"/>
        <w:ind w:left="1120" w:right="959" w:firstLine="318"/>
        <w:spacing w:after="0" w:line="263" w:lineRule="auto"/>
        <w:rPr>
          <w:sz w:val="20"/>
          <w:szCs w:val="20"/>
          <w:color w:val="auto"/>
        </w:rPr>
      </w:pPr>
      <w:r>
        <w:rPr>
          <w:rFonts w:ascii="Times New Roman" w:cs="Times New Roman" w:eastAsia="Times New Roman" w:hAnsi="Times New Roman"/>
          <w:sz w:val="16"/>
          <w:szCs w:val="16"/>
          <w:color w:val="auto"/>
        </w:rPr>
        <w:t>Although both United and Peach State are Georgia corporations, the rights of Peach State shareholders will change as a result of the merger due to differences in United’s and Peach State’s governing documents.</w:t>
      </w:r>
    </w:p>
    <w:p>
      <w:pPr>
        <w:spacing w:after="0" w:line="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xml:space="preserve">For more information, see “Comparison of Shareholders’ Rights,” beginning on page </w:t>
      </w:r>
      <w:r>
        <w:rPr>
          <w:rFonts w:ascii="Times New Roman" w:cs="Times New Roman" w:eastAsia="Times New Roman" w:hAnsi="Times New Roman"/>
          <w:sz w:val="16"/>
          <w:szCs w:val="16"/>
          <w:u w:val="single" w:color="auto"/>
          <w:color w:val="0000EE"/>
        </w:rPr>
        <w:t>88</w:t>
      </w:r>
      <w:r>
        <w:rPr>
          <w:rFonts w:ascii="Times New Roman" w:cs="Times New Roman" w:eastAsia="Times New Roman" w:hAnsi="Times New Roman"/>
          <w:sz w:val="16"/>
          <w:szCs w:val="16"/>
          <w:color w:val="auto"/>
        </w:rPr>
        <w:t xml:space="preserve"> for a</w:t>
      </w:r>
    </w:p>
    <w:p>
      <w:pPr>
        <w:spacing w:after="0" w:line="13" w:lineRule="exact"/>
        <w:rPr>
          <w:sz w:val="20"/>
          <w:szCs w:val="20"/>
          <w:color w:val="auto"/>
        </w:rPr>
      </w:pPr>
    </w:p>
    <w:p>
      <w:pPr>
        <w:ind w:left="1120" w:right="1259"/>
        <w:spacing w:after="0" w:line="255" w:lineRule="auto"/>
        <w:rPr>
          <w:sz w:val="20"/>
          <w:szCs w:val="20"/>
          <w:color w:val="auto"/>
        </w:rPr>
      </w:pPr>
      <w:r>
        <w:rPr>
          <w:rFonts w:ascii="Times New Roman" w:cs="Times New Roman" w:eastAsia="Times New Roman" w:hAnsi="Times New Roman"/>
          <w:sz w:val="16"/>
          <w:szCs w:val="16"/>
          <w:color w:val="auto"/>
        </w:rPr>
        <w:t>description of the material differences in shareholders’ rights under each of the United and Peach State governing documents.</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Information About the Companies (pages </w:t>
      </w:r>
      <w:r>
        <w:rPr>
          <w:rFonts w:ascii="Times New Roman" w:cs="Times New Roman" w:eastAsia="Times New Roman" w:hAnsi="Times New Roman"/>
          <w:sz w:val="16"/>
          <w:szCs w:val="16"/>
          <w:b w:val="1"/>
          <w:bCs w:val="1"/>
          <w:u w:val="single" w:color="auto"/>
          <w:color w:val="0000EE"/>
        </w:rPr>
        <w:t>31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0000EE"/>
        </w:rPr>
        <w:t>32)</w:t>
      </w:r>
    </w:p>
    <w:p>
      <w:pPr>
        <w:spacing w:after="0" w:line="19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United Community Banks, Inc.</w:t>
      </w:r>
    </w:p>
    <w:p>
      <w:pPr>
        <w:spacing w:after="0" w:line="140" w:lineRule="exact"/>
        <w:rPr>
          <w:sz w:val="20"/>
          <w:szCs w:val="20"/>
          <w:color w:val="auto"/>
        </w:rPr>
      </w:pPr>
    </w:p>
    <w:p>
      <w:pPr>
        <w:ind w:left="1120" w:right="1159" w:firstLine="318"/>
        <w:spacing w:after="0" w:line="263" w:lineRule="auto"/>
        <w:rPr>
          <w:sz w:val="20"/>
          <w:szCs w:val="20"/>
          <w:color w:val="auto"/>
        </w:rPr>
      </w:pPr>
      <w:r>
        <w:rPr>
          <w:rFonts w:ascii="Times New Roman" w:cs="Times New Roman" w:eastAsia="Times New Roman" w:hAnsi="Times New Roman"/>
          <w:sz w:val="16"/>
          <w:szCs w:val="16"/>
          <w:color w:val="auto"/>
        </w:rPr>
        <w:t>United Community Banks, Inc. is a Georgia corporation incorporated in 1987 and headquartered in Greenville, South Carolina. United is also a bank holding company, a financial holding company and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288290</wp:posOffset>
            </wp:positionV>
            <wp:extent cx="4861560" cy="7025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6156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20" w:right="939"/>
        <w:spacing w:after="0" w:line="253" w:lineRule="auto"/>
        <w:rPr>
          <w:sz w:val="20"/>
          <w:szCs w:val="20"/>
          <w:color w:val="auto"/>
        </w:rPr>
      </w:pPr>
      <w:r>
        <w:rPr>
          <w:rFonts w:ascii="Times New Roman" w:cs="Times New Roman" w:eastAsia="Times New Roman" w:hAnsi="Times New Roman"/>
          <w:sz w:val="16"/>
          <w:szCs w:val="16"/>
          <w:color w:val="auto"/>
        </w:rPr>
        <w:t>parent company of United Community Bank, a South Carolina state-chartered bank that opened in 1950. As of March 31, 2026, United had total consolidated assets of approximately $28.2 billion, total consolidated deposits of approximately $24.0 billion, total consolidated loans of approximately $19.6 billion, and total consolidated shareholders’ equity of approximately $3.65 billion. United has grown through a combination of acquisitions and strategic growth throughout the Alabama, Georgia, South Carolina, North Carolina, Florida and Tennessee markets, as well as nationally through its United States Small Business Administration and United States Department of Agriculture lending and equipment finance businesses. As of March 31, 2026, United had 3,118 full-time equivalent employees.</w:t>
      </w:r>
    </w:p>
    <w:p>
      <w:pPr>
        <w:spacing w:after="0" w:line="104" w:lineRule="exact"/>
        <w:rPr>
          <w:sz w:val="20"/>
          <w:szCs w:val="20"/>
          <w:color w:val="auto"/>
        </w:rPr>
      </w:pPr>
    </w:p>
    <w:p>
      <w:pPr>
        <w:ind w:left="1120" w:right="939" w:firstLine="318"/>
        <w:spacing w:after="0" w:line="251" w:lineRule="auto"/>
        <w:rPr>
          <w:sz w:val="20"/>
          <w:szCs w:val="20"/>
          <w:color w:val="auto"/>
        </w:rPr>
      </w:pPr>
      <w:r>
        <w:rPr>
          <w:rFonts w:ascii="Times New Roman" w:cs="Times New Roman" w:eastAsia="Times New Roman" w:hAnsi="Times New Roman"/>
          <w:sz w:val="16"/>
          <w:szCs w:val="16"/>
          <w:color w:val="auto"/>
        </w:rPr>
        <w:t>United provides a wide range of financial products and services to the commercial, retail, governmental, educational, energy, health care and real estate sectors. This includes a variety of deposit products, secured and unsecured loans, mortgage loans, payment and commerce solutions, equipment finance services, wealth management, trust services, private banking, investment advisory services, insurance services, and other related financial services. These products and services are delivered through a variety of channels including United’s branches, other offices, the internet, and mobile applications. United’s business model combines the commitment to exceptional customer service of a local bank with the products and expertise of a larger institution. United Community Bank operates as a locally-focused community bank, supplemented by experienced, centralized support to deliver products and services to its larger, more sophisticated, customers. United’s organizational structure reflects these strengths, with local leaders for each market and market advisory boards operating in partnership with the product experts of its Commercial Banking Solutions unit. United believes that this combination of service and expertise sets it apart and is instrumental in its strategy to build long-term relationships.</w:t>
      </w:r>
    </w:p>
    <w:p>
      <w:pPr>
        <w:spacing w:after="0" w:line="107" w:lineRule="exact"/>
        <w:rPr>
          <w:sz w:val="20"/>
          <w:szCs w:val="20"/>
          <w:color w:val="auto"/>
        </w:rPr>
      </w:pPr>
    </w:p>
    <w:p>
      <w:pPr>
        <w:ind w:left="1120" w:right="939" w:firstLine="318"/>
        <w:spacing w:after="0" w:line="256" w:lineRule="auto"/>
        <w:rPr>
          <w:sz w:val="20"/>
          <w:szCs w:val="20"/>
          <w:color w:val="auto"/>
        </w:rPr>
      </w:pPr>
      <w:r>
        <w:rPr>
          <w:rFonts w:ascii="Times New Roman" w:cs="Times New Roman" w:eastAsia="Times New Roman" w:hAnsi="Times New Roman"/>
          <w:sz w:val="16"/>
          <w:szCs w:val="16"/>
          <w:color w:val="auto"/>
        </w:rPr>
        <w:t>United’s revenue is primarily derived from interest on and fees received in connection with loans United makes and from interest and dividends on investment securities and short-term investments. The principal sources of funds for United’s lending activities are customer deposits, repayment of loans, and the sale and maturity of investment securities. United’s principal expenses are interest paid on deposits and other borrowings and operating and general administrative expenses.</w:t>
      </w:r>
    </w:p>
    <w:p>
      <w:pPr>
        <w:spacing w:after="0" w:line="91" w:lineRule="exact"/>
        <w:rPr>
          <w:sz w:val="20"/>
          <w:szCs w:val="20"/>
          <w:color w:val="auto"/>
        </w:rPr>
      </w:pPr>
    </w:p>
    <w:p>
      <w:pPr>
        <w:ind w:left="1120" w:right="919" w:firstLine="318"/>
        <w:spacing w:after="0" w:line="256" w:lineRule="auto"/>
        <w:rPr>
          <w:sz w:val="20"/>
          <w:szCs w:val="20"/>
          <w:color w:val="auto"/>
        </w:rPr>
      </w:pPr>
      <w:r>
        <w:rPr>
          <w:rFonts w:ascii="Times New Roman" w:cs="Times New Roman" w:eastAsia="Times New Roman" w:hAnsi="Times New Roman"/>
          <w:sz w:val="16"/>
          <w:szCs w:val="16"/>
          <w:color w:val="auto"/>
        </w:rPr>
        <w:t>United’s principal office is located at 200 East Camperdown Way, Greenville, South Carolina 29601, and its telephone number at that location is (800) 822-2651. United’s stock is traded on the New York Stock Exchange under the symbol “UCB.” Additional information about United and its subsidiaries is included in documents incorporated by reference into this proxy statement/prospectus. See “Where You Can Find More Information.”</w:t>
      </w:r>
    </w:p>
    <w:p>
      <w:pPr>
        <w:spacing w:after="0" w:line="1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Peach State Bancshares, Inc.</w:t>
      </w:r>
    </w:p>
    <w:p>
      <w:pPr>
        <w:spacing w:after="0" w:line="140" w:lineRule="exact"/>
        <w:rPr>
          <w:sz w:val="20"/>
          <w:szCs w:val="20"/>
          <w:color w:val="auto"/>
        </w:rPr>
      </w:pPr>
    </w:p>
    <w:p>
      <w:pPr>
        <w:ind w:left="1120" w:right="879" w:firstLine="318"/>
        <w:spacing w:after="0" w:line="253" w:lineRule="auto"/>
        <w:rPr>
          <w:sz w:val="20"/>
          <w:szCs w:val="20"/>
          <w:color w:val="auto"/>
        </w:rPr>
      </w:pPr>
      <w:r>
        <w:rPr>
          <w:rFonts w:ascii="Times New Roman" w:cs="Times New Roman" w:eastAsia="Times New Roman" w:hAnsi="Times New Roman"/>
          <w:sz w:val="16"/>
          <w:szCs w:val="16"/>
          <w:color w:val="auto"/>
        </w:rPr>
        <w:t>Peach State Bancshares, Inc. is a bank holding company and a Georgia corporation headquartered in Gainesville, Georgia, and the parent company of Peach State Bank &amp; Trust (“Peach State Bank”), a Georgia state-chartered bank that commenced operations in 2005. Peach State Bank is a full-service community bank providing a broad range of commercial and consumer banking products and services to businesses and individuals in its local markets. Peach State Bank operates two full-service banking locations in</w:t>
      </w:r>
    </w:p>
    <w:p>
      <w:pPr>
        <w:ind w:left="1120" w:right="1199"/>
        <w:spacing w:after="0" w:line="252" w:lineRule="auto"/>
        <w:rPr>
          <w:sz w:val="20"/>
          <w:szCs w:val="20"/>
          <w:color w:val="auto"/>
        </w:rPr>
      </w:pPr>
      <w:r>
        <w:rPr>
          <w:rFonts w:ascii="Times New Roman" w:cs="Times New Roman" w:eastAsia="Times New Roman" w:hAnsi="Times New Roman"/>
          <w:sz w:val="16"/>
          <w:szCs w:val="16"/>
          <w:color w:val="auto"/>
        </w:rPr>
        <w:t>Hall County, Georgia, with branches located in Gainesville and Braselton. As of March 31, 2026, Peach State Bank &amp; Trust had total consolidated assets of approximately $789 million, total loans of approximately $498 million, and total deposits of approximately $713 million.</w:t>
      </w:r>
    </w:p>
    <w:p>
      <w:pPr>
        <w:spacing w:after="0" w:line="106" w:lineRule="exact"/>
        <w:rPr>
          <w:sz w:val="20"/>
          <w:szCs w:val="20"/>
          <w:color w:val="auto"/>
        </w:rPr>
      </w:pPr>
    </w:p>
    <w:p>
      <w:pPr>
        <w:ind w:left="1120" w:right="1259" w:firstLine="318"/>
        <w:spacing w:after="0" w:line="279" w:lineRule="auto"/>
        <w:rPr>
          <w:sz w:val="20"/>
          <w:szCs w:val="20"/>
          <w:color w:val="auto"/>
        </w:rPr>
      </w:pPr>
      <w:r>
        <w:rPr>
          <w:rFonts w:ascii="Times New Roman" w:cs="Times New Roman" w:eastAsia="Times New Roman" w:hAnsi="Times New Roman"/>
          <w:sz w:val="16"/>
          <w:szCs w:val="16"/>
          <w:color w:val="auto"/>
        </w:rPr>
        <w:t>Peach State Bancshares, Inc.’s principal executive offices are located at 121 E. E. Butler Parkway, Gainesville, Georgia 30501, and its telephone number at that location is (770) 536-1100.</w:t>
      </w:r>
    </w:p>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 xml:space="preserve">Risk Factors (page </w:t>
      </w:r>
      <w:r>
        <w:rPr>
          <w:rFonts w:ascii="Times New Roman" w:cs="Times New Roman" w:eastAsia="Times New Roman" w:hAnsi="Times New Roman"/>
          <w:sz w:val="16"/>
          <w:szCs w:val="16"/>
          <w:b w:val="1"/>
          <w:bCs w:val="1"/>
          <w:u w:val="single" w:color="auto"/>
          <w:color w:val="0000EE"/>
        </w:rPr>
        <w:t>20</w:t>
      </w:r>
      <w:r>
        <w:rPr>
          <w:rFonts w:ascii="Times New Roman" w:cs="Times New Roman" w:eastAsia="Times New Roman" w:hAnsi="Times New Roman"/>
          <w:sz w:val="16"/>
          <w:szCs w:val="16"/>
          <w:b w:val="1"/>
          <w:bCs w:val="1"/>
          <w:color w:val="auto"/>
        </w:rPr>
        <w:t>)</w:t>
      </w:r>
    </w:p>
    <w:p>
      <w:pPr>
        <w:spacing w:after="0" w:line="128" w:lineRule="exact"/>
        <w:rPr>
          <w:sz w:val="20"/>
          <w:szCs w:val="20"/>
          <w:color w:val="auto"/>
        </w:rPr>
      </w:pPr>
    </w:p>
    <w:p>
      <w:pPr>
        <w:ind w:left="1120" w:right="939" w:firstLine="318"/>
        <w:spacing w:after="0" w:line="263" w:lineRule="auto"/>
        <w:rPr>
          <w:sz w:val="20"/>
          <w:szCs w:val="20"/>
          <w:color w:val="auto"/>
        </w:rPr>
      </w:pPr>
      <w:r>
        <w:rPr>
          <w:rFonts w:ascii="Times New Roman" w:cs="Times New Roman" w:eastAsia="Times New Roman" w:hAnsi="Times New Roman"/>
          <w:sz w:val="16"/>
          <w:szCs w:val="16"/>
          <w:color w:val="auto"/>
        </w:rPr>
        <w:t xml:space="preserve">You should consider all the information contained in or incorporated by reference into this proxy statement/prospectus in deciding how to vote for the proposals presented in the proxy statement/prospectus. In particular, you should consider the factors described under “Risk Factors” beginning on page </w:t>
      </w:r>
      <w:r>
        <w:rPr>
          <w:rFonts w:ascii="Times New Roman" w:cs="Times New Roman" w:eastAsia="Times New Roman" w:hAnsi="Times New Roman"/>
          <w:sz w:val="16"/>
          <w:szCs w:val="16"/>
          <w:u w:val="single" w:color="auto"/>
          <w:color w:val="0000EE"/>
        </w:rPr>
        <w:t>20</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COMPARATIVE PER SHARE MARKET PRICE DATA AND DIVIDENDS</w:t>
      </w:r>
    </w:p>
    <w:p>
      <w:pPr>
        <w:spacing w:after="0" w:line="1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Market Prices</w:t>
      </w:r>
    </w:p>
    <w:p>
      <w:pPr>
        <w:spacing w:after="0" w:line="140" w:lineRule="exact"/>
        <w:rPr>
          <w:sz w:val="20"/>
          <w:szCs w:val="20"/>
          <w:color w:val="auto"/>
        </w:rPr>
      </w:pPr>
    </w:p>
    <w:p>
      <w:pPr>
        <w:ind w:left="1100" w:right="959" w:firstLine="318"/>
        <w:spacing w:after="0" w:line="263" w:lineRule="auto"/>
        <w:rPr>
          <w:sz w:val="20"/>
          <w:szCs w:val="20"/>
          <w:color w:val="auto"/>
        </w:rPr>
      </w:pPr>
      <w:r>
        <w:rPr>
          <w:rFonts w:ascii="Times New Roman" w:cs="Times New Roman" w:eastAsia="Times New Roman" w:hAnsi="Times New Roman"/>
          <w:sz w:val="16"/>
          <w:szCs w:val="16"/>
          <w:color w:val="auto"/>
        </w:rPr>
        <w:t>United common stock is listed on NYSE under the symbol “UCB.” As of June 5, 2026, the latest practicable trading day before the date of this proxy statement/prospectus, there were 119,759,409 shares of common stock outstanding, held by 8,887 holders of record.</w:t>
      </w:r>
    </w:p>
    <w:p>
      <w:pPr>
        <w:spacing w:after="0" w:line="98" w:lineRule="exact"/>
        <w:rPr>
          <w:sz w:val="20"/>
          <w:szCs w:val="20"/>
          <w:color w:val="auto"/>
        </w:rPr>
      </w:pPr>
    </w:p>
    <w:p>
      <w:pPr>
        <w:ind w:left="1100" w:right="1119" w:firstLine="318"/>
        <w:spacing w:after="0" w:line="263" w:lineRule="auto"/>
        <w:rPr>
          <w:sz w:val="20"/>
          <w:szCs w:val="20"/>
          <w:color w:val="auto"/>
        </w:rPr>
      </w:pPr>
      <w:r>
        <w:rPr>
          <w:rFonts w:ascii="Times New Roman" w:cs="Times New Roman" w:eastAsia="Times New Roman" w:hAnsi="Times New Roman"/>
          <w:sz w:val="16"/>
          <w:szCs w:val="16"/>
          <w:color w:val="auto"/>
        </w:rPr>
        <w:t>Peach State’s common stock is not listed or quoted on any exchange. As of June 5, 2026, the latest practicable trading day before the date of this proxy statement/prospectus, there were 3,000,542 shares of common stock outstanding, held by 444 holders of record.</w:t>
      </w:r>
    </w:p>
    <w:p>
      <w:pPr>
        <w:spacing w:after="0" w:line="86" w:lineRule="exact"/>
        <w:rPr>
          <w:sz w:val="20"/>
          <w:szCs w:val="20"/>
          <w:color w:val="auto"/>
        </w:rPr>
      </w:pPr>
    </w:p>
    <w:p>
      <w:pPr>
        <w:ind w:left="1100" w:right="979" w:firstLine="318"/>
        <w:spacing w:after="0" w:line="253" w:lineRule="auto"/>
        <w:rPr>
          <w:sz w:val="20"/>
          <w:szCs w:val="20"/>
          <w:color w:val="auto"/>
        </w:rPr>
      </w:pPr>
      <w:r>
        <w:rPr>
          <w:rFonts w:ascii="Times New Roman" w:cs="Times New Roman" w:eastAsia="Times New Roman" w:hAnsi="Times New Roman"/>
          <w:sz w:val="16"/>
          <w:szCs w:val="16"/>
          <w:color w:val="auto"/>
        </w:rPr>
        <w:t>The following table sets forth the closing sale price per share of United common stock as reported on NYSE as of (1) April 20, 2026, the trading day before the public announcement of the execution of the merger agreement, and (2) June 5, 2026, the latest practicable trading day before the date of this proxy statement/prospectus. The table also shows the estimated implied value of the per share stock consideration for each share of Peach State common stock as of the same two days. This implied per share value was calculated by multiplying the closing price per share of United common stock on each of those dates by the exchange ratio of 0.8978.</w:t>
      </w:r>
    </w:p>
    <w:p>
      <w:pPr>
        <w:spacing w:after="0" w:line="131"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 Share</w:t>
            </w:r>
          </w:p>
        </w:tc>
        <w:tc>
          <w:tcPr>
            <w:tcW w:w="1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Implied Per Share</w:t>
            </w:r>
          </w:p>
        </w:tc>
        <w:tc>
          <w:tcPr>
            <w:tcW w:w="60" w:type="dxa"/>
            <w:vAlign w:val="bottom"/>
          </w:tcPr>
          <w:p>
            <w:pPr>
              <w:spacing w:after="0"/>
              <w:rPr>
                <w:sz w:val="12"/>
                <w:szCs w:val="12"/>
                <w:color w:val="auto"/>
              </w:rPr>
            </w:pPr>
          </w:p>
        </w:tc>
      </w:tr>
      <w:tr>
        <w:trPr>
          <w:trHeight w:val="132"/>
        </w:trPr>
        <w:tc>
          <w:tcPr>
            <w:tcW w:w="2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720" w:type="dxa"/>
            <w:vAlign w:val="bottom"/>
          </w:tcPr>
          <w:p>
            <w:pPr>
              <w:jc w:val="center"/>
              <w:ind w:left="6"/>
              <w:spacing w:after="0" w:line="132" w:lineRule="exact"/>
              <w:rPr>
                <w:sz w:val="20"/>
                <w:szCs w:val="20"/>
                <w:color w:val="auto"/>
              </w:rPr>
            </w:pPr>
            <w:r>
              <w:rPr>
                <w:rFonts w:ascii="Times New Roman" w:cs="Times New Roman" w:eastAsia="Times New Roman" w:hAnsi="Times New Roman"/>
                <w:sz w:val="13"/>
                <w:szCs w:val="13"/>
                <w:b w:val="1"/>
                <w:bCs w:val="1"/>
                <w:color w:val="auto"/>
                <w:w w:val="95"/>
              </w:rPr>
              <w:t>United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2"/>
              </w:rPr>
              <w:t>Value of Cash</w:t>
            </w:r>
          </w:p>
        </w:tc>
        <w:tc>
          <w:tcPr>
            <w:tcW w:w="180" w:type="dxa"/>
            <w:vAlign w:val="bottom"/>
          </w:tcPr>
          <w:p>
            <w:pPr>
              <w:spacing w:after="0"/>
              <w:rPr>
                <w:sz w:val="11"/>
                <w:szCs w:val="11"/>
                <w:color w:val="auto"/>
              </w:rPr>
            </w:pPr>
          </w:p>
        </w:tc>
        <w:tc>
          <w:tcPr>
            <w:tcW w:w="9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3"/>
              </w:rPr>
              <w:t>Value of Stock</w:t>
            </w:r>
          </w:p>
        </w:tc>
        <w:tc>
          <w:tcPr>
            <w:tcW w:w="60" w:type="dxa"/>
            <w:vAlign w:val="bottom"/>
          </w:tcPr>
          <w:p>
            <w:pPr>
              <w:spacing w:after="0"/>
              <w:rPr>
                <w:sz w:val="11"/>
                <w:szCs w:val="11"/>
                <w:color w:val="auto"/>
              </w:rPr>
            </w:pPr>
          </w:p>
        </w:tc>
      </w:tr>
      <w:tr>
        <w:trPr>
          <w:trHeight w:val="200"/>
        </w:trPr>
        <w:tc>
          <w:tcPr>
            <w:tcW w:w="2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700" w:type="dxa"/>
            <w:vAlign w:val="bottom"/>
            <w:gridSpan w:val="6"/>
          </w:tcPr>
          <w:p>
            <w:pPr>
              <w:ind w:left="160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Common Stock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Consideration </w:t>
            </w:r>
            <w:r>
              <w:rPr>
                <w:rFonts w:ascii="Times New Roman" w:cs="Times New Roman" w:eastAsia="Times New Roman" w:hAnsi="Times New Roman"/>
                <w:sz w:val="23"/>
                <w:szCs w:val="23"/>
                <w:b w:val="1"/>
                <w:bCs w:val="1"/>
                <w:color w:val="auto"/>
                <w:vertAlign w:val="subscript"/>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Consideration</w:t>
            </w:r>
            <w:r>
              <w:rPr>
                <w:rFonts w:ascii="Times New Roman" w:cs="Times New Roman" w:eastAsia="Times New Roman" w:hAnsi="Times New Roman"/>
                <w:sz w:val="15"/>
                <w:szCs w:val="15"/>
                <w:b w:val="1"/>
                <w:bCs w:val="1"/>
                <w:color w:val="auto"/>
                <w:w w:val="90"/>
                <w:vertAlign w:val="superscript"/>
              </w:rPr>
              <w:t>(1)</w:t>
            </w: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2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18"/>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April 20, 2026</w:t>
            </w:r>
          </w:p>
        </w:tc>
        <w:tc>
          <w:tcPr>
            <w:tcW w:w="17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jc w:val="center"/>
              <w:ind w:left="46"/>
              <w:spacing w:after="0"/>
              <w:rPr>
                <w:sz w:val="20"/>
                <w:szCs w:val="20"/>
                <w:color w:val="auto"/>
              </w:rPr>
            </w:pPr>
            <w:r>
              <w:rPr>
                <w:rFonts w:ascii="Times New Roman" w:cs="Times New Roman" w:eastAsia="Times New Roman" w:hAnsi="Times New Roman"/>
                <w:sz w:val="16"/>
                <w:szCs w:val="16"/>
                <w:color w:val="auto"/>
                <w:w w:val="99"/>
              </w:rPr>
              <w:t>​$34.31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​$31.75</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​$30.80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1"/>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June 5, 2026</w:t>
            </w:r>
          </w:p>
        </w:tc>
        <w:tc>
          <w:tcPr>
            <w:tcW w:w="17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jc w:val="center"/>
              <w:ind w:left="46"/>
              <w:spacing w:after="0"/>
              <w:rPr>
                <w:sz w:val="20"/>
                <w:szCs w:val="20"/>
                <w:color w:val="auto"/>
              </w:rPr>
            </w:pPr>
            <w:r>
              <w:rPr>
                <w:rFonts w:ascii="Times New Roman" w:cs="Times New Roman" w:eastAsia="Times New Roman" w:hAnsi="Times New Roman"/>
                <w:sz w:val="16"/>
                <w:szCs w:val="16"/>
                <w:color w:val="auto"/>
                <w:w w:val="99"/>
              </w:rPr>
              <w:t>​$33.34</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​$31.75</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​$29.93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-309880</wp:posOffset>
            </wp:positionV>
            <wp:extent cx="4599305" cy="151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113030</wp:posOffset>
            </wp:positionV>
            <wp:extent cx="108902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273" w:lineRule="exact"/>
        <w:rPr>
          <w:sz w:val="20"/>
          <w:szCs w:val="20"/>
          <w:color w:val="auto"/>
        </w:rPr>
      </w:pPr>
    </w:p>
    <w:p>
      <w:pPr>
        <w:ind w:left="1420" w:right="1539" w:hanging="317"/>
        <w:spacing w:after="0" w:line="279"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multiplying the United common stock share price as of the specified date by the exchange ratio of 0.8978.</w:t>
      </w:r>
    </w:p>
    <w:p>
      <w:pPr>
        <w:spacing w:after="0" w:line="84" w:lineRule="exact"/>
        <w:rPr>
          <w:sz w:val="20"/>
          <w:szCs w:val="20"/>
          <w:color w:val="auto"/>
        </w:rPr>
      </w:pPr>
    </w:p>
    <w:p>
      <w:pPr>
        <w:jc w:val="both"/>
        <w:ind w:left="1100" w:right="1219" w:firstLine="318"/>
        <w:spacing w:after="0" w:line="263" w:lineRule="auto"/>
        <w:rPr>
          <w:sz w:val="20"/>
          <w:szCs w:val="20"/>
          <w:color w:val="auto"/>
        </w:rPr>
      </w:pPr>
      <w:r>
        <w:rPr>
          <w:rFonts w:ascii="Times New Roman" w:cs="Times New Roman" w:eastAsia="Times New Roman" w:hAnsi="Times New Roman"/>
          <w:sz w:val="16"/>
          <w:szCs w:val="16"/>
          <w:color w:val="auto"/>
        </w:rPr>
        <w:t>The market price of United common stock has fluctuated since the date of the announcement of the merger agreement, and will continue to fluctuate from the date of this proxy statement/prospectus to the date of the Peach State special meeting and the date the merger is completed and thereafter.</w:t>
      </w:r>
    </w:p>
    <w:p>
      <w:pPr>
        <w:spacing w:after="0" w:line="98" w:lineRule="exact"/>
        <w:rPr>
          <w:sz w:val="20"/>
          <w:szCs w:val="20"/>
          <w:color w:val="auto"/>
        </w:rPr>
      </w:pPr>
    </w:p>
    <w:p>
      <w:pPr>
        <w:ind w:left="1100" w:right="899" w:firstLine="318"/>
        <w:spacing w:after="0" w:line="279" w:lineRule="auto"/>
        <w:rPr>
          <w:sz w:val="20"/>
          <w:szCs w:val="20"/>
          <w:color w:val="auto"/>
        </w:rPr>
      </w:pPr>
      <w:r>
        <w:rPr>
          <w:rFonts w:ascii="Times New Roman" w:cs="Times New Roman" w:eastAsia="Times New Roman" w:hAnsi="Times New Roman"/>
          <w:sz w:val="16"/>
          <w:szCs w:val="16"/>
          <w:color w:val="auto"/>
        </w:rPr>
        <w:t>The number of shares of United common stock that Peach State shareholders who receive stock consideration will receive per share of Peach State common stock in the merger is fixed and will not change.</w:t>
      </w:r>
    </w:p>
    <w:p>
      <w:pPr>
        <w:spacing w:after="0" w:line="73" w:lineRule="exact"/>
        <w:rPr>
          <w:sz w:val="20"/>
          <w:szCs w:val="20"/>
          <w:color w:val="auto"/>
        </w:rPr>
      </w:pPr>
    </w:p>
    <w:p>
      <w:pPr>
        <w:ind w:left="1100" w:right="1099" w:firstLine="318"/>
        <w:spacing w:after="0" w:line="256" w:lineRule="auto"/>
        <w:rPr>
          <w:sz w:val="20"/>
          <w:szCs w:val="20"/>
          <w:color w:val="auto"/>
        </w:rPr>
      </w:pPr>
      <w:r>
        <w:rPr>
          <w:rFonts w:ascii="Times New Roman" w:cs="Times New Roman" w:eastAsia="Times New Roman" w:hAnsi="Times New Roman"/>
          <w:sz w:val="16"/>
          <w:szCs w:val="16"/>
          <w:color w:val="auto"/>
        </w:rPr>
        <w:t>The value of the shares of United common stock to be received in exchange for each share of Peach State common stock, when received by Peach State shareholders after the merger is completed, could be greater than, less than or the same as shown in the table above. Accordingly, Peach State shareholders are advised to obtain current market quotations for United common stock in determining whether to vote in favor of the proposals at the Peach State special meeting.</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Dividend Information</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During 2025, 2024, and 2023, United Community Bank paid dividends to United of $356 million,</w:t>
      </w:r>
    </w:p>
    <w:p>
      <w:pPr>
        <w:spacing w:after="0" w:line="24" w:lineRule="exact"/>
        <w:rPr>
          <w:sz w:val="20"/>
          <w:szCs w:val="20"/>
          <w:color w:val="auto"/>
        </w:rPr>
      </w:pPr>
    </w:p>
    <w:p>
      <w:pPr>
        <w:jc w:val="both"/>
        <w:ind w:left="1100" w:right="999"/>
        <w:spacing w:after="0" w:line="257" w:lineRule="auto"/>
        <w:rPr>
          <w:sz w:val="20"/>
          <w:szCs w:val="20"/>
          <w:color w:val="auto"/>
        </w:rPr>
      </w:pPr>
      <w:r>
        <w:rPr>
          <w:rFonts w:ascii="Times New Roman" w:cs="Times New Roman" w:eastAsia="Times New Roman" w:hAnsi="Times New Roman"/>
          <w:sz w:val="16"/>
          <w:szCs w:val="16"/>
          <w:color w:val="auto"/>
        </w:rPr>
        <w:t>$153 million and $198 million, respectively. United declared quarterly cash dividends on its common stock in 2025, 2024, and 2023 totaling $0.98, $0.94 and $0.92 per share, respectively.</w:t>
      </w:r>
    </w:p>
    <w:p>
      <w:pPr>
        <w:spacing w:after="0" w:line="101" w:lineRule="exact"/>
        <w:rPr>
          <w:sz w:val="20"/>
          <w:szCs w:val="20"/>
          <w:color w:val="auto"/>
        </w:rPr>
      </w:pPr>
    </w:p>
    <w:p>
      <w:pPr>
        <w:jc w:val="both"/>
        <w:ind w:left="1100" w:right="999" w:firstLine="318"/>
        <w:spacing w:after="0" w:line="263" w:lineRule="auto"/>
        <w:rPr>
          <w:sz w:val="20"/>
          <w:szCs w:val="20"/>
          <w:color w:val="auto"/>
        </w:rPr>
      </w:pPr>
      <w:r>
        <w:rPr>
          <w:rFonts w:ascii="Times New Roman" w:cs="Times New Roman" w:eastAsia="Times New Roman" w:hAnsi="Times New Roman"/>
          <w:sz w:val="16"/>
          <w:szCs w:val="16"/>
          <w:color w:val="auto"/>
        </w:rPr>
        <w:t>In 2025, Peach Bank paid dividends to Peach State of $9 million. Peach Bank did not pay dividends to Peach State in 2023 and 2024. Peach State declared quarterly cash dividends on its common stock in 2025, 2024 and 2023 totaling $0.30, $0.20 and $0.20 per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40" w:lineRule="exact"/>
        <w:rPr>
          <w:sz w:val="20"/>
          <w:szCs w:val="20"/>
          <w:color w:val="auto"/>
        </w:rPr>
      </w:pPr>
    </w:p>
    <w:p>
      <w:pPr>
        <w:ind w:left="1100" w:right="919" w:firstLine="318"/>
        <w:spacing w:after="0" w:line="250" w:lineRule="auto"/>
        <w:rPr>
          <w:sz w:val="20"/>
          <w:szCs w:val="20"/>
          <w:color w:val="auto"/>
        </w:rPr>
      </w:pPr>
      <w:r>
        <w:rPr>
          <w:rFonts w:ascii="Times New Roman" w:cs="Times New Roman" w:eastAsia="Times New Roman" w:hAnsi="Times New Roman"/>
          <w:sz w:val="16"/>
          <w:szCs w:val="16"/>
          <w:color w:val="auto"/>
        </w:rPr>
        <w:t xml:space="preserve">This proxy statement/prospectus contains forward-looking statements within the meaning of the Private Securities Litigation Reform Act of 1995. Forward-looking statements are neither statements of historical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but are not limited to, statements about the benefits of the merger or the bank merger, including future financial and operating results of United, Peach State or the combined company following the merger, the combined company’s plans, objectives, expectations and intentions, the expected timing of the completion of the merger, the likelihood of success, and the potential impact of litigation and other statements that are not historical facts. These statements are only predictions based on United’s and Peach State’s current expectations and projections about future events. There are important factors that could cause United’s and Peach State’s actual results, level of activity, performance or achievements to differ materially from the results, level of activity, performance or achievements expressed or implied by the forward-looking statements. In particular, you should consider the numerous risks and uncertainties described in the section entitled “Risk Factors” beginning on page </w:t>
      </w:r>
      <w:r>
        <w:rPr>
          <w:rFonts w:ascii="Times New Roman" w:cs="Times New Roman" w:eastAsia="Times New Roman" w:hAnsi="Times New Roman"/>
          <w:sz w:val="16"/>
          <w:szCs w:val="16"/>
          <w:u w:val="single" w:color="auto"/>
          <w:color w:val="0000EE"/>
        </w:rPr>
        <w:t>20</w:t>
      </w:r>
      <w:r>
        <w:rPr>
          <w:rFonts w:ascii="Times New Roman" w:cs="Times New Roman" w:eastAsia="Times New Roman" w:hAnsi="Times New Roman"/>
          <w:sz w:val="16"/>
          <w:szCs w:val="16"/>
          <w:color w:val="auto"/>
        </w:rPr>
        <w:t>. Because forward-looking statements relate to the future, they are subject to known and unknown risks, uncertainties, assumptions and changes in circumstances, many of which are out of United’s or Peach State’s control, and that are difficult to predict as to timing, extent, likelihood and degree of occurrence, and that could cause actual results to differ materially from the results implied or anticipated by the statements. These forward-looking statements are subject to numerous assumptions, risks, and uncertainties which change over time. In addition to factors previously disclosed in United’s reports filed with the SEC, the following factors, among others, could cause actual results to differ materially from forward-looking statements:</w:t>
      </w:r>
    </w:p>
    <w:p>
      <w:pPr>
        <w:spacing w:after="0" w:line="72" w:lineRule="exact"/>
        <w:rPr>
          <w:sz w:val="20"/>
          <w:szCs w:val="20"/>
          <w:color w:val="auto"/>
        </w:rPr>
      </w:pPr>
    </w:p>
    <w:p>
      <w:pPr>
        <w:ind w:left="1580" w:right="999" w:hanging="160"/>
        <w:spacing w:after="0" w:line="279" w:lineRule="auto"/>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the cost savings and any revenue synergies from the merger may not be realized or take longer than anticipated to be realized;</w:t>
      </w:r>
    </w:p>
    <w:p>
      <w:pPr>
        <w:spacing w:after="0" w:line="60"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from the merger of customer, supplier, employee or other business partner relationships;</w:t>
      </w:r>
    </w:p>
    <w:p>
      <w:pPr>
        <w:spacing w:after="0" w:line="101" w:lineRule="exact"/>
        <w:rPr>
          <w:rFonts w:ascii="Times New Roman" w:cs="Times New Roman" w:eastAsia="Times New Roman" w:hAnsi="Times New Roman"/>
          <w:sz w:val="16"/>
          <w:szCs w:val="16"/>
          <w:color w:val="auto"/>
        </w:rPr>
      </w:pPr>
    </w:p>
    <w:p>
      <w:pPr>
        <w:ind w:left="1580" w:right="999" w:hanging="160"/>
        <w:spacing w:after="0" w:line="279" w:lineRule="auto"/>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change or other circumstances that could give rise to the termination of the merger agreement;</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obtain the necessary approval by the shareholders of Peach State;</w:t>
      </w:r>
    </w:p>
    <w:p>
      <w:pPr>
        <w:spacing w:after="0" w:line="101" w:lineRule="exact"/>
        <w:rPr>
          <w:rFonts w:ascii="Times New Roman" w:cs="Times New Roman" w:eastAsia="Times New Roman" w:hAnsi="Times New Roman"/>
          <w:sz w:val="16"/>
          <w:szCs w:val="16"/>
          <w:color w:val="auto"/>
        </w:rPr>
      </w:pPr>
    </w:p>
    <w:p>
      <w:pPr>
        <w:ind w:left="1580" w:right="1159" w:hanging="160"/>
        <w:spacing w:after="0" w:line="279" w:lineRule="auto"/>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the costs, fees, expenses and charges related to the merger may be greater than anticipated;</w:t>
      </w:r>
    </w:p>
    <w:p>
      <w:pPr>
        <w:spacing w:after="0" w:line="60" w:lineRule="exact"/>
        <w:rPr>
          <w:rFonts w:ascii="Times New Roman" w:cs="Times New Roman" w:eastAsia="Times New Roman" w:hAnsi="Times New Roman"/>
          <w:sz w:val="16"/>
          <w:szCs w:val="16"/>
          <w:color w:val="auto"/>
        </w:rPr>
      </w:pPr>
    </w:p>
    <w:p>
      <w:pPr>
        <w:ind w:left="1580" w:right="1279" w:hanging="160"/>
        <w:spacing w:after="0" w:line="279" w:lineRule="auto"/>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United to obtain required governmental approvals of the merger on the anticipated timeframe and without the imposition of adverse conditions;</w:t>
      </w:r>
    </w:p>
    <w:p>
      <w:pPr>
        <w:spacing w:after="0" w:line="48" w:lineRule="exact"/>
        <w:rPr>
          <w:rFonts w:ascii="Times New Roman" w:cs="Times New Roman" w:eastAsia="Times New Roman" w:hAnsi="Times New Roman"/>
          <w:sz w:val="16"/>
          <w:szCs w:val="16"/>
          <w:color w:val="auto"/>
        </w:rPr>
      </w:pPr>
    </w:p>
    <w:p>
      <w:pPr>
        <w:ind w:left="1580" w:right="939" w:hanging="160"/>
        <w:spacing w:after="0" w:line="279" w:lineRule="auto"/>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reputational risk and the reaction of each of the companies’ customers, suppliers, employees or other business partners to the merger;</w:t>
      </w:r>
    </w:p>
    <w:p>
      <w:pPr>
        <w:spacing w:after="0" w:line="48" w:lineRule="exact"/>
        <w:rPr>
          <w:rFonts w:ascii="Times New Roman" w:cs="Times New Roman" w:eastAsia="Times New Roman" w:hAnsi="Times New Roman"/>
          <w:sz w:val="16"/>
          <w:szCs w:val="16"/>
          <w:color w:val="auto"/>
        </w:rPr>
      </w:pPr>
    </w:p>
    <w:p>
      <w:pPr>
        <w:ind w:left="1580" w:right="959" w:hanging="160"/>
        <w:spacing w:after="0" w:line="279" w:lineRule="auto"/>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the closing conditions in the merger agreement to be satisfied, or any unexpected delay in closing the merger;</w:t>
      </w:r>
    </w:p>
    <w:p>
      <w:pPr>
        <w:spacing w:after="0" w:line="48" w:lineRule="exact"/>
        <w:rPr>
          <w:rFonts w:ascii="Times New Roman" w:cs="Times New Roman" w:eastAsia="Times New Roman" w:hAnsi="Times New Roman"/>
          <w:sz w:val="16"/>
          <w:szCs w:val="16"/>
          <w:color w:val="auto"/>
        </w:rPr>
      </w:pPr>
    </w:p>
    <w:p>
      <w:pPr>
        <w:ind w:left="1580" w:right="1039" w:hanging="160"/>
        <w:spacing w:after="0" w:line="263" w:lineRule="auto"/>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risks relating to the integration of Peach State’s operations into the operations of United, including the risk that such integration will be materially delayed or will be more costly or difficult than expected;</w:t>
      </w:r>
    </w:p>
    <w:p>
      <w:pPr>
        <w:spacing w:after="0" w:line="74"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of potential litigation or regulatory action related to the merger;</w:t>
      </w:r>
    </w:p>
    <w:p>
      <w:pPr>
        <w:spacing w:after="0" w:line="101" w:lineRule="exact"/>
        <w:rPr>
          <w:rFonts w:ascii="Times New Roman" w:cs="Times New Roman" w:eastAsia="Times New Roman" w:hAnsi="Times New Roman"/>
          <w:sz w:val="16"/>
          <w:szCs w:val="16"/>
          <w:color w:val="auto"/>
        </w:rPr>
      </w:pPr>
    </w:p>
    <w:p>
      <w:pPr>
        <w:ind w:left="1580" w:right="1059" w:hanging="160"/>
        <w:spacing w:after="0" w:line="279" w:lineRule="auto"/>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risks associated with United’s pursuit of future acquisitions and the risks of expansion into new geographic or product markets;</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dilution caused by United’s issuance of additional shares of its common stock in the merger;</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competitive, economic, political and market conditions;</w:t>
      </w:r>
    </w:p>
    <w:p>
      <w:pPr>
        <w:spacing w:after="0" w:line="113" w:lineRule="exact"/>
        <w:rPr>
          <w:rFonts w:ascii="Times New Roman" w:cs="Times New Roman" w:eastAsia="Times New Roman" w:hAnsi="Times New Roman"/>
          <w:sz w:val="16"/>
          <w:szCs w:val="16"/>
          <w:color w:val="auto"/>
        </w:rPr>
      </w:pPr>
    </w:p>
    <w:p>
      <w:pPr>
        <w:ind w:left="1580" w:right="1199" w:hanging="160"/>
        <w:spacing w:after="0" w:line="279" w:lineRule="auto"/>
        <w:tabs>
          <w:tab w:leader="none" w:pos="1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loan underwriting, credit review or loss policies associated with economic conditions, examination conclusions or regulatory developments;</w:t>
      </w:r>
    </w:p>
    <w:p>
      <w:pPr>
        <w:spacing w:after="0" w:line="2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80" w:right="1339" w:hanging="160"/>
        <w:spacing w:after="0" w:line="263"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effects of pandemics or public health conditions on the economic and business environments in which United operates, including the impact of actions taken by governmental authorities to address these situations;</w:t>
      </w:r>
    </w:p>
    <w:p>
      <w:pPr>
        <w:spacing w:after="0" w:line="62"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market, operational, liquidity and interest rate risks associated with United’s business;</w:t>
      </w:r>
    </w:p>
    <w:p>
      <w:pPr>
        <w:spacing w:after="0" w:line="113" w:lineRule="exact"/>
        <w:rPr>
          <w:rFonts w:ascii="Times New Roman" w:cs="Times New Roman" w:eastAsia="Times New Roman" w:hAnsi="Times New Roman"/>
          <w:sz w:val="16"/>
          <w:szCs w:val="16"/>
          <w:color w:val="auto"/>
        </w:rPr>
      </w:pPr>
    </w:p>
    <w:p>
      <w:pPr>
        <w:jc w:val="both"/>
        <w:ind w:left="1580" w:right="1159" w:hanging="160"/>
        <w:spacing w:after="0" w:line="258"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fluctuations or unanticipated changes in the interest rate environment, including interest rate changes made by the Federal Reserve, replacements or reform of interest rate benchmarks, as well as cash flow reassessments may reduce net interest margin and/or the volumes and values of loans made or held as well as the value of other financial assets;</w:t>
      </w:r>
    </w:p>
    <w:p>
      <w:pPr>
        <w:spacing w:after="0" w:line="66" w:lineRule="exact"/>
        <w:rPr>
          <w:rFonts w:ascii="Times New Roman" w:cs="Times New Roman" w:eastAsia="Times New Roman" w:hAnsi="Times New Roman"/>
          <w:sz w:val="16"/>
          <w:szCs w:val="16"/>
          <w:color w:val="auto"/>
        </w:rPr>
      </w:pPr>
    </w:p>
    <w:p>
      <w:pPr>
        <w:ind w:left="1580" w:right="939" w:hanging="160"/>
        <w:spacing w:after="0" w:line="279"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unanticipated or greater than anticipated adverse conditions in the national or local economies in which United operates;</w:t>
      </w:r>
    </w:p>
    <w:p>
      <w:pPr>
        <w:spacing w:after="0" w:line="48" w:lineRule="exact"/>
        <w:rPr>
          <w:rFonts w:ascii="Times New Roman" w:cs="Times New Roman" w:eastAsia="Times New Roman" w:hAnsi="Times New Roman"/>
          <w:sz w:val="16"/>
          <w:szCs w:val="16"/>
          <w:color w:val="auto"/>
        </w:rPr>
      </w:pPr>
    </w:p>
    <w:p>
      <w:pPr>
        <w:ind w:left="1580" w:right="939" w:hanging="160"/>
        <w:spacing w:after="0" w:line="263"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United’s loan concentration in industries or sectors that may experience unanticipated or greater than anticipated adverse conditions than other industries or sectors in the national or local economies in which United operates;</w:t>
      </w:r>
    </w:p>
    <w:p>
      <w:pPr>
        <w:spacing w:after="0" w:line="62"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United’s ability to attract and retain key employees;</w:t>
      </w:r>
    </w:p>
    <w:p>
      <w:pPr>
        <w:spacing w:after="0" w:line="101" w:lineRule="exact"/>
        <w:rPr>
          <w:rFonts w:ascii="Times New Roman" w:cs="Times New Roman" w:eastAsia="Times New Roman" w:hAnsi="Times New Roman"/>
          <w:sz w:val="16"/>
          <w:szCs w:val="16"/>
          <w:color w:val="auto"/>
        </w:rPr>
      </w:pPr>
    </w:p>
    <w:p>
      <w:pPr>
        <w:ind w:left="1580" w:right="1279" w:hanging="160"/>
        <w:spacing w:after="0" w:line="263"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from financial institutions and other financial service providers including non-bank financial technology providers and United’s ability to attract customers from other financial institutions;</w:t>
      </w:r>
    </w:p>
    <w:p>
      <w:pPr>
        <w:spacing w:after="0" w:line="62" w:lineRule="exact"/>
        <w:rPr>
          <w:rFonts w:ascii="Times New Roman" w:cs="Times New Roman" w:eastAsia="Times New Roman" w:hAnsi="Times New Roman"/>
          <w:sz w:val="16"/>
          <w:szCs w:val="16"/>
          <w:color w:val="auto"/>
        </w:rPr>
      </w:pPr>
    </w:p>
    <w:p>
      <w:pPr>
        <w:ind w:left="1580" w:right="919" w:hanging="160"/>
        <w:spacing w:after="0" w:line="279"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losses due to fraudulent and negligent conduct of United’s customers, third party service providers or employees;</w:t>
      </w:r>
    </w:p>
    <w:p>
      <w:pPr>
        <w:spacing w:after="0" w:line="48" w:lineRule="exact"/>
        <w:rPr>
          <w:rFonts w:ascii="Times New Roman" w:cs="Times New Roman" w:eastAsia="Times New Roman" w:hAnsi="Times New Roman"/>
          <w:sz w:val="16"/>
          <w:szCs w:val="16"/>
          <w:color w:val="auto"/>
        </w:rPr>
      </w:pPr>
    </w:p>
    <w:p>
      <w:pPr>
        <w:ind w:left="1580" w:right="1139" w:hanging="160"/>
        <w:spacing w:after="0" w:line="258"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risks and the vulnerability of United’s network and online banking portals, and the systems or parties with whom it contracts, to unauthorized access, computer viruses, phishing schemes, spam attacks, human error, natural disasters, power loss and other security breaches that could adversely affect United’s business and financial performance or reputation;</w:t>
      </w:r>
    </w:p>
    <w:p>
      <w:pPr>
        <w:spacing w:after="0" w:line="66" w:lineRule="exact"/>
        <w:rPr>
          <w:rFonts w:ascii="Times New Roman" w:cs="Times New Roman" w:eastAsia="Times New Roman" w:hAnsi="Times New Roman"/>
          <w:sz w:val="16"/>
          <w:szCs w:val="16"/>
          <w:color w:val="auto"/>
        </w:rPr>
      </w:pPr>
    </w:p>
    <w:p>
      <w:pPr>
        <w:ind w:left="1580" w:right="1419" w:hanging="160"/>
        <w:spacing w:after="0" w:line="279"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United’s reliance on third parties to provide key components of its business infrastructure and services required to operate its business;</w:t>
      </w:r>
    </w:p>
    <w:p>
      <w:pPr>
        <w:spacing w:after="0" w:line="60" w:lineRule="exact"/>
        <w:rPr>
          <w:rFonts w:ascii="Times New Roman" w:cs="Times New Roman" w:eastAsia="Times New Roman" w:hAnsi="Times New Roman"/>
          <w:sz w:val="16"/>
          <w:szCs w:val="16"/>
          <w:color w:val="auto"/>
        </w:rPr>
      </w:pPr>
    </w:p>
    <w:p>
      <w:pPr>
        <w:ind w:left="1580" w:right="1099" w:hanging="160"/>
        <w:spacing w:after="0" w:line="279"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United may be required to make substantial expenditures to keep pace with regulatory initiatives and the rapid technological changes in the financial services market;</w:t>
      </w:r>
    </w:p>
    <w:p>
      <w:pPr>
        <w:spacing w:after="0" w:line="48" w:lineRule="exact"/>
        <w:rPr>
          <w:rFonts w:ascii="Times New Roman" w:cs="Times New Roman" w:eastAsia="Times New Roman" w:hAnsi="Times New Roman"/>
          <w:sz w:val="16"/>
          <w:szCs w:val="16"/>
          <w:color w:val="auto"/>
        </w:rPr>
      </w:pPr>
    </w:p>
    <w:p>
      <w:pPr>
        <w:ind w:left="1580" w:right="1799" w:hanging="160"/>
        <w:spacing w:after="0" w:line="279"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and access to capital, particularly if there were to be increased capital requirements or enhanced regulatory supervision;</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legislative, regulatory or accounting changes that may adversely affect United;</w:t>
      </w:r>
    </w:p>
    <w:p>
      <w:pPr>
        <w:spacing w:after="0" w:line="101" w:lineRule="exact"/>
        <w:rPr>
          <w:rFonts w:ascii="Times New Roman" w:cs="Times New Roman" w:eastAsia="Times New Roman" w:hAnsi="Times New Roman"/>
          <w:sz w:val="16"/>
          <w:szCs w:val="16"/>
          <w:color w:val="auto"/>
        </w:rPr>
      </w:pPr>
    </w:p>
    <w:p>
      <w:pPr>
        <w:ind w:left="1580" w:right="1039" w:hanging="160"/>
        <w:spacing w:after="0" w:line="279"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in the ACL resulting from the CECL methodology, either alone or as that may be affected by conditions affecting United’s business;</w:t>
      </w:r>
    </w:p>
    <w:p>
      <w:pPr>
        <w:spacing w:after="0" w:line="48" w:lineRule="exact"/>
        <w:rPr>
          <w:rFonts w:ascii="Times New Roman" w:cs="Times New Roman" w:eastAsia="Times New Roman" w:hAnsi="Times New Roman"/>
          <w:sz w:val="16"/>
          <w:szCs w:val="16"/>
          <w:color w:val="auto"/>
        </w:rPr>
      </w:pPr>
    </w:p>
    <w:p>
      <w:pPr>
        <w:jc w:val="both"/>
        <w:ind w:left="1580" w:right="1159" w:hanging="160"/>
        <w:spacing w:after="0" w:line="263"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spacing w:after="0" w:line="62" w:lineRule="exact"/>
        <w:rPr>
          <w:rFonts w:ascii="Times New Roman" w:cs="Times New Roman" w:eastAsia="Times New Roman" w:hAnsi="Times New Roman"/>
          <w:sz w:val="16"/>
          <w:szCs w:val="16"/>
          <w:color w:val="auto"/>
        </w:rPr>
      </w:pPr>
    </w:p>
    <w:p>
      <w:pPr>
        <w:ind w:left="1580" w:right="1159" w:hanging="160"/>
        <w:spacing w:after="0" w:line="279"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matter that would cause United to conclude that there was impairment of any asset, including intangible assets, such as goodwill;</w:t>
      </w:r>
    </w:p>
    <w:p>
      <w:pPr>
        <w:spacing w:after="0" w:line="48" w:lineRule="exact"/>
        <w:rPr>
          <w:rFonts w:ascii="Times New Roman" w:cs="Times New Roman" w:eastAsia="Times New Roman" w:hAnsi="Times New Roman"/>
          <w:sz w:val="16"/>
          <w:szCs w:val="16"/>
          <w:color w:val="auto"/>
        </w:rPr>
      </w:pPr>
    </w:p>
    <w:p>
      <w:pPr>
        <w:ind w:left="1580" w:right="1059" w:hanging="160"/>
        <w:spacing w:after="0" w:line="263"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United’s ability to declare and pay dividends and other distributions from the United Community Bank to United, which could affect United’s liquidity, including its ability to pay dividends to shareholders or take other capital actions; and</w:t>
      </w:r>
    </w:p>
    <w:p>
      <w:pPr>
        <w:spacing w:after="0" w:line="62" w:lineRule="exact"/>
        <w:rPr>
          <w:rFonts w:ascii="Times New Roman" w:cs="Times New Roman" w:eastAsia="Times New Roman" w:hAnsi="Times New Roman"/>
          <w:sz w:val="16"/>
          <w:szCs w:val="16"/>
          <w:color w:val="auto"/>
        </w:rPr>
      </w:pPr>
    </w:p>
    <w:p>
      <w:pPr>
        <w:ind w:left="1580" w:right="1099" w:hanging="160"/>
        <w:spacing w:after="0" w:line="258" w:lineRule="auto"/>
        <w:tabs>
          <w:tab w:leader="none" w:pos="1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effects of events beyond our control that may have a destabilizing effect on financial markets and the economy, such as inflation or recession, terrorist activities, wars and other foreign conflicts, climate change, disruptions in United’s customers’ supply chains, disruptions in transportation, essential utility outages or trade disputes and related tariffs.</w:t>
      </w:r>
    </w:p>
    <w:p>
      <w:pPr>
        <w:spacing w:after="0" w:line="102" w:lineRule="exact"/>
        <w:rPr>
          <w:sz w:val="20"/>
          <w:szCs w:val="20"/>
          <w:color w:val="auto"/>
        </w:rPr>
      </w:pPr>
    </w:p>
    <w:p>
      <w:pPr>
        <w:ind w:left="1100" w:right="1079" w:firstLine="318"/>
        <w:spacing w:after="0" w:line="279" w:lineRule="auto"/>
        <w:rPr>
          <w:sz w:val="20"/>
          <w:szCs w:val="20"/>
          <w:color w:val="auto"/>
        </w:rPr>
      </w:pPr>
      <w:r>
        <w:rPr>
          <w:rFonts w:ascii="Times New Roman" w:cs="Times New Roman" w:eastAsia="Times New Roman" w:hAnsi="Times New Roman"/>
          <w:sz w:val="16"/>
          <w:szCs w:val="16"/>
          <w:color w:val="auto"/>
        </w:rPr>
        <w:t>Additionally, the timing and occurrence or non-occurrence of events may be subject to circumstances beyond United’s or Peach State’s control.</w:t>
      </w:r>
    </w:p>
    <w:p>
      <w:pPr>
        <w:spacing w:after="0" w:line="2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79" w:firstLine="318"/>
        <w:spacing w:after="0" w:line="250" w:lineRule="auto"/>
        <w:rPr>
          <w:sz w:val="20"/>
          <w:szCs w:val="20"/>
          <w:color w:val="auto"/>
        </w:rPr>
      </w:pPr>
      <w:r>
        <w:rPr>
          <w:rFonts w:ascii="Times New Roman" w:cs="Times New Roman" w:eastAsia="Times New Roman" w:hAnsi="Times New Roman"/>
          <w:sz w:val="16"/>
          <w:szCs w:val="16"/>
          <w:color w:val="auto"/>
        </w:rPr>
        <w:t>The forward-looking statements contained in this proxy statement/prospectus are also subject to additional risks, uncertainties, and factors, including those described in United’s most recent Annual Reports on Form 10-K and other documents filed by United from time to time with the SEC. See “Where You Can Find More Information.” For any forward-looking statements made in this proxy statement/​ prospectus or in any documents incorporated by reference into this proxy statement/prospectus, United and Peach State claim the protection of the safe harbor for forward-looking statements contained in the Private Securities Litigation Reform Act of 1995. You are cautioned not to place undue reliance on these statements, which speak only as of the date of this proxy statement/prospectus or the date of the applicable document incorporated by reference in this proxy statement/prospectus. Except as required by law, United and Peach State expressly disclaim any obligations to publicly update any forward-looking statements whether written or oral, that may be made from time to time, whether as a result of new information, future developments or otherwise. All written and oral forward-looking statements concerning the merger or other matters addressed in this proxy statement/prospectus and attributable to United, Peach State or any person acting on their behalf are expressly qualified in their entirety by the cautionary statements contained or referred to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38" w:lineRule="exact"/>
        <w:rPr>
          <w:sz w:val="20"/>
          <w:szCs w:val="20"/>
          <w:color w:val="auto"/>
        </w:rPr>
      </w:pPr>
    </w:p>
    <w:p>
      <w:pPr>
        <w:ind w:left="1100" w:right="899" w:firstLine="318"/>
        <w:spacing w:after="0" w:line="243" w:lineRule="auto"/>
        <w:rPr>
          <w:rFonts w:ascii="Times New Roman" w:cs="Times New Roman" w:eastAsia="Times New Roman" w:hAnsi="Times New Roman"/>
          <w:sz w:val="16"/>
          <w:szCs w:val="16"/>
          <w:color w:val="0000EE"/>
        </w:rPr>
      </w:pPr>
      <w:r>
        <w:rPr>
          <w:rFonts w:ascii="Times New Roman" w:cs="Times New Roman" w:eastAsia="Times New Roman" w:hAnsi="Times New Roman"/>
          <w:sz w:val="16"/>
          <w:szCs w:val="16"/>
          <w:i w:val="1"/>
          <w:iCs w:val="1"/>
          <w:color w:val="auto"/>
        </w:rPr>
        <w:t xml:space="preserve">In addition to general investment risks and the other information contained in or incorporated by reference into this proxy statement/prospectus, including the matters addressed under the section “Cautionary Statement Regarding Forward-Looking Statements,” you should carefully consider the following risk factors in deciding how to vote for the proposals presented in this proxy statement/prospectus. You should also read and consider the risk factors relating to the business of United and ownership of </w:t>
      </w:r>
      <w:hyperlink r:id="rId98">
        <w:r>
          <w:rPr>
            <w:rFonts w:ascii="Times New Roman" w:cs="Times New Roman" w:eastAsia="Times New Roman" w:hAnsi="Times New Roman"/>
            <w:sz w:val="16"/>
            <w:szCs w:val="16"/>
            <w:i w:val="1"/>
            <w:iCs w:val="1"/>
            <w:color w:val="auto"/>
          </w:rPr>
          <w:t xml:space="preserve">United common stock described in Part I, Item 1A of United’s </w:t>
        </w:r>
        <w:r>
          <w:rPr>
            <w:rFonts w:ascii="Times New Roman" w:cs="Times New Roman" w:eastAsia="Times New Roman" w:hAnsi="Times New Roman"/>
            <w:sz w:val="16"/>
            <w:szCs w:val="16"/>
            <w:u w:val="single" w:color="auto"/>
            <w:color w:val="0000EE"/>
          </w:rPr>
          <w:t>Annual Report on Form 10-K for the year</w:t>
        </w:r>
      </w:hyperlink>
      <w:r>
        <w:rPr>
          <w:rFonts w:ascii="Times New Roman" w:cs="Times New Roman" w:eastAsia="Times New Roman" w:hAnsi="Times New Roman"/>
          <w:sz w:val="16"/>
          <w:szCs w:val="16"/>
          <w:i w:val="1"/>
          <w:iCs w:val="1"/>
          <w:color w:val="auto"/>
        </w:rPr>
        <w:t xml:space="preserve"> </w:t>
      </w:r>
      <w:hyperlink r:id="rId98">
        <w:r>
          <w:rPr>
            <w:rFonts w:ascii="Times New Roman" w:cs="Times New Roman" w:eastAsia="Times New Roman" w:hAnsi="Times New Roman"/>
            <w:sz w:val="16"/>
            <w:szCs w:val="16"/>
            <w:u w:val="single" w:color="auto"/>
            <w:color w:val="0000EE"/>
          </w:rPr>
          <w:t>ended December 31, 2025 filed with the SEC on February 17, 2026</w:t>
        </w:r>
        <w:r>
          <w:rPr>
            <w:rFonts w:ascii="Times New Roman" w:cs="Times New Roman" w:eastAsia="Times New Roman" w:hAnsi="Times New Roman"/>
            <w:sz w:val="16"/>
            <w:szCs w:val="16"/>
            <w:i w:val="1"/>
            <w:iCs w:val="1"/>
            <w:color w:val="000000"/>
          </w:rPr>
          <w:t>, as well as any subsequent documents</w:t>
        </w:r>
      </w:hyperlink>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i w:val="1"/>
          <w:iCs w:val="1"/>
          <w:color w:val="000000"/>
        </w:rPr>
        <w:t xml:space="preserve">filed by United with the SEC, which are incorporated into this proxy statement/prospectus by reference. See “Where You Can Find More Information” beginning on page </w:t>
      </w:r>
      <w:r>
        <w:rPr>
          <w:rFonts w:ascii="Times New Roman" w:cs="Times New Roman" w:eastAsia="Times New Roman" w:hAnsi="Times New Roman"/>
          <w:sz w:val="16"/>
          <w:szCs w:val="16"/>
          <w:i w:val="1"/>
          <w:iCs w:val="1"/>
          <w:u w:val="single" w:color="auto"/>
          <w:color w:val="0000EE"/>
        </w:rPr>
        <w:t>99</w:t>
      </w:r>
      <w:r>
        <w:rPr>
          <w:rFonts w:ascii="Times New Roman" w:cs="Times New Roman" w:eastAsia="Times New Roman" w:hAnsi="Times New Roman"/>
          <w:sz w:val="16"/>
          <w:szCs w:val="16"/>
          <w:i w:val="1"/>
          <w:iCs w:val="1"/>
          <w:color w:val="000000"/>
        </w:rPr>
        <w:t>.</w:t>
      </w:r>
    </w:p>
    <w:p>
      <w:pPr>
        <w:spacing w:after="0" w:line="156" w:lineRule="exact"/>
        <w:rPr>
          <w:sz w:val="20"/>
          <w:szCs w:val="20"/>
          <w:color w:val="auto"/>
        </w:rPr>
      </w:pPr>
    </w:p>
    <w:p>
      <w:pPr>
        <w:ind w:left="1100" w:right="979"/>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Because the market price of United common stock will fluctuate, Peach State shareholders cannot be certain of the market value of the merger consideration they will receive.</w:t>
      </w:r>
    </w:p>
    <w:p>
      <w:pPr>
        <w:spacing w:after="0" w:line="82" w:lineRule="exact"/>
        <w:rPr>
          <w:sz w:val="20"/>
          <w:szCs w:val="20"/>
          <w:color w:val="auto"/>
        </w:rPr>
      </w:pPr>
    </w:p>
    <w:p>
      <w:pPr>
        <w:ind w:left="1100" w:right="899" w:firstLine="318"/>
        <w:spacing w:after="0" w:line="250" w:lineRule="auto"/>
        <w:rPr>
          <w:sz w:val="20"/>
          <w:szCs w:val="20"/>
          <w:color w:val="auto"/>
        </w:rPr>
      </w:pPr>
      <w:r>
        <w:rPr>
          <w:rFonts w:ascii="Times New Roman" w:cs="Times New Roman" w:eastAsia="Times New Roman" w:hAnsi="Times New Roman"/>
          <w:sz w:val="16"/>
          <w:szCs w:val="16"/>
          <w:color w:val="auto"/>
        </w:rPr>
        <w:t>Upon completion of the merger, each outstanding share of Peach State common stock (except for treasury stock or shares owned by Peach State or United, in each case, other than in a fiduciary or agency capacity or as a result of debts previously contracted, and shares held by shareholders who properly exercise appraisal rights) will be converted into the right to receive, at such shareholder’s election and subject to proration, (i) $31.75 in cash (subject to applicable withholding tax), without interest (referred to as the cash consideration), or (ii) 0.8978 shares of common stock, par value $1.00 per share, which we referred to as the exchange ratio, of United (referred to as the stock consideration and together with the cash consideration, the merger consideration). The market value of the stock consideration will vary from the closing price of United common stock on the date United and Peach State announced the merger, on the date that this proxy statement/prospectus is mailed to Peach State shareholders, on the date of the Peach State special meeting and on the date the merger is completed. Any change in the market price of United common stock prior to the completion of the merger will affect the market value of the stock consideration that Peach State shareholders will receive upon completion of the merger, and Peach State shareholders will bear the full risk of any decrease in the market price of United common stock prior to the effective time, and there will be no adjustment to the merger consideration for changes in the market price of shares of United common stock.</w:t>
      </w:r>
    </w:p>
    <w:p>
      <w:pPr>
        <w:spacing w:after="0" w:line="115" w:lineRule="exact"/>
        <w:rPr>
          <w:sz w:val="20"/>
          <w:szCs w:val="20"/>
          <w:color w:val="auto"/>
        </w:rPr>
      </w:pPr>
    </w:p>
    <w:p>
      <w:pPr>
        <w:ind w:left="1100" w:right="979" w:firstLine="318"/>
        <w:spacing w:after="0" w:line="256" w:lineRule="auto"/>
        <w:rPr>
          <w:sz w:val="20"/>
          <w:szCs w:val="20"/>
          <w:color w:val="auto"/>
        </w:rPr>
      </w:pPr>
      <w:r>
        <w:rPr>
          <w:rFonts w:ascii="Times New Roman" w:cs="Times New Roman" w:eastAsia="Times New Roman" w:hAnsi="Times New Roman"/>
          <w:sz w:val="16"/>
          <w:szCs w:val="16"/>
          <w:color w:val="auto"/>
        </w:rPr>
        <w:t>The market price of United’s common stock could be subject to significant fluctuations due to changes in sentiment in the market regarding United’s operations or business prospects, including market sentiment regarding United’s entry into the merger agreement, as well as changes in general market and economic conditions, changes in geopolitical conditions and changes in the values and perceptions of financial services stocks generally. Among the factors that could affect United’s stock price are:</w:t>
      </w:r>
    </w:p>
    <w:p>
      <w:pPr>
        <w:spacing w:after="0" w:line="67" w:lineRule="exact"/>
        <w:rPr>
          <w:sz w:val="20"/>
          <w:szCs w:val="20"/>
          <w:color w:val="auto"/>
        </w:rPr>
      </w:pPr>
    </w:p>
    <w:p>
      <w:pPr>
        <w:ind w:left="1580" w:right="1139" w:hanging="160"/>
        <w:spacing w:after="0" w:line="279" w:lineRule="auto"/>
        <w:tabs>
          <w:tab w:leader="none" w:pos="1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results that vary from the expectations of United’s management or of securities analysts and investors;</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in United’s business or in the financial services sector generally;</w:t>
      </w:r>
    </w:p>
    <w:p>
      <w:pPr>
        <w:spacing w:after="0" w:line="101" w:lineRule="exact"/>
        <w:rPr>
          <w:rFonts w:ascii="Times New Roman" w:cs="Times New Roman" w:eastAsia="Times New Roman" w:hAnsi="Times New Roman"/>
          <w:sz w:val="16"/>
          <w:szCs w:val="16"/>
          <w:color w:val="auto"/>
        </w:rPr>
      </w:pPr>
    </w:p>
    <w:p>
      <w:pPr>
        <w:ind w:left="1580" w:right="919" w:hanging="160"/>
        <w:spacing w:after="0" w:line="279" w:lineRule="auto"/>
        <w:tabs>
          <w:tab w:leader="none" w:pos="1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legislative or accounting changes affecting United’s industry generally or its business and operations;</w:t>
      </w:r>
    </w:p>
    <w:p>
      <w:pPr>
        <w:spacing w:after="0" w:line="48" w:lineRule="exact"/>
        <w:rPr>
          <w:rFonts w:ascii="Times New Roman" w:cs="Times New Roman" w:eastAsia="Times New Roman" w:hAnsi="Times New Roman"/>
          <w:sz w:val="16"/>
          <w:szCs w:val="16"/>
          <w:color w:val="auto"/>
        </w:rPr>
      </w:pPr>
    </w:p>
    <w:p>
      <w:pPr>
        <w:ind w:left="1580" w:right="979" w:hanging="160"/>
        <w:spacing w:after="0" w:line="279" w:lineRule="auto"/>
        <w:tabs>
          <w:tab w:leader="none" w:pos="1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and securities price performance of companies that investors consider to be comparable to United;</w:t>
      </w:r>
    </w:p>
    <w:p>
      <w:pPr>
        <w:spacing w:after="0" w:line="48" w:lineRule="exact"/>
        <w:rPr>
          <w:rFonts w:ascii="Times New Roman" w:cs="Times New Roman" w:eastAsia="Times New Roman" w:hAnsi="Times New Roman"/>
          <w:sz w:val="16"/>
          <w:szCs w:val="16"/>
          <w:color w:val="auto"/>
        </w:rPr>
      </w:pPr>
    </w:p>
    <w:p>
      <w:pPr>
        <w:ind w:left="1580" w:right="1179" w:hanging="160"/>
        <w:spacing w:after="0" w:line="279" w:lineRule="auto"/>
        <w:tabs>
          <w:tab w:leader="none" w:pos="1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estimates or recommendations by securities analysts or rating agencies with respect to United or other financial institutions;</w:t>
      </w:r>
    </w:p>
    <w:p>
      <w:pPr>
        <w:spacing w:after="0" w:line="48" w:lineRule="exact"/>
        <w:rPr>
          <w:rFonts w:ascii="Times New Roman" w:cs="Times New Roman" w:eastAsia="Times New Roman" w:hAnsi="Times New Roman"/>
          <w:sz w:val="16"/>
          <w:szCs w:val="16"/>
          <w:color w:val="auto"/>
        </w:rPr>
      </w:pPr>
    </w:p>
    <w:p>
      <w:pPr>
        <w:ind w:left="1580" w:right="1239" w:hanging="160"/>
        <w:spacing w:after="0" w:line="279" w:lineRule="auto"/>
        <w:tabs>
          <w:tab w:leader="none" w:pos="1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speculation in the press or investment community generally or relating to United or the financial services industry;</w:t>
      </w:r>
    </w:p>
    <w:p>
      <w:pPr>
        <w:spacing w:after="0" w:line="48" w:lineRule="exact"/>
        <w:rPr>
          <w:rFonts w:ascii="Times New Roman" w:cs="Times New Roman" w:eastAsia="Times New Roman" w:hAnsi="Times New Roman"/>
          <w:sz w:val="16"/>
          <w:szCs w:val="16"/>
          <w:color w:val="auto"/>
        </w:rPr>
      </w:pPr>
    </w:p>
    <w:p>
      <w:pPr>
        <w:ind w:left="1580" w:right="999" w:hanging="160"/>
        <w:spacing w:after="0" w:line="279" w:lineRule="auto"/>
        <w:tabs>
          <w:tab w:leader="none" w:pos="1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stock price and operating results of United’s competitors or the financial services industry generally;</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sales of equity or equity-related securities;</w:t>
      </w:r>
    </w:p>
    <w:p>
      <w:pPr>
        <w:spacing w:after="0" w:line="101" w:lineRule="exact"/>
        <w:rPr>
          <w:rFonts w:ascii="Times New Roman" w:cs="Times New Roman" w:eastAsia="Times New Roman" w:hAnsi="Times New Roman"/>
          <w:sz w:val="16"/>
          <w:szCs w:val="16"/>
          <w:color w:val="auto"/>
        </w:rPr>
      </w:pPr>
    </w:p>
    <w:p>
      <w:pPr>
        <w:ind w:left="1580" w:right="1079" w:hanging="160"/>
        <w:spacing w:after="0" w:line="279" w:lineRule="auto"/>
        <w:tabs>
          <w:tab w:leader="none" w:pos="1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strategic developments, acquisitions, dispositions, financings and other material events by United or its competitors;</w:t>
      </w:r>
    </w:p>
    <w:p>
      <w:pPr>
        <w:spacing w:after="0" w:line="2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80" w:right="1219" w:hanging="160"/>
        <w:spacing w:after="0" w:line="279" w:lineRule="auto"/>
        <w:tabs>
          <w:tab w:leader="none" w:pos="1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or pending investigations, proceedings or litigation that involve or affected United or other financial institutions; and</w:t>
      </w:r>
    </w:p>
    <w:p>
      <w:pPr>
        <w:spacing w:after="0" w:line="36" w:lineRule="exact"/>
        <w:rPr>
          <w:rFonts w:ascii="Times New Roman" w:cs="Times New Roman" w:eastAsia="Times New Roman" w:hAnsi="Times New Roman"/>
          <w:sz w:val="16"/>
          <w:szCs w:val="16"/>
          <w:color w:val="auto"/>
        </w:rPr>
      </w:pPr>
    </w:p>
    <w:p>
      <w:pPr>
        <w:jc w:val="both"/>
        <w:ind w:left="1580" w:right="1159" w:hanging="160"/>
        <w:spacing w:after="0" w:line="263" w:lineRule="auto"/>
        <w:tabs>
          <w:tab w:leader="none" w:pos="1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global, national, regional or local financial markets and economies and general market conditions, such as inflation, interest or foreign exchange rates, stock, commodity, credit or asset valuations or volatility.</w:t>
      </w:r>
    </w:p>
    <w:p>
      <w:pPr>
        <w:spacing w:after="0" w:line="86" w:lineRule="exact"/>
        <w:rPr>
          <w:sz w:val="20"/>
          <w:szCs w:val="20"/>
          <w:color w:val="auto"/>
        </w:rPr>
      </w:pPr>
    </w:p>
    <w:p>
      <w:pPr>
        <w:jc w:val="both"/>
        <w:ind w:left="1100" w:right="899" w:firstLine="318"/>
        <w:spacing w:after="0"/>
        <w:rPr>
          <w:sz w:val="20"/>
          <w:szCs w:val="20"/>
          <w:color w:val="auto"/>
        </w:rPr>
      </w:pPr>
      <w:r>
        <w:rPr>
          <w:rFonts w:ascii="Times New Roman" w:cs="Times New Roman" w:eastAsia="Times New Roman" w:hAnsi="Times New Roman"/>
          <w:sz w:val="16"/>
          <w:szCs w:val="16"/>
          <w:color w:val="auto"/>
        </w:rPr>
        <w:t>Therefore, at the time of the Peach State special meeting, you will not know the precise market value of the merger consideration you will receive at the effective time. You should obtain current market quotations for shares of United common stock.</w:t>
      </w:r>
    </w:p>
    <w:p>
      <w:pPr>
        <w:spacing w:after="0" w:line="17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Peach State common shareholders may not receive all consideration in the form elected.</w:t>
      </w:r>
    </w:p>
    <w:p>
      <w:pPr>
        <w:spacing w:after="0" w:line="130" w:lineRule="exact"/>
        <w:rPr>
          <w:sz w:val="20"/>
          <w:szCs w:val="20"/>
          <w:color w:val="auto"/>
        </w:rPr>
      </w:pPr>
    </w:p>
    <w:p>
      <w:pPr>
        <w:ind w:left="1100" w:right="899" w:firstLine="318"/>
        <w:spacing w:after="0" w:line="230" w:lineRule="auto"/>
        <w:rPr>
          <w:sz w:val="20"/>
          <w:szCs w:val="20"/>
          <w:color w:val="auto"/>
        </w:rPr>
      </w:pPr>
      <w:r>
        <w:rPr>
          <w:rFonts w:ascii="Times New Roman" w:cs="Times New Roman" w:eastAsia="Times New Roman" w:hAnsi="Times New Roman"/>
          <w:sz w:val="16"/>
          <w:szCs w:val="16"/>
          <w:color w:val="auto"/>
        </w:rPr>
        <w:t>Peach State common shareholders electing to receive either the all-cash consideration or the all-stock consideration in the merger will be subject to proration so that 50% of Peach State common stock issued and outstanding immediately prior to the effective time will be converted into cash consideration and 50% of Peach State common stock will be converted into stock consideration. Accordingly, some of the merger consideration a Peach State common shareholder receives may differ from the type of consideration selected and such difference may be significant. This may result in, among other things, tax consequences that differ from those that would have resulted if the Peach State common shareholder had received solely the form of consideration elected. A discussion of the proration mechanism can be found under the section titled “The Merger — Merger Consideration” and a discussion of the material U.S. federal income tax consequences of the merger can be found under the section titled “Material U.S. Federal Income Tax Consequences.”</w:t>
      </w:r>
    </w:p>
    <w:p>
      <w:pPr>
        <w:spacing w:after="0" w:line="1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The merger may fail to qualify as a “reorganization” for U.S. federal income tax purposes.</w:t>
      </w:r>
    </w:p>
    <w:p>
      <w:pPr>
        <w:spacing w:after="0" w:line="130" w:lineRule="exact"/>
        <w:rPr>
          <w:sz w:val="20"/>
          <w:szCs w:val="20"/>
          <w:color w:val="auto"/>
        </w:rPr>
      </w:pPr>
    </w:p>
    <w:p>
      <w:pPr>
        <w:ind w:left="1100" w:right="979" w:firstLine="318"/>
        <w:spacing w:after="0"/>
        <w:rPr>
          <w:sz w:val="20"/>
          <w:szCs w:val="20"/>
          <w:color w:val="auto"/>
        </w:rPr>
      </w:pPr>
      <w:r>
        <w:rPr>
          <w:rFonts w:ascii="Times New Roman" w:cs="Times New Roman" w:eastAsia="Times New Roman" w:hAnsi="Times New Roman"/>
          <w:sz w:val="16"/>
          <w:szCs w:val="16"/>
          <w:color w:val="auto"/>
        </w:rPr>
        <w:t>United’s and Peach State’s obligations to complete the merger are conditioned on the receipt of opinions from their respective tax counsel that the merger will qualify as a “reorganization” within the meaning of Section 368(a) of the Internal Revenue Code of 1986, as amended. If the merger were to fail to qualify as a reorganization for U.S. federal income tax purposes, Peach State shareholders could recognize taxable gain on the receipt of the merger consideration. No assurance can be given that the opinions will be delivered or that the Internal Revenue Service will not successfully challenge the tax treatment of the merger.</w:t>
      </w:r>
    </w:p>
    <w:p>
      <w:pPr>
        <w:spacing w:after="0" w:line="298" w:lineRule="exact"/>
        <w:rPr>
          <w:sz w:val="20"/>
          <w:szCs w:val="20"/>
          <w:color w:val="auto"/>
        </w:rPr>
      </w:pPr>
    </w:p>
    <w:p>
      <w:pPr>
        <w:ind w:left="1100" w:right="1179"/>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Peach State common stock is not listed or quoted on any exchange and there is no established market for Peach State common stock.</w:t>
      </w:r>
    </w:p>
    <w:p>
      <w:pPr>
        <w:spacing w:after="0" w:line="70" w:lineRule="exact"/>
        <w:rPr>
          <w:sz w:val="20"/>
          <w:szCs w:val="20"/>
          <w:color w:val="auto"/>
        </w:rPr>
      </w:pPr>
    </w:p>
    <w:p>
      <w:pPr>
        <w:jc w:val="both"/>
        <w:ind w:left="1100" w:right="919" w:firstLine="318"/>
        <w:spacing w:after="0" w:line="238" w:lineRule="auto"/>
        <w:rPr>
          <w:sz w:val="20"/>
          <w:szCs w:val="20"/>
          <w:color w:val="auto"/>
        </w:rPr>
      </w:pPr>
      <w:r>
        <w:rPr>
          <w:rFonts w:ascii="Times New Roman" w:cs="Times New Roman" w:eastAsia="Times New Roman" w:hAnsi="Times New Roman"/>
          <w:sz w:val="16"/>
          <w:szCs w:val="16"/>
          <w:color w:val="auto"/>
        </w:rPr>
        <w:t>Peach State’s common stock is not listed or quoted on any exchange. There is no established market for Peach State common stock. Due to a lack of an established market for Peach State common stock, it may be difficult for investors to determine the fair value of Peach State common stock and how that compares to the merger consideration.</w:t>
      </w:r>
    </w:p>
    <w:p>
      <w:pPr>
        <w:spacing w:after="0" w:line="160" w:lineRule="exact"/>
        <w:rPr>
          <w:sz w:val="20"/>
          <w:szCs w:val="20"/>
          <w:color w:val="auto"/>
        </w:rPr>
      </w:pPr>
    </w:p>
    <w:p>
      <w:pPr>
        <w:jc w:val="both"/>
        <w:ind w:left="1100" w:right="919"/>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The market price of United common stock after the merger may be affected by factors different from those currently affecting the independent businesses of United and Peach State.</w:t>
      </w:r>
    </w:p>
    <w:p>
      <w:pPr>
        <w:spacing w:after="0" w:line="82" w:lineRule="exact"/>
        <w:rPr>
          <w:sz w:val="20"/>
          <w:szCs w:val="20"/>
          <w:color w:val="auto"/>
        </w:rPr>
      </w:pPr>
    </w:p>
    <w:p>
      <w:pPr>
        <w:ind w:left="1100" w:right="999" w:firstLine="318"/>
        <w:spacing w:after="0" w:line="241" w:lineRule="auto"/>
        <w:rPr>
          <w:sz w:val="20"/>
          <w:szCs w:val="20"/>
          <w:color w:val="auto"/>
        </w:rPr>
      </w:pPr>
      <w:r>
        <w:rPr>
          <w:rFonts w:ascii="Times New Roman" w:cs="Times New Roman" w:eastAsia="Times New Roman" w:hAnsi="Times New Roman"/>
          <w:sz w:val="16"/>
          <w:szCs w:val="16"/>
          <w:color w:val="auto"/>
        </w:rPr>
        <w:t>Upon completion of the merger, holders of Peach State common stock who receive the stock consideration will become holders of United common stock. United’s business differs in important respects from that of Peach State, and, accordingly, the results of operations of the combined company and the market price of United common stock after the completion of the merger may be affected by factors different from those currently affecting the independent results of operations of each of United and Peach State. For a discussion of the businesses of United and Peach State and of some important factors to consider in connection with those businesses, see the documents incorporated by reference in this proxy statement/​prospectus and referred to under “Where You Can Find More Information.”</w:t>
      </w:r>
    </w:p>
    <w:p>
      <w:pPr>
        <w:spacing w:after="0" w:line="174" w:lineRule="exact"/>
        <w:rPr>
          <w:sz w:val="20"/>
          <w:szCs w:val="20"/>
          <w:color w:val="auto"/>
        </w:rPr>
      </w:pPr>
    </w:p>
    <w:p>
      <w:pPr>
        <w:ind w:left="1100" w:right="1139"/>
        <w:spacing w:after="0" w:line="302" w:lineRule="auto"/>
        <w:rPr>
          <w:sz w:val="20"/>
          <w:szCs w:val="20"/>
          <w:color w:val="auto"/>
        </w:rPr>
      </w:pPr>
      <w:r>
        <w:rPr>
          <w:rFonts w:ascii="Times New Roman" w:cs="Times New Roman" w:eastAsia="Times New Roman" w:hAnsi="Times New Roman"/>
          <w:sz w:val="15"/>
          <w:szCs w:val="15"/>
          <w:b w:val="1"/>
          <w:bCs w:val="1"/>
          <w:i w:val="1"/>
          <w:iCs w:val="1"/>
          <w:color w:val="auto"/>
        </w:rPr>
        <w:t>Regulatory approvals may not be received, may take longer than expected, or may impose conditions that are not presently anticipated or that could have an adverse effect on the combined company following the merger.</w:t>
      </w:r>
    </w:p>
    <w:p>
      <w:pPr>
        <w:spacing w:after="0" w:line="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Before the merger and the bank merger may be completed, United and Peach State must obtain all</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necessary approvals or waivers from the Federal Reserve Board, the SCBFI and other appropriate state and</w:t>
      </w:r>
    </w:p>
    <w:p>
      <w:pPr>
        <w:spacing w:after="0" w:line="33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spacing w:after="0" w:line="242" w:lineRule="auto"/>
        <w:rPr>
          <w:sz w:val="20"/>
          <w:szCs w:val="20"/>
          <w:color w:val="auto"/>
        </w:rPr>
      </w:pPr>
      <w:r>
        <w:rPr>
          <w:rFonts w:ascii="Times New Roman" w:cs="Times New Roman" w:eastAsia="Times New Roman" w:hAnsi="Times New Roman"/>
          <w:sz w:val="16"/>
          <w:szCs w:val="16"/>
          <w:color w:val="auto"/>
        </w:rPr>
        <w:t>federal regulatory authorities. Other approvals, waivers or consents from regulators may also be required. In determining whether to grant these approvals, the regulators consider a variety of factors, including the regulatory standing of each party and the factors described under “The Merger — Regulatory Approvals Required for the Merger.” An adverse development in either party’s regulatory standing or these factors could result in an inability to obtain approval or delay their receipt. These regulators may impose conditions on the completion of the merger or the bank merger or require changes to the terms of the merger or the bank merger. Such conditions or changes could have the effect of delaying or preventing completion of the merger or the bank merger or imposing additional costs on or limiting the revenues of the combined company following the merger and the bank merger, any of which might have an adverse effect on the combined company following the merger. See “The Merger — Regulatory Approvals Required for the Merger.”</w:t>
      </w:r>
    </w:p>
    <w:p>
      <w:pPr>
        <w:spacing w:after="0" w:line="345" w:lineRule="exact"/>
        <w:rPr>
          <w:sz w:val="20"/>
          <w:szCs w:val="20"/>
          <w:color w:val="auto"/>
        </w:rPr>
      </w:pPr>
    </w:p>
    <w:p>
      <w:pPr>
        <w:ind w:left="1100" w:right="919"/>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The success of the merger and the bank merger and integration of United and Peach State will depend on a number of uncertain factors.</w:t>
      </w:r>
    </w:p>
    <w:p>
      <w:pPr>
        <w:spacing w:after="0" w:line="82" w:lineRule="exact"/>
        <w:rPr>
          <w:sz w:val="20"/>
          <w:szCs w:val="20"/>
          <w:color w:val="auto"/>
        </w:rPr>
      </w:pPr>
    </w:p>
    <w:p>
      <w:pPr>
        <w:ind w:left="1100" w:right="999" w:firstLine="318"/>
        <w:spacing w:after="0" w:line="279" w:lineRule="auto"/>
        <w:rPr>
          <w:sz w:val="20"/>
          <w:szCs w:val="20"/>
          <w:color w:val="auto"/>
        </w:rPr>
      </w:pPr>
      <w:r>
        <w:rPr>
          <w:rFonts w:ascii="Times New Roman" w:cs="Times New Roman" w:eastAsia="Times New Roman" w:hAnsi="Times New Roman"/>
          <w:sz w:val="16"/>
          <w:szCs w:val="16"/>
          <w:color w:val="auto"/>
        </w:rPr>
        <w:t>The success of the merger and the bank merger will depend on a number of factors, including, without limitation:</w:t>
      </w:r>
    </w:p>
    <w:p>
      <w:pPr>
        <w:spacing w:after="0" w:line="37" w:lineRule="exact"/>
        <w:rPr>
          <w:sz w:val="20"/>
          <w:szCs w:val="20"/>
          <w:color w:val="auto"/>
        </w:rPr>
      </w:pPr>
    </w:p>
    <w:p>
      <w:pPr>
        <w:ind w:left="1580" w:right="979" w:hanging="160"/>
        <w:spacing w:after="0" w:line="279" w:lineRule="auto"/>
        <w:tabs>
          <w:tab w:leader="none" w:pos="1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United’s ability to integrate the branches acquired from Peach State in the merger, which we refer to as the acquired branches, into United’s current operations;</w:t>
      </w:r>
    </w:p>
    <w:p>
      <w:pPr>
        <w:spacing w:after="0" w:line="24" w:lineRule="exact"/>
        <w:rPr>
          <w:rFonts w:ascii="Times New Roman" w:cs="Times New Roman" w:eastAsia="Times New Roman" w:hAnsi="Times New Roman"/>
          <w:sz w:val="16"/>
          <w:szCs w:val="16"/>
          <w:color w:val="auto"/>
        </w:rPr>
      </w:pPr>
    </w:p>
    <w:p>
      <w:pPr>
        <w:ind w:left="1580" w:right="1079" w:hanging="160"/>
        <w:spacing w:after="0" w:line="279" w:lineRule="auto"/>
        <w:tabs>
          <w:tab w:leader="none" w:pos="1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United’s ability to limit the outflow of deposits held by its new customers in the acquired branches and to successfully retain and manage interest-earning assets (i.e., loans) acquired in the merger;</w:t>
      </w:r>
    </w:p>
    <w:p>
      <w:pPr>
        <w:spacing w:after="0" w:line="36" w:lineRule="exact"/>
        <w:rPr>
          <w:rFonts w:ascii="Times New Roman" w:cs="Times New Roman" w:eastAsia="Times New Roman" w:hAnsi="Times New Roman"/>
          <w:sz w:val="16"/>
          <w:szCs w:val="16"/>
          <w:color w:val="auto"/>
        </w:rPr>
      </w:pPr>
    </w:p>
    <w:p>
      <w:pPr>
        <w:ind w:left="1580" w:right="1299" w:hanging="160"/>
        <w:spacing w:after="0" w:line="279" w:lineRule="auto"/>
        <w:tabs>
          <w:tab w:leader="none" w:pos="1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United’s ability to control the incremental non-interest expense from the acquired branches in a manner that enables it to maintain a favorable overall efficiency ratio;</w:t>
      </w:r>
    </w:p>
    <w:p>
      <w:pPr>
        <w:spacing w:after="0" w:line="24" w:lineRule="exact"/>
        <w:rPr>
          <w:rFonts w:ascii="Times New Roman" w:cs="Times New Roman" w:eastAsia="Times New Roman" w:hAnsi="Times New Roman"/>
          <w:sz w:val="16"/>
          <w:szCs w:val="16"/>
          <w:color w:val="auto"/>
        </w:rPr>
      </w:pPr>
    </w:p>
    <w:p>
      <w:pPr>
        <w:ind w:left="1580" w:right="1339" w:hanging="160"/>
        <w:spacing w:after="0" w:line="279" w:lineRule="auto"/>
        <w:tabs>
          <w:tab w:leader="none" w:pos="1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United’s ability to retain and attract the appropriate personnel to staff and manage the acquired branches;</w:t>
      </w:r>
    </w:p>
    <w:p>
      <w:pPr>
        <w:spacing w:after="0" w:line="24"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United’s ability to retain the customer relationships from the acquired branches; and</w:t>
      </w:r>
    </w:p>
    <w:p>
      <w:pPr>
        <w:spacing w:after="0" w:line="90" w:lineRule="exact"/>
        <w:rPr>
          <w:rFonts w:ascii="Times New Roman" w:cs="Times New Roman" w:eastAsia="Times New Roman" w:hAnsi="Times New Roman"/>
          <w:sz w:val="16"/>
          <w:szCs w:val="16"/>
          <w:color w:val="auto"/>
        </w:rPr>
      </w:pPr>
    </w:p>
    <w:p>
      <w:pPr>
        <w:ind w:left="1580" w:right="1059" w:hanging="160"/>
        <w:spacing w:after="0" w:line="279" w:lineRule="auto"/>
        <w:tabs>
          <w:tab w:leader="none" w:pos="1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United’s ability to earn acceptable levels of interest and non-interest income, including fee income, from the acquired branches.</w:t>
      </w:r>
    </w:p>
    <w:p>
      <w:pPr>
        <w:spacing w:after="0" w:line="84" w:lineRule="exact"/>
        <w:rPr>
          <w:sz w:val="20"/>
          <w:szCs w:val="20"/>
          <w:color w:val="auto"/>
        </w:rPr>
      </w:pPr>
    </w:p>
    <w:p>
      <w:pPr>
        <w:ind w:left="1100" w:right="939" w:firstLine="318"/>
        <w:spacing w:after="0"/>
        <w:rPr>
          <w:sz w:val="20"/>
          <w:szCs w:val="20"/>
          <w:color w:val="auto"/>
        </w:rPr>
      </w:pPr>
      <w:r>
        <w:rPr>
          <w:rFonts w:ascii="Times New Roman" w:cs="Times New Roman" w:eastAsia="Times New Roman" w:hAnsi="Times New Roman"/>
          <w:sz w:val="16"/>
          <w:szCs w:val="16"/>
          <w:color w:val="auto"/>
        </w:rPr>
        <w:t>Integrating the acquired branches will be an operation of substantial size and expense, and may be affected by general market and economic conditions or government actions affecting the financial industry generally. Integration efforts will also likely divert United’s management’s attention and resources. No assurance can be given that United will be able to integrate the acquired branches successfully, and the integration process could result in the loss of key employees, the disruption of ongoing business or inconsistencies in standards, controls, procedures and policies that adversely affect United’s ability to maintain relationships with clients, customers, depositors and employees, or to achieve the anticipated benefits of the merger and the bank merger. United may also encounter unexpected difficulties or costs during the integration that could adversely affect its earnings and financial condition, perhaps materially. Additionally, no assurance can be given that the operation of the acquired branches will not adversely affect United’s existing profitability, that United will be able to achieve results in the future similar to those achieved by its existing banking business or that United will be able to manage any growth resulting from the merger and the bank merger effectively.</w:t>
      </w:r>
    </w:p>
    <w:p>
      <w:pPr>
        <w:spacing w:after="0" w:line="34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The expected timing of the completion of the merger is subject to risks and uncertainties.</w:t>
      </w:r>
    </w:p>
    <w:p>
      <w:pPr>
        <w:spacing w:after="0" w:line="130" w:lineRule="exact"/>
        <w:rPr>
          <w:sz w:val="20"/>
          <w:szCs w:val="20"/>
          <w:color w:val="auto"/>
        </w:rPr>
      </w:pPr>
    </w:p>
    <w:p>
      <w:pPr>
        <w:ind w:left="1100" w:right="979" w:firstLine="318"/>
        <w:spacing w:after="0" w:line="249" w:lineRule="auto"/>
        <w:rPr>
          <w:sz w:val="20"/>
          <w:szCs w:val="20"/>
          <w:color w:val="auto"/>
        </w:rPr>
      </w:pPr>
      <w:r>
        <w:rPr>
          <w:rFonts w:ascii="Times New Roman" w:cs="Times New Roman" w:eastAsia="Times New Roman" w:hAnsi="Times New Roman"/>
          <w:sz w:val="16"/>
          <w:szCs w:val="16"/>
          <w:color w:val="auto"/>
        </w:rPr>
        <w:t>The merger is subject to the satisfaction or waiver of numerous closing conditions, including the receipt of regulatory approvals. Delays in satisfying these conditions could postpone completion of the merger or result in the merger not being completed at all. Any delay could adversely affect the value of the consideration received in the merger or increase the costs incurred by United and Peach State in connection with the merger.</w:t>
      </w:r>
    </w:p>
    <w:p>
      <w:pPr>
        <w:spacing w:after="0" w:line="340" w:lineRule="exact"/>
        <w:rPr>
          <w:sz w:val="20"/>
          <w:szCs w:val="20"/>
          <w:color w:val="auto"/>
        </w:rPr>
      </w:pPr>
    </w:p>
    <w:p>
      <w:pPr>
        <w:ind w:left="1100" w:right="1479"/>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Combining United and Peach State may be more difficult, costly or time-consuming than expected, and the anticipated benefits and cost savings of the merger and the bank merger may not be realized.</w:t>
      </w:r>
    </w:p>
    <w:p>
      <w:pPr>
        <w:spacing w:after="0" w:line="82" w:lineRule="exact"/>
        <w:rPr>
          <w:sz w:val="20"/>
          <w:szCs w:val="20"/>
          <w:color w:val="auto"/>
        </w:rPr>
      </w:pPr>
    </w:p>
    <w:p>
      <w:pPr>
        <w:ind w:left="1100" w:right="959" w:firstLine="318"/>
        <w:spacing w:after="0" w:line="279" w:lineRule="auto"/>
        <w:rPr>
          <w:sz w:val="20"/>
          <w:szCs w:val="20"/>
          <w:color w:val="auto"/>
        </w:rPr>
      </w:pPr>
      <w:r>
        <w:rPr>
          <w:rFonts w:ascii="Times New Roman" w:cs="Times New Roman" w:eastAsia="Times New Roman" w:hAnsi="Times New Roman"/>
          <w:sz w:val="16"/>
          <w:szCs w:val="16"/>
          <w:color w:val="auto"/>
        </w:rPr>
        <w:t>United and Peach State have operated and, until the completion of the merger, will continue to operate, independently. The success of the merger and the bank merger, including anticipated benefits and</w:t>
      </w:r>
    </w:p>
    <w:p>
      <w:pPr>
        <w:spacing w:after="0" w:line="2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spacing w:after="0"/>
        <w:rPr>
          <w:sz w:val="20"/>
          <w:szCs w:val="20"/>
          <w:color w:val="auto"/>
        </w:rPr>
      </w:pPr>
      <w:r>
        <w:rPr>
          <w:rFonts w:ascii="Times New Roman" w:cs="Times New Roman" w:eastAsia="Times New Roman" w:hAnsi="Times New Roman"/>
          <w:sz w:val="16"/>
          <w:szCs w:val="16"/>
          <w:color w:val="auto"/>
        </w:rPr>
        <w:t>cost savings, will depend, in part, on United’s ability to successfully combine and integrate the businesses of United and Peach State in a manner that permits growth opportunities and does not materially disrupt the existing customer relations or result in decreased revenues due to loss of customers. It is possible that the integration process could result in the loss of key employees, the disruption of either company’s ongoing businesses or inconsistencies in standards, controls, procedures and policies that adversely affect the combined company’s ability to maintain relationships with clients, customers, depositors and employees or to achieve the anticipated benefits and cost savings of the merger and the bank merger. The loss of key employees could adversely affect United’s ability to successfully conduct its business, which could have an adverse effect on United’s financial results and the value of the United common stock. If United experiences difficulties with the integration process, the anticipated benefits of the merger and the bank merger may not be realized fully or at all, or may take longer to realize than expected. As with any merger of financial institutions, there also may be business disruptions that cause United and/or Peach State to lose customers or cause customers to remove their accounts from United and/or Peach State and move their business to competing financial institutions. Integration efforts between the two companies will also divert management attention and resources. These integration matters could have an adverse effect on each of United and Peach State during this transition period and for an undetermined period after completion of the merger on the combined company. In addition, the actual cost savings of the merger and the bank merger could be less than anticipated.</w:t>
      </w:r>
    </w:p>
    <w:p>
      <w:pPr>
        <w:spacing w:after="0" w:line="3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b w:val="1"/>
          <w:bCs w:val="1"/>
          <w:i w:val="1"/>
          <w:iCs w:val="1"/>
          <w:color w:val="auto"/>
        </w:rPr>
        <w:t>The combined company may be unable to retain Peach State personnel successfully after the merger is completed.</w:t>
      </w:r>
    </w:p>
    <w:p>
      <w:pPr>
        <w:spacing w:after="0" w:line="141" w:lineRule="exact"/>
        <w:rPr>
          <w:sz w:val="20"/>
          <w:szCs w:val="20"/>
          <w:color w:val="auto"/>
        </w:rPr>
      </w:pPr>
    </w:p>
    <w:p>
      <w:pPr>
        <w:ind w:left="1100" w:right="899" w:firstLine="318"/>
        <w:spacing w:after="0" w:line="241" w:lineRule="auto"/>
        <w:rPr>
          <w:sz w:val="20"/>
          <w:szCs w:val="20"/>
          <w:color w:val="auto"/>
        </w:rPr>
      </w:pPr>
      <w:r>
        <w:rPr>
          <w:rFonts w:ascii="Times New Roman" w:cs="Times New Roman" w:eastAsia="Times New Roman" w:hAnsi="Times New Roman"/>
          <w:sz w:val="16"/>
          <w:szCs w:val="16"/>
          <w:color w:val="auto"/>
        </w:rPr>
        <w:t>The success of the merger and the bank merger will depend in part on the combined company’s ability to retain the talents and dedication of key employees currently employed by Peach State. It is possible that these employees may decide not to remain with Peach State while the merger is pending or with the combined company after the merger is consummated. If key employees terminate their employment, or if an insufficient number of employees are retained to maintain effective operations, the combined company’s business activities may be adversely affected and management’s attention may be diverted from successfully integrating Peach State to hiring suitable replacements, all of which may cause the combined company’s business to suffer. In addition, United may not be able to locate suitable replacements for any key employees who leave the combined company, or to offer employment to potential replacements on reasonable terms.</w:t>
      </w:r>
    </w:p>
    <w:p>
      <w:pPr>
        <w:spacing w:after="0" w:line="346" w:lineRule="exact"/>
        <w:rPr>
          <w:sz w:val="20"/>
          <w:szCs w:val="20"/>
          <w:color w:val="auto"/>
        </w:rPr>
      </w:pPr>
    </w:p>
    <w:p>
      <w:pPr>
        <w:ind w:left="1100" w:right="939"/>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Peach State’s and Peach State Bank &amp; Trust’s directors and executive officers have interests in the merger that may differ from the interests of Peach State shareholders.</w:t>
      </w:r>
    </w:p>
    <w:p>
      <w:pPr>
        <w:spacing w:after="0" w:line="69" w:lineRule="exact"/>
        <w:rPr>
          <w:sz w:val="20"/>
          <w:szCs w:val="20"/>
          <w:color w:val="auto"/>
        </w:rPr>
      </w:pPr>
    </w:p>
    <w:p>
      <w:pPr>
        <w:ind w:left="1100" w:right="939" w:firstLine="318"/>
        <w:spacing w:after="0" w:line="254" w:lineRule="auto"/>
        <w:rPr>
          <w:sz w:val="20"/>
          <w:szCs w:val="20"/>
          <w:color w:val="auto"/>
        </w:rPr>
      </w:pPr>
      <w:r>
        <w:rPr>
          <w:rFonts w:ascii="Times New Roman" w:cs="Times New Roman" w:eastAsia="Times New Roman" w:hAnsi="Times New Roman"/>
          <w:sz w:val="16"/>
          <w:szCs w:val="16"/>
          <w:color w:val="auto"/>
        </w:rPr>
        <w:t>Peach State shareholders should be aware that Peach State’s and Peach State Bank &amp; Trust’s directors and executive officers have interests in the merger that may be different from, or in addition to, the interests of the other Peach State shareholders generally. These interests and arrangements may create potential conflicts of interest. The Peach State board of directors was aware of these interests and considered these interests, among other matters, when making its decision to approve the merger agreement, and in recommending that Peach State shareholders vote in favor of adopting and approving the merger agreement.</w:t>
      </w:r>
    </w:p>
    <w:p>
      <w:pPr>
        <w:spacing w:after="0" w:line="94" w:lineRule="exact"/>
        <w:rPr>
          <w:sz w:val="20"/>
          <w:szCs w:val="20"/>
          <w:color w:val="auto"/>
        </w:rPr>
      </w:pPr>
    </w:p>
    <w:p>
      <w:pPr>
        <w:ind w:left="1100" w:right="1459" w:firstLine="318"/>
        <w:spacing w:after="0" w:line="279" w:lineRule="auto"/>
        <w:rPr>
          <w:sz w:val="20"/>
          <w:szCs w:val="20"/>
          <w:color w:val="auto"/>
        </w:rPr>
      </w:pPr>
      <w:r>
        <w:rPr>
          <w:rFonts w:ascii="Times New Roman" w:cs="Times New Roman" w:eastAsia="Times New Roman" w:hAnsi="Times New Roman"/>
          <w:sz w:val="16"/>
          <w:szCs w:val="16"/>
          <w:color w:val="auto"/>
        </w:rPr>
        <w:t>For a more complete description of these interests, see “Interests of Peach State’s Directors and Executive Officers in the Merger.”</w:t>
      </w:r>
    </w:p>
    <w:p>
      <w:pPr>
        <w:spacing w:after="0" w:line="140" w:lineRule="exact"/>
        <w:rPr>
          <w:sz w:val="20"/>
          <w:szCs w:val="20"/>
          <w:color w:val="auto"/>
        </w:rPr>
      </w:pPr>
    </w:p>
    <w:p>
      <w:pPr>
        <w:ind w:left="1100" w:right="1219"/>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The directors and executive officers of Peach State have executed a voting and support agreement that requires each such shareholder to vote in favor of the adoption and approval of the merger agreement.</w:t>
      </w:r>
    </w:p>
    <w:p>
      <w:pPr>
        <w:spacing w:after="0" w:line="81" w:lineRule="exact"/>
        <w:rPr>
          <w:sz w:val="20"/>
          <w:szCs w:val="20"/>
          <w:color w:val="auto"/>
        </w:rPr>
      </w:pPr>
    </w:p>
    <w:p>
      <w:pPr>
        <w:ind w:left="1100" w:right="959" w:firstLine="318"/>
        <w:spacing w:after="0" w:line="252" w:lineRule="auto"/>
        <w:rPr>
          <w:sz w:val="20"/>
          <w:szCs w:val="20"/>
          <w:color w:val="auto"/>
        </w:rPr>
      </w:pPr>
      <w:r>
        <w:rPr>
          <w:rFonts w:ascii="Times New Roman" w:cs="Times New Roman" w:eastAsia="Times New Roman" w:hAnsi="Times New Roman"/>
          <w:sz w:val="16"/>
          <w:szCs w:val="16"/>
          <w:color w:val="auto"/>
        </w:rPr>
        <w:t>The directors and executive officers of Peach State have entered into a voting and support agreement with United. Pursuant to the voting and support agreement, among other things, each such shareholder has agreed to vote all of his or her shares of Peach State common stock in favor of the approval and adoption of the merger agreement, and against any action or agreement that would prevent, materially impede or materially delay the consummation of the transactions contemplated by the merger agreement and against any alternative acquisition proposal. As of the record date for the Peach State special meeting, the directors and executive officers of Peach State collectively and beneficially owned approximately 40.70% of the outstanding shares of Peach State common stock. However, pursuant to the terms of the voting and support agreement, in the event of an adverse recommendation change by the Peach State board, the aggregate</w:t>
      </w:r>
    </w:p>
    <w:p>
      <w:pPr>
        <w:spacing w:after="0" w:line="32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spacing w:after="0" w:line="248" w:lineRule="auto"/>
        <w:rPr>
          <w:sz w:val="20"/>
          <w:szCs w:val="20"/>
          <w:color w:val="auto"/>
        </w:rPr>
      </w:pPr>
      <w:r>
        <w:rPr>
          <w:rFonts w:ascii="Times New Roman" w:cs="Times New Roman" w:eastAsia="Times New Roman" w:hAnsi="Times New Roman"/>
          <w:sz w:val="16"/>
          <w:szCs w:val="16"/>
          <w:color w:val="auto"/>
        </w:rPr>
        <w:t>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See “Voting and Support Agreement.”</w:t>
      </w:r>
    </w:p>
    <w:p>
      <w:pPr>
        <w:spacing w:after="0" w:line="1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Termination of the merger agreement could negatively impact United or Peach State.</w:t>
      </w:r>
    </w:p>
    <w:p>
      <w:pPr>
        <w:spacing w:after="0" w:line="130" w:lineRule="exact"/>
        <w:rPr>
          <w:sz w:val="20"/>
          <w:szCs w:val="20"/>
          <w:color w:val="auto"/>
        </w:rPr>
      </w:pPr>
    </w:p>
    <w:p>
      <w:pPr>
        <w:ind w:left="1100" w:right="979" w:firstLine="318"/>
        <w:spacing w:after="0" w:line="241" w:lineRule="auto"/>
        <w:rPr>
          <w:sz w:val="20"/>
          <w:szCs w:val="20"/>
          <w:color w:val="auto"/>
        </w:rPr>
      </w:pPr>
      <w:r>
        <w:rPr>
          <w:rFonts w:ascii="Times New Roman" w:cs="Times New Roman" w:eastAsia="Times New Roman" w:hAnsi="Times New Roman"/>
          <w:sz w:val="16"/>
          <w:szCs w:val="16"/>
          <w:color w:val="auto"/>
        </w:rPr>
        <w:t>If the merger agreement is terminated, there may be various consequences. For example, United or Peach State’s businesses may have been impacted adversely by the failure to pursue other beneficial opportunities due to the focus of management on the merger, without realizing any of the anticipated benefits of completing the merger. Additionally, if the merger agreement is terminated, the market price of United common stock or Peach State common stock could decline to the extent that the current market prices reflect a market assumption that the merger will be completed. If the merger agreement is terminated under certain circumstances, Peach State may be required to pay to United a termination fee of approximately $3.6 million.</w:t>
      </w:r>
    </w:p>
    <w:p>
      <w:pPr>
        <w:spacing w:after="0" w:line="335" w:lineRule="exact"/>
        <w:rPr>
          <w:sz w:val="20"/>
          <w:szCs w:val="20"/>
          <w:color w:val="auto"/>
        </w:rPr>
      </w:pPr>
    </w:p>
    <w:p>
      <w:pPr>
        <w:ind w:left="1100" w:right="1199"/>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Peach State and United will be subject to business uncertainties and contractual restrictions while the merger is pending.</w:t>
      </w:r>
    </w:p>
    <w:p>
      <w:pPr>
        <w:spacing w:after="0" w:line="69" w:lineRule="exact"/>
        <w:rPr>
          <w:sz w:val="20"/>
          <w:szCs w:val="20"/>
          <w:color w:val="auto"/>
        </w:rPr>
      </w:pPr>
    </w:p>
    <w:p>
      <w:pPr>
        <w:ind w:left="1100" w:right="979" w:firstLine="318"/>
        <w:spacing w:after="0"/>
        <w:rPr>
          <w:sz w:val="20"/>
          <w:szCs w:val="20"/>
          <w:color w:val="auto"/>
        </w:rPr>
      </w:pPr>
      <w:r>
        <w:rPr>
          <w:rFonts w:ascii="Times New Roman" w:cs="Times New Roman" w:eastAsia="Times New Roman" w:hAnsi="Times New Roman"/>
          <w:sz w:val="16"/>
          <w:szCs w:val="16"/>
          <w:color w:val="auto"/>
        </w:rPr>
        <w:t>Uncertainty about the effect of the merger on employees and customers may have an adverse effect on Peach State and United and, consequently, the combined company. These uncertainties may impair Peach State’s and United’s ability to attract, retain, and motivate key personnel until the merger is completed, and could cause customers and others that deal with Peach State or United to seek to change existing business relationships with Peach State or United, respectively. Retention of certain employees by Peach State may be challenging while the merger is pending, as certain employees may experience uncertainty about their future roles with the combined company. If key employees depart because of issues relating to the uncertainty and difficulty of integration, or a desire not to remain with Peach State and, ultimately, the combined company’s business could be harmed. In addition, subject to certain exceptions, Peach State has agreed to operate its business in the ordinary course and use commercially reasonable efforts to preserve its business organization, employees and business relationships prior to closing. See “The Merger Agreement —  Covenants and Agreements” for a description of the restrictive covenants applicable to Peach State.</w:t>
      </w:r>
    </w:p>
    <w:p>
      <w:pPr>
        <w:spacing w:after="0" w:line="147" w:lineRule="exact"/>
        <w:rPr>
          <w:sz w:val="20"/>
          <w:szCs w:val="20"/>
          <w:color w:val="auto"/>
        </w:rPr>
      </w:pPr>
    </w:p>
    <w:p>
      <w:pPr>
        <w:ind w:left="1100" w:right="919"/>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If the merger is not completed, United and Peach State will have incurred substantial expenses without realizing the expected benefits of the merger.</w:t>
      </w:r>
    </w:p>
    <w:p>
      <w:pPr>
        <w:spacing w:after="0" w:line="82" w:lineRule="exact"/>
        <w:rPr>
          <w:sz w:val="20"/>
          <w:szCs w:val="20"/>
          <w:color w:val="auto"/>
        </w:rPr>
      </w:pPr>
    </w:p>
    <w:p>
      <w:pPr>
        <w:ind w:left="1100" w:right="959" w:firstLine="318"/>
        <w:spacing w:after="0" w:line="248" w:lineRule="auto"/>
        <w:rPr>
          <w:sz w:val="20"/>
          <w:szCs w:val="20"/>
          <w:color w:val="auto"/>
        </w:rPr>
      </w:pPr>
      <w:r>
        <w:rPr>
          <w:rFonts w:ascii="Times New Roman" w:cs="Times New Roman" w:eastAsia="Times New Roman" w:hAnsi="Times New Roman"/>
          <w:sz w:val="16"/>
          <w:szCs w:val="16"/>
          <w:color w:val="auto"/>
        </w:rPr>
        <w:t>Each of United and Peach State has incurred and will incur substantial expenses in connection with the negotiation and completion of the transactions contemplated by the merger agreement, as well as the costs and expenses of filing, printing and mailing this proxy statement/prospectus, and all filing and other fees paid to the SEC in connection with the merger. If the merger is not completed, United and Peach State would have to recognize these expenses without realizing the expected benefits of the merger.</w:t>
      </w:r>
    </w:p>
    <w:p>
      <w:pPr>
        <w:spacing w:after="0" w:line="141" w:lineRule="exact"/>
        <w:rPr>
          <w:sz w:val="20"/>
          <w:szCs w:val="20"/>
          <w:color w:val="auto"/>
        </w:rPr>
      </w:pPr>
    </w:p>
    <w:p>
      <w:pPr>
        <w:jc w:val="both"/>
        <w:ind w:left="1100" w:right="1039"/>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The merger agreement limits Peach State’s ability to pursue alternative acquisition proposals and requires Peach State to pay a termination fee of approximately $3.6 million under limited circumstances, including circumstances relating to acquisition proposals.</w:t>
      </w:r>
    </w:p>
    <w:p>
      <w:pPr>
        <w:spacing w:after="0" w:line="94" w:lineRule="exact"/>
        <w:rPr>
          <w:sz w:val="20"/>
          <w:szCs w:val="20"/>
          <w:color w:val="auto"/>
        </w:rPr>
      </w:pPr>
    </w:p>
    <w:p>
      <w:pPr>
        <w:ind w:left="1100" w:right="939" w:firstLine="318"/>
        <w:spacing w:after="0" w:line="241" w:lineRule="auto"/>
        <w:rPr>
          <w:sz w:val="20"/>
          <w:szCs w:val="20"/>
          <w:color w:val="auto"/>
        </w:rPr>
      </w:pPr>
      <w:r>
        <w:rPr>
          <w:rFonts w:ascii="Times New Roman" w:cs="Times New Roman" w:eastAsia="Times New Roman" w:hAnsi="Times New Roman"/>
          <w:sz w:val="16"/>
          <w:szCs w:val="16"/>
          <w:color w:val="auto"/>
        </w:rPr>
        <w:t>The merger agreement prohibits Peach State from initiating, soliciting, knowingly encouraging or knowingly facilitating certain alternative third-party acquisition proposals. See “The Merger Agreement —  Agreement Not to Solicit Other Offers.” The merger agreement also provides that Peach State will be required to pay a termination fee to United in the amount of approximately $3.6 million in the event that the merger agreement is terminated under certain circumstances, including an adverse recommendation change by the Peach State board of directors. See “The Merger Agreement — Termination Fee.” These provisions might discourage a potential competing acquirer that might have an interest in acquiring all or a significant part of Peach State from considering or proposing such an acquisition.</w:t>
      </w:r>
    </w:p>
    <w:p>
      <w:pPr>
        <w:spacing w:after="0" w:line="150" w:lineRule="exact"/>
        <w:rPr>
          <w:sz w:val="20"/>
          <w:szCs w:val="20"/>
          <w:color w:val="auto"/>
        </w:rPr>
      </w:pPr>
    </w:p>
    <w:p>
      <w:pPr>
        <w:ind w:left="1100" w:right="1059"/>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The shares of United common stock to be received by Peach State shareholders as a result of the merger will have different rights from the shares of Peach State common stock.</w:t>
      </w:r>
    </w:p>
    <w:p>
      <w:pPr>
        <w:spacing w:after="0" w:line="57" w:lineRule="exact"/>
        <w:rPr>
          <w:sz w:val="20"/>
          <w:szCs w:val="20"/>
          <w:color w:val="auto"/>
        </w:rPr>
      </w:pPr>
    </w:p>
    <w:p>
      <w:pPr>
        <w:ind w:left="1100" w:right="1259" w:firstLine="318"/>
        <w:spacing w:after="0" w:line="279" w:lineRule="auto"/>
        <w:rPr>
          <w:sz w:val="20"/>
          <w:szCs w:val="20"/>
          <w:color w:val="auto"/>
        </w:rPr>
      </w:pPr>
      <w:r>
        <w:rPr>
          <w:rFonts w:ascii="Times New Roman" w:cs="Times New Roman" w:eastAsia="Times New Roman" w:hAnsi="Times New Roman"/>
          <w:sz w:val="16"/>
          <w:szCs w:val="16"/>
          <w:color w:val="auto"/>
        </w:rPr>
        <w:t>Upon completion of the merger, Peach State shareholders who receive the stock consideration will become United shareholders and their rights as shareholders will be governed by the Georgia Business</w:t>
      </w:r>
    </w:p>
    <w:p>
      <w:pPr>
        <w:spacing w:after="0" w:line="2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spacing w:after="0" w:line="258" w:lineRule="auto"/>
        <w:rPr>
          <w:sz w:val="20"/>
          <w:szCs w:val="20"/>
          <w:color w:val="auto"/>
        </w:rPr>
      </w:pPr>
      <w:r>
        <w:rPr>
          <w:rFonts w:ascii="Times New Roman" w:cs="Times New Roman" w:eastAsia="Times New Roman" w:hAnsi="Times New Roman"/>
          <w:sz w:val="16"/>
          <w:szCs w:val="16"/>
          <w:color w:val="auto"/>
        </w:rPr>
        <w:t>Corporation Code, which we refer to as the GBCC, and the United articles of incorporation and bylaws. The rights associated with Peach State common stock are different from the rights associated with United common stock. See “Comparison of Shareholders’ Rights” for a discussion of the different rights associated with United common stock.</w:t>
      </w:r>
    </w:p>
    <w:p>
      <w:pPr>
        <w:spacing w:after="0" w:line="158" w:lineRule="exact"/>
        <w:rPr>
          <w:sz w:val="20"/>
          <w:szCs w:val="20"/>
          <w:color w:val="auto"/>
        </w:rPr>
      </w:pPr>
    </w:p>
    <w:p>
      <w:pPr>
        <w:ind w:left="1100" w:right="1019"/>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Peach State shareholders who receive the stock consideration will have a reduced ownership and voting interest in the combined company after the merger and will exercise less influence over management, as compared to their ownership and voting interests in Peach State.</w:t>
      </w:r>
    </w:p>
    <w:p>
      <w:pPr>
        <w:spacing w:after="0" w:line="95" w:lineRule="exact"/>
        <w:rPr>
          <w:sz w:val="20"/>
          <w:szCs w:val="20"/>
          <w:color w:val="auto"/>
        </w:rPr>
      </w:pPr>
    </w:p>
    <w:p>
      <w:pPr>
        <w:ind w:left="1100" w:right="919" w:firstLine="318"/>
        <w:spacing w:after="0" w:line="251" w:lineRule="auto"/>
        <w:rPr>
          <w:sz w:val="20"/>
          <w:szCs w:val="20"/>
          <w:color w:val="auto"/>
        </w:rPr>
      </w:pPr>
      <w:r>
        <w:rPr>
          <w:rFonts w:ascii="Times New Roman" w:cs="Times New Roman" w:eastAsia="Times New Roman" w:hAnsi="Times New Roman"/>
          <w:sz w:val="16"/>
          <w:szCs w:val="16"/>
          <w:color w:val="auto"/>
        </w:rPr>
        <w:t>Peach State shareholders currently have the right to vote in the election of the board of directors and on other matters affecting Peach State. Upon completion of the merger, each Peach State shareholder who receives shares of United common stock will become a United shareholder, with a percentage ownership of United that is much smaller than such shareholder’s current percentage ownership of Peach State. Based on the number of shares of Peach State common stock outstanding on April 20, 2026, the date of the merger agreement, and the shares of United common stock expected to be issued in the merger, the Peach State shareholders as a group will receive shares in the merger constituting approximately 1% of the outstanding shares of United common stock immediately after the merger. As a result of the issuance of shares of United common stock in the merger, Peach State shareholders who receive United common stock will experience dilution of their ownership interests, which may reduce the per-share value of United common stock. Because of this, Peach State shareholders may have less influence on the management and policies of the combined company than they now have on the management and policies of Peach State.</w:t>
      </w:r>
    </w:p>
    <w:p>
      <w:pPr>
        <w:spacing w:after="0" w:line="165" w:lineRule="exact"/>
        <w:rPr>
          <w:sz w:val="20"/>
          <w:szCs w:val="20"/>
          <w:color w:val="auto"/>
        </w:rPr>
      </w:pPr>
    </w:p>
    <w:p>
      <w:pPr>
        <w:jc w:val="both"/>
        <w:ind w:left="1100" w:right="1039"/>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The fairness opinion received by the Peach State board of directors from Piper Sandler &amp; Co. has not been, and is not expected to be, updated to reflect any changes in circumstances that may have occurred since the date of such opinion.</w:t>
      </w:r>
    </w:p>
    <w:p>
      <w:pPr>
        <w:spacing w:after="0" w:line="95" w:lineRule="exact"/>
        <w:rPr>
          <w:sz w:val="20"/>
          <w:szCs w:val="20"/>
          <w:color w:val="auto"/>
        </w:rPr>
      </w:pPr>
    </w:p>
    <w:p>
      <w:pPr>
        <w:ind w:left="1100" w:right="919" w:firstLine="318"/>
        <w:spacing w:after="0" w:line="253" w:lineRule="auto"/>
        <w:rPr>
          <w:sz w:val="20"/>
          <w:szCs w:val="20"/>
          <w:color w:val="auto"/>
        </w:rPr>
      </w:pPr>
      <w:r>
        <w:rPr>
          <w:rFonts w:ascii="Times New Roman" w:cs="Times New Roman" w:eastAsia="Times New Roman" w:hAnsi="Times New Roman"/>
          <w:sz w:val="16"/>
          <w:szCs w:val="16"/>
          <w:color w:val="auto"/>
        </w:rPr>
        <w:t>The fairness opinion of Piper Sandler &amp; Co. was rendered to Peach State’s board of directors on April 20, 2026. Changes in the operations and prospects of Peach State, general market and economic conditions and other factors which may be beyond the control of Peach State may have altered the value of Peach State or the sale prices of shares of Peach State common stock as of the date of this proxy statement/​ prospectus, or may alter such value and sale prices by the time the merger is completed. The opinion from Piper Sandler &amp; Co., dated April 20, 2026 and attached to this proxy statement/prospectus as Annex C, does not speak as of any date other than the date of such opinion.</w:t>
      </w:r>
    </w:p>
    <w:p>
      <w:pPr>
        <w:spacing w:after="0" w:line="1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Peach State shareholders have appraisal rights in the merger.</w:t>
      </w:r>
    </w:p>
    <w:p>
      <w:pPr>
        <w:spacing w:after="0" w:line="130" w:lineRule="exact"/>
        <w:rPr>
          <w:sz w:val="20"/>
          <w:szCs w:val="20"/>
          <w:color w:val="auto"/>
        </w:rPr>
      </w:pPr>
    </w:p>
    <w:p>
      <w:pPr>
        <w:ind w:left="1100" w:right="899" w:firstLine="318"/>
        <w:spacing w:after="0" w:line="253" w:lineRule="auto"/>
        <w:rPr>
          <w:sz w:val="20"/>
          <w:szCs w:val="20"/>
          <w:color w:val="auto"/>
        </w:rPr>
      </w:pPr>
      <w:r>
        <w:rPr>
          <w:rFonts w:ascii="Times New Roman" w:cs="Times New Roman" w:eastAsia="Times New Roman" w:hAnsi="Times New Roman"/>
          <w:sz w:val="16"/>
          <w:szCs w:val="16"/>
          <w:color w:val="auto"/>
        </w:rPr>
        <w:t>If the merger agreement is adopted by Peach State shareholders, Peach State shareholders who do not vote in favor of the adoption of the merger agreement and who properly demand payment of fair cash value of their shares of common stock will be entitled to appraisal rights in connection with the merger under Title 14, Chapter 2, Article 13 of the GBCC. In addition, United’s obligation to consummate the merger is subject to the condition that the holders of no more than 5% of the aggregate outstanding shares of Peach State’s common stock properly notify Peach State of their intent to exercise appraisal rights. Neither Peach State nor United can predict the number of Peach State shareholders who will seek payment of fair cash value of their shares. See “The Merger Agreement — Dissenters’ Rights.”</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There is no assurance that United or Peach State will continue paying dividends at the current rate.</w:t>
      </w:r>
    </w:p>
    <w:p>
      <w:pPr>
        <w:spacing w:after="0" w:line="142" w:lineRule="exact"/>
        <w:rPr>
          <w:sz w:val="20"/>
          <w:szCs w:val="20"/>
          <w:color w:val="auto"/>
        </w:rPr>
      </w:pPr>
    </w:p>
    <w:p>
      <w:pPr>
        <w:ind w:left="1100" w:right="999" w:firstLine="318"/>
        <w:spacing w:after="0" w:line="252" w:lineRule="auto"/>
        <w:rPr>
          <w:sz w:val="20"/>
          <w:szCs w:val="20"/>
          <w:color w:val="auto"/>
        </w:rPr>
      </w:pPr>
      <w:r>
        <w:rPr>
          <w:rFonts w:ascii="Times New Roman" w:cs="Times New Roman" w:eastAsia="Times New Roman" w:hAnsi="Times New Roman"/>
          <w:sz w:val="16"/>
          <w:szCs w:val="16"/>
          <w:color w:val="auto"/>
        </w:rPr>
        <w:t>United’s board of directors has adopted a current dividend practice for the payment of a quarterly cash dividend. Peach State’s board of directors has historically paid a regular quarterly cash dividend. These practices can be changed at any time at the discretion of the board of directors of each company, and United’s or Peach State’s common shareholders have no contractual or other legal right to dividends. In addition, the other risk factors described in this section could materially reduce the cash available from operations of United, Peach State and the combined entity following the merger, and these outcomes could cause capital not to be available when needed in an amount sufficient to support United’s or Peach State’s dividend practice. The amount of dividends that each company may distribute will also be subject to restrictions under applicable state law and applicable bank regulatory provisions. If United’s board of</w:t>
      </w:r>
    </w:p>
    <w:p>
      <w:pPr>
        <w:spacing w:after="0" w:line="32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019"/>
        <w:spacing w:after="0" w:line="263" w:lineRule="auto"/>
        <w:rPr>
          <w:sz w:val="20"/>
          <w:szCs w:val="20"/>
          <w:color w:val="auto"/>
        </w:rPr>
      </w:pPr>
      <w:r>
        <w:rPr>
          <w:rFonts w:ascii="Times New Roman" w:cs="Times New Roman" w:eastAsia="Times New Roman" w:hAnsi="Times New Roman"/>
          <w:sz w:val="16"/>
          <w:szCs w:val="16"/>
          <w:color w:val="auto"/>
        </w:rPr>
        <w:t>directors were to adopt a change to United’s current dividend practice that resulted in a reduction in the amount of dividends, such change could have a material and adverse effect on the market price of United’s common stock.</w:t>
      </w:r>
    </w:p>
    <w:p>
      <w:pPr>
        <w:spacing w:after="0" w:line="1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Risks Relating to United’s Business.</w:t>
      </w:r>
    </w:p>
    <w:p>
      <w:pPr>
        <w:spacing w:after="0" w:line="140" w:lineRule="exact"/>
        <w:rPr>
          <w:sz w:val="20"/>
          <w:szCs w:val="20"/>
          <w:color w:val="auto"/>
        </w:rPr>
      </w:pPr>
    </w:p>
    <w:p>
      <w:pPr>
        <w:ind w:left="1100" w:right="1019" w:firstLine="318"/>
        <w:spacing w:after="0" w:line="254" w:lineRule="auto"/>
        <w:rPr>
          <w:rFonts w:ascii="Times New Roman" w:cs="Times New Roman" w:eastAsia="Times New Roman" w:hAnsi="Times New Roman"/>
          <w:sz w:val="16"/>
          <w:szCs w:val="16"/>
          <w:color w:val="0000EE"/>
        </w:rPr>
      </w:pPr>
      <w:r>
        <w:rPr>
          <w:rFonts w:ascii="Times New Roman" w:cs="Times New Roman" w:eastAsia="Times New Roman" w:hAnsi="Times New Roman"/>
          <w:sz w:val="16"/>
          <w:szCs w:val="16"/>
          <w:color w:val="auto"/>
        </w:rPr>
        <w:t xml:space="preserve">You should read and consider the risk factors specific to United’s business that will also affect the combined company after the merger. These risks are described in the sections entitled “Risk Factors” in </w:t>
      </w:r>
      <w:hyperlink r:id="rId98">
        <w:r>
          <w:rPr>
            <w:rFonts w:ascii="Times New Roman" w:cs="Times New Roman" w:eastAsia="Times New Roman" w:hAnsi="Times New Roman"/>
            <w:sz w:val="16"/>
            <w:szCs w:val="16"/>
            <w:color w:val="auto"/>
          </w:rPr>
          <w:t xml:space="preserve">United’s </w:t>
        </w:r>
        <w:r>
          <w:rPr>
            <w:rFonts w:ascii="Times New Roman" w:cs="Times New Roman" w:eastAsia="Times New Roman" w:hAnsi="Times New Roman"/>
            <w:sz w:val="16"/>
            <w:szCs w:val="16"/>
            <w:u w:val="single" w:color="auto"/>
            <w:color w:val="0000EE"/>
          </w:rPr>
          <w:t>Annual Report on Form 10-K for the fiscal year ended December 31, 2025 filed with the SEC on</w:t>
        </w:r>
      </w:hyperlink>
      <w:r>
        <w:rPr>
          <w:rFonts w:ascii="Times New Roman" w:cs="Times New Roman" w:eastAsia="Times New Roman" w:hAnsi="Times New Roman"/>
          <w:sz w:val="16"/>
          <w:szCs w:val="16"/>
          <w:color w:val="auto"/>
        </w:rPr>
        <w:t xml:space="preserve"> </w:t>
      </w:r>
      <w:hyperlink r:id="rId98">
        <w:r>
          <w:rPr>
            <w:rFonts w:ascii="Times New Roman" w:cs="Times New Roman" w:eastAsia="Times New Roman" w:hAnsi="Times New Roman"/>
            <w:sz w:val="16"/>
            <w:szCs w:val="16"/>
            <w:u w:val="single" w:color="auto"/>
            <w:color w:val="0000EE"/>
          </w:rPr>
          <w:t>February 17, 2026</w:t>
        </w:r>
        <w:r>
          <w:rPr>
            <w:rFonts w:ascii="Times New Roman" w:cs="Times New Roman" w:eastAsia="Times New Roman" w:hAnsi="Times New Roman"/>
            <w:sz w:val="16"/>
            <w:szCs w:val="16"/>
            <w:color w:val="000000"/>
          </w:rPr>
          <w:t>, and in other documents incorporated by reference into this proxy statement/prospectus.</w:t>
        </w:r>
      </w:hyperlink>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 xml:space="preserve">See “Where You Can Find More Information” beginning on page </w:t>
      </w:r>
      <w:r>
        <w:rPr>
          <w:rFonts w:ascii="Times New Roman" w:cs="Times New Roman" w:eastAsia="Times New Roman" w:hAnsi="Times New Roman"/>
          <w:sz w:val="16"/>
          <w:szCs w:val="16"/>
          <w:u w:val="single" w:color="auto"/>
          <w:color w:val="0000EE"/>
        </w:rPr>
        <w:t>99</w:t>
      </w:r>
      <w:r>
        <w:rPr>
          <w:rFonts w:ascii="Times New Roman" w:cs="Times New Roman" w:eastAsia="Times New Roman" w:hAnsi="Times New Roman"/>
          <w:sz w:val="16"/>
          <w:szCs w:val="16"/>
          <w:color w:val="000000"/>
        </w:rPr>
        <w:t xml:space="preserve"> for the location of information incorporated by reference into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INFORMATION ABOUT THE PEACH STATE SPECIAL MEETING</w:t>
      </w:r>
    </w:p>
    <w:p>
      <w:pPr>
        <w:spacing w:after="0" w:line="140" w:lineRule="exact"/>
        <w:rPr>
          <w:sz w:val="20"/>
          <w:szCs w:val="20"/>
          <w:color w:val="auto"/>
        </w:rPr>
      </w:pPr>
    </w:p>
    <w:p>
      <w:pPr>
        <w:ind w:left="1100" w:right="899" w:firstLine="318"/>
        <w:spacing w:after="0" w:line="243" w:lineRule="auto"/>
        <w:rPr>
          <w:sz w:val="20"/>
          <w:szCs w:val="20"/>
          <w:color w:val="auto"/>
        </w:rPr>
      </w:pPr>
      <w:r>
        <w:rPr>
          <w:rFonts w:ascii="Times New Roman" w:cs="Times New Roman" w:eastAsia="Times New Roman" w:hAnsi="Times New Roman"/>
          <w:sz w:val="16"/>
          <w:szCs w:val="16"/>
          <w:color w:val="auto"/>
        </w:rPr>
        <w:t>This section contains information about the special meeting that Peach State has called to allow Peach State shareholders to vote on the adoption and approval of the merger agreement and other matters. The Peach State board of directors is mailing this proxy statement/prospectus to you on or about [            ], 2026. Together with this proxy statement/prospectus, the Peach State board of directors is also sending you a notice of the special meeting of Peach State shareholders and a form of proxy that the Peach State board of directors is soliciting for use at the special meeting and at any adjournments or postponements of the special meeting.</w:t>
      </w:r>
    </w:p>
    <w:p>
      <w:pPr>
        <w:spacing w:after="0" w:line="34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Time, Date, and Place</w:t>
      </w:r>
    </w:p>
    <w:p>
      <w:pPr>
        <w:spacing w:after="0" w:line="140" w:lineRule="exact"/>
        <w:rPr>
          <w:sz w:val="20"/>
          <w:szCs w:val="20"/>
          <w:color w:val="auto"/>
        </w:rPr>
      </w:pPr>
    </w:p>
    <w:p>
      <w:pPr>
        <w:ind w:left="1100" w:right="1259" w:firstLine="318"/>
        <w:spacing w:after="0" w:line="263" w:lineRule="auto"/>
        <w:rPr>
          <w:sz w:val="20"/>
          <w:szCs w:val="20"/>
          <w:color w:val="auto"/>
        </w:rPr>
      </w:pPr>
      <w:r>
        <w:rPr>
          <w:rFonts w:ascii="Times New Roman" w:cs="Times New Roman" w:eastAsia="Times New Roman" w:hAnsi="Times New Roman"/>
          <w:sz w:val="16"/>
          <w:szCs w:val="16"/>
          <w:color w:val="auto"/>
        </w:rPr>
        <w:t>The special meeting is scheduled to be held on July 21, 2026, at 4:00 P.M., Eastern Time, at Peach State’s main office, located at 121 E.E. Butler Parkway, Gainesville, Georgia 30501.</w:t>
      </w:r>
    </w:p>
    <w:p>
      <w:pPr>
        <w:spacing w:after="0" w:line="15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Matters to be Considered at the Meeting</w:t>
      </w:r>
    </w:p>
    <w:p>
      <w:pPr>
        <w:spacing w:after="0" w:line="12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At the special meeting, Peach State shareholders will be asked to consider and vote on:</w:t>
      </w:r>
    </w:p>
    <w:p>
      <w:pPr>
        <w:spacing w:after="0" w:line="90" w:lineRule="exact"/>
        <w:rPr>
          <w:sz w:val="20"/>
          <w:szCs w:val="20"/>
          <w:color w:val="auto"/>
        </w:rPr>
      </w:pPr>
    </w:p>
    <w:p>
      <w:pPr>
        <w:ind w:left="1580" w:hanging="160"/>
        <w:spacing w:after="0"/>
        <w:tabs>
          <w:tab w:leader="none" w:pos="1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proposal to adopt and approve the merger agreement, which we refer to as the merger proposal;</w:t>
      </w:r>
    </w:p>
    <w:p>
      <w:pPr>
        <w:spacing w:after="0" w:line="66" w:lineRule="exact"/>
        <w:rPr>
          <w:rFonts w:ascii="Times New Roman" w:cs="Times New Roman" w:eastAsia="Times New Roman" w:hAnsi="Times New Roman"/>
          <w:sz w:val="16"/>
          <w:szCs w:val="16"/>
          <w:color w:val="auto"/>
        </w:rPr>
      </w:pPr>
    </w:p>
    <w:p>
      <w:pPr>
        <w:ind w:left="1580" w:right="1039" w:hanging="160"/>
        <w:spacing w:after="0" w:line="258" w:lineRule="auto"/>
        <w:tabs>
          <w:tab w:leader="none" w:pos="1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proposal of the Peach State board of directors to adjourn or postpone the special meeting, if necessary or appropriate, including to permit further solicitation of proxies if there are insufficient votes at the time of the special meeting to adopt and approve the merger agreement, which we refer to as the adjournment proposal; and</w:t>
      </w:r>
    </w:p>
    <w:p>
      <w:pPr>
        <w:spacing w:after="0" w:line="30" w:lineRule="exact"/>
        <w:rPr>
          <w:rFonts w:ascii="Times New Roman" w:cs="Times New Roman" w:eastAsia="Times New Roman" w:hAnsi="Times New Roman"/>
          <w:sz w:val="16"/>
          <w:szCs w:val="16"/>
          <w:color w:val="auto"/>
        </w:rPr>
      </w:pPr>
    </w:p>
    <w:p>
      <w:pPr>
        <w:ind w:left="1580" w:right="1319" w:hanging="160"/>
        <w:spacing w:after="0" w:line="279" w:lineRule="auto"/>
        <w:tabs>
          <w:tab w:leader="none" w:pos="1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matters as may properly be brought before the special meeting or any adjournment or postponement of the special meeting.</w:t>
      </w:r>
    </w:p>
    <w:p>
      <w:pPr>
        <w:spacing w:after="0" w:line="73" w:lineRule="exact"/>
        <w:rPr>
          <w:sz w:val="20"/>
          <w:szCs w:val="20"/>
          <w:color w:val="auto"/>
        </w:rPr>
      </w:pPr>
    </w:p>
    <w:p>
      <w:pPr>
        <w:ind w:left="1100" w:right="1039" w:firstLine="318"/>
        <w:spacing w:after="0" w:line="242" w:lineRule="auto"/>
        <w:rPr>
          <w:sz w:val="20"/>
          <w:szCs w:val="20"/>
          <w:color w:val="auto"/>
        </w:rPr>
      </w:pPr>
      <w:r>
        <w:rPr>
          <w:rFonts w:ascii="Times New Roman" w:cs="Times New Roman" w:eastAsia="Times New Roman" w:hAnsi="Times New Roman"/>
          <w:sz w:val="16"/>
          <w:szCs w:val="16"/>
          <w:color w:val="auto"/>
        </w:rPr>
        <w:t>At this time, the Peach State board of directors is unaware of any other matters that may be presented for action at the special meeting. If any other matters are properly presented, however, and you have completed, signed and submitted your proxy, the person(s) named as proxy will have the authority to vote your shares in accordance with his judgment with respect to such matters. A copy of the merger agreement is included in this proxy statement/prospectus as Annex A, and we encourage you to read it carefully in its entirety.</w:t>
      </w:r>
    </w:p>
    <w:p>
      <w:pPr>
        <w:spacing w:after="0" w:line="35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Recommendation of Peach State Board of Directors</w:t>
      </w:r>
    </w:p>
    <w:p>
      <w:pPr>
        <w:spacing w:after="0" w:line="126" w:lineRule="exact"/>
        <w:rPr>
          <w:sz w:val="20"/>
          <w:szCs w:val="20"/>
          <w:color w:val="auto"/>
        </w:rPr>
      </w:pPr>
    </w:p>
    <w:p>
      <w:pPr>
        <w:jc w:val="both"/>
        <w:ind w:left="1100" w:right="1039" w:firstLine="318"/>
        <w:spacing w:after="0" w:line="257" w:lineRule="auto"/>
        <w:rPr>
          <w:sz w:val="20"/>
          <w:szCs w:val="20"/>
          <w:color w:val="auto"/>
        </w:rPr>
      </w:pPr>
      <w:r>
        <w:rPr>
          <w:rFonts w:ascii="Times New Roman" w:cs="Times New Roman" w:eastAsia="Times New Roman" w:hAnsi="Times New Roman"/>
          <w:sz w:val="16"/>
          <w:szCs w:val="16"/>
          <w:color w:val="auto"/>
        </w:rPr>
        <w:t>The Peach State board of directors recommends that Peach State shareholders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merger proposal and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adjournment proposal. See “The Merger — Peach State’s Reasons for the Merger and Recommendation of the Peach State’s Board of Directors.”</w:t>
      </w:r>
    </w:p>
    <w:p>
      <w:pPr>
        <w:spacing w:after="0" w:line="1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Record Date and Quorum</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June 1, 2026 has been fixed as the record date for the determination of Peach State shareholders</w:t>
      </w:r>
    </w:p>
    <w:p>
      <w:pPr>
        <w:spacing w:after="0" w:line="13" w:lineRule="exact"/>
        <w:rPr>
          <w:sz w:val="20"/>
          <w:szCs w:val="20"/>
          <w:color w:val="auto"/>
        </w:rPr>
      </w:pPr>
    </w:p>
    <w:p>
      <w:pPr>
        <w:ind w:left="1100" w:right="1119"/>
        <w:spacing w:after="0" w:line="244" w:lineRule="auto"/>
        <w:rPr>
          <w:sz w:val="20"/>
          <w:szCs w:val="20"/>
          <w:color w:val="auto"/>
        </w:rPr>
      </w:pPr>
      <w:r>
        <w:rPr>
          <w:rFonts w:ascii="Times New Roman" w:cs="Times New Roman" w:eastAsia="Times New Roman" w:hAnsi="Times New Roman"/>
          <w:sz w:val="16"/>
          <w:szCs w:val="16"/>
          <w:color w:val="auto"/>
        </w:rPr>
        <w:t>entitled to notice of, and to vote at, the special meeting and any adjournment or postponement thereof. At the close of business on the record date, there were 3,000,542 shares of Peach State common stock outstanding and entitled to vote at the special meeting, held by approximately 444 holders of record.</w:t>
      </w:r>
    </w:p>
    <w:p>
      <w:pPr>
        <w:spacing w:after="0" w:line="100" w:lineRule="exact"/>
        <w:rPr>
          <w:sz w:val="20"/>
          <w:szCs w:val="20"/>
          <w:color w:val="auto"/>
        </w:rPr>
      </w:pPr>
    </w:p>
    <w:p>
      <w:pPr>
        <w:ind w:left="1100" w:right="959" w:firstLine="318"/>
        <w:spacing w:after="0" w:line="241" w:lineRule="auto"/>
        <w:rPr>
          <w:sz w:val="20"/>
          <w:szCs w:val="20"/>
          <w:color w:val="auto"/>
        </w:rPr>
      </w:pPr>
      <w:r>
        <w:rPr>
          <w:rFonts w:ascii="Times New Roman" w:cs="Times New Roman" w:eastAsia="Times New Roman" w:hAnsi="Times New Roman"/>
          <w:sz w:val="16"/>
          <w:szCs w:val="16"/>
          <w:color w:val="auto"/>
        </w:rPr>
        <w:t>A quorum is necessary to transact business at the special meeting. The presence, in person or by proxy, of the holders of a majority of the outstanding shares of Peach State common stock entitled to vote at the meeting is necessary to constitute a quorum. Shares of Peach State common stock represented at the special meeting but not voted, including shares that a shareholder abstains from voting, will be counted for purposes of establishing a quorum. Once a share of Peach State common stock is represented at the special meeting, it will be counted for the purpose of determining a quorum not only at the special meeting but also at any adjournment or postponement of the special meeting. In the event that a quorum is not present at the special meeting, it is expected that the special meeting will be adjourned or postponed.</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Required Vote</w:t>
      </w:r>
    </w:p>
    <w:p>
      <w:pPr>
        <w:spacing w:after="0" w:line="128" w:lineRule="exact"/>
        <w:rPr>
          <w:sz w:val="20"/>
          <w:szCs w:val="20"/>
          <w:color w:val="auto"/>
        </w:rPr>
      </w:pPr>
    </w:p>
    <w:p>
      <w:pPr>
        <w:ind w:left="1100" w:right="1039" w:firstLine="318"/>
        <w:spacing w:after="0" w:line="279" w:lineRule="auto"/>
        <w:rPr>
          <w:sz w:val="20"/>
          <w:szCs w:val="20"/>
          <w:color w:val="auto"/>
        </w:rPr>
      </w:pPr>
      <w:r>
        <w:rPr>
          <w:rFonts w:ascii="Times New Roman" w:cs="Times New Roman" w:eastAsia="Times New Roman" w:hAnsi="Times New Roman"/>
          <w:sz w:val="16"/>
          <w:szCs w:val="16"/>
          <w:color w:val="auto"/>
        </w:rPr>
        <w:t>In order for the merger proposal to be approved, it must receive the affirmative vote of a majority of the outstanding shares of Peach State common stock entitled to vote on the merger proposal. If you vote to</w:t>
      </w:r>
    </w:p>
    <w:p>
      <w:pPr>
        <w:spacing w:after="0" w:line="2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right="1119"/>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ABSTAIN</w:t>
      </w:r>
      <w:r>
        <w:rPr>
          <w:rFonts w:ascii="Times New Roman" w:cs="Times New Roman" w:eastAsia="Times New Roman" w:hAnsi="Times New Roman"/>
          <w:sz w:val="16"/>
          <w:szCs w:val="16"/>
          <w:color w:val="auto"/>
        </w:rPr>
        <w:t>” with respect to the merger proposal or if you fail to vote on the merger proposal, it will have the same effect as a vote “</w:t>
      </w:r>
      <w:r>
        <w:rPr>
          <w:rFonts w:ascii="Times New Roman" w:cs="Times New Roman" w:eastAsia="Times New Roman" w:hAnsi="Times New Roman"/>
          <w:sz w:val="16"/>
          <w:szCs w:val="16"/>
          <w:b w:val="1"/>
          <w:bCs w:val="1"/>
          <w:color w:val="auto"/>
        </w:rPr>
        <w:t>AGAINST</w:t>
      </w:r>
      <w:r>
        <w:rPr>
          <w:rFonts w:ascii="Times New Roman" w:cs="Times New Roman" w:eastAsia="Times New Roman" w:hAnsi="Times New Roman"/>
          <w:sz w:val="16"/>
          <w:szCs w:val="16"/>
          <w:color w:val="auto"/>
        </w:rPr>
        <w:t>” the merger proposal.</w:t>
      </w:r>
    </w:p>
    <w:p>
      <w:pPr>
        <w:spacing w:after="0" w:line="71" w:lineRule="exact"/>
        <w:rPr>
          <w:sz w:val="20"/>
          <w:szCs w:val="20"/>
          <w:color w:val="auto"/>
        </w:rPr>
      </w:pPr>
    </w:p>
    <w:p>
      <w:pPr>
        <w:ind w:left="1100" w:right="899" w:firstLine="318"/>
        <w:spacing w:after="0" w:line="244" w:lineRule="auto"/>
        <w:rPr>
          <w:sz w:val="20"/>
          <w:szCs w:val="20"/>
          <w:color w:val="auto"/>
        </w:rPr>
      </w:pPr>
      <w:r>
        <w:rPr>
          <w:rFonts w:ascii="Times New Roman" w:cs="Times New Roman" w:eastAsia="Times New Roman" w:hAnsi="Times New Roman"/>
          <w:sz w:val="16"/>
          <w:szCs w:val="16"/>
          <w:color w:val="auto"/>
        </w:rPr>
        <w:t>In order for the adjournment proposal to be approved, it must receive the affirmative vote of the majority of the shares of Peach State common stock represented at the meeting. If you fail to vote, mark “</w:t>
      </w:r>
      <w:r>
        <w:rPr>
          <w:rFonts w:ascii="Times New Roman" w:cs="Times New Roman" w:eastAsia="Times New Roman" w:hAnsi="Times New Roman"/>
          <w:sz w:val="16"/>
          <w:szCs w:val="16"/>
          <w:b w:val="1"/>
          <w:bCs w:val="1"/>
          <w:color w:val="auto"/>
        </w:rPr>
        <w:t>ABSTAIN</w:t>
      </w:r>
      <w:r>
        <w:rPr>
          <w:rFonts w:ascii="Times New Roman" w:cs="Times New Roman" w:eastAsia="Times New Roman" w:hAnsi="Times New Roman"/>
          <w:sz w:val="16"/>
          <w:szCs w:val="16"/>
          <w:color w:val="auto"/>
        </w:rPr>
        <w:t>” on your proxy card, or fail to instruct your bank, broker or other nominee with respect to the adjournment proposal, your shares of Peach State common stock will be counted as shares represented at the meeting and therefore will have the same effect as a vote “</w:t>
      </w:r>
      <w:r>
        <w:rPr>
          <w:rFonts w:ascii="Times New Roman" w:cs="Times New Roman" w:eastAsia="Times New Roman" w:hAnsi="Times New Roman"/>
          <w:sz w:val="16"/>
          <w:szCs w:val="16"/>
          <w:b w:val="1"/>
          <w:bCs w:val="1"/>
          <w:color w:val="auto"/>
        </w:rPr>
        <w:t>AGAINST</w:t>
      </w:r>
      <w:r>
        <w:rPr>
          <w:rFonts w:ascii="Times New Roman" w:cs="Times New Roman" w:eastAsia="Times New Roman" w:hAnsi="Times New Roman"/>
          <w:sz w:val="16"/>
          <w:szCs w:val="16"/>
          <w:color w:val="auto"/>
        </w:rPr>
        <w:t>.”</w:t>
      </w:r>
    </w:p>
    <w:p>
      <w:pPr>
        <w:spacing w:after="0" w:line="101" w:lineRule="exact"/>
        <w:rPr>
          <w:sz w:val="20"/>
          <w:szCs w:val="20"/>
          <w:color w:val="auto"/>
        </w:rPr>
      </w:pPr>
    </w:p>
    <w:p>
      <w:pPr>
        <w:ind w:left="1100" w:right="979" w:firstLine="318"/>
        <w:spacing w:after="0" w:line="263" w:lineRule="auto"/>
        <w:rPr>
          <w:sz w:val="20"/>
          <w:szCs w:val="20"/>
          <w:color w:val="auto"/>
        </w:rPr>
      </w:pPr>
      <w:r>
        <w:rPr>
          <w:rFonts w:ascii="Times New Roman" w:cs="Times New Roman" w:eastAsia="Times New Roman" w:hAnsi="Times New Roman"/>
          <w:sz w:val="16"/>
          <w:szCs w:val="16"/>
          <w:color w:val="auto"/>
        </w:rPr>
        <w:t>Each share of Peach State common stock you own as of the record date for the special meeting entitles you to one vote at the special meeting on all matters properly presented at the meeting.</w:t>
      </w:r>
    </w:p>
    <w:p>
      <w:pPr>
        <w:spacing w:after="0" w:line="15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How to Vote  —  Shareholders of Record</w:t>
      </w:r>
    </w:p>
    <w:p>
      <w:pPr>
        <w:spacing w:after="0" w:line="1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Voting by Mail</w:t>
      </w:r>
    </w:p>
    <w:p>
      <w:pPr>
        <w:spacing w:after="0" w:line="128" w:lineRule="exact"/>
        <w:rPr>
          <w:sz w:val="20"/>
          <w:szCs w:val="20"/>
          <w:color w:val="auto"/>
        </w:rPr>
      </w:pPr>
    </w:p>
    <w:p>
      <w:pPr>
        <w:ind w:left="1100" w:right="1079" w:firstLine="318"/>
        <w:spacing w:after="0" w:line="248" w:lineRule="auto"/>
        <w:rPr>
          <w:sz w:val="20"/>
          <w:szCs w:val="20"/>
          <w:color w:val="auto"/>
        </w:rPr>
      </w:pPr>
      <w:r>
        <w:rPr>
          <w:rFonts w:ascii="Times New Roman" w:cs="Times New Roman" w:eastAsia="Times New Roman" w:hAnsi="Times New Roman"/>
          <w:sz w:val="16"/>
          <w:szCs w:val="16"/>
          <w:color w:val="auto"/>
        </w:rPr>
        <w:t xml:space="preserve">Your proxy card includes instructions on how to vote by mailing in the proxy card. If you choose to vote by mail, please mark each proxy card you receive, sign and date it, and promptly return it in the envelope enclosed with the proxy card. </w:t>
      </w:r>
      <w:r>
        <w:rPr>
          <w:rFonts w:ascii="Times New Roman" w:cs="Times New Roman" w:eastAsia="Times New Roman" w:hAnsi="Times New Roman"/>
          <w:sz w:val="16"/>
          <w:szCs w:val="16"/>
          <w:b w:val="1"/>
          <w:bCs w:val="1"/>
          <w:color w:val="auto"/>
        </w:rPr>
        <w:t>Please do not send in your stock certificates with your proxy card.</w:t>
      </w:r>
      <w:r>
        <w:rPr>
          <w:rFonts w:ascii="Times New Roman" w:cs="Times New Roman" w:eastAsia="Times New Roman" w:hAnsi="Times New Roman"/>
          <w:sz w:val="16"/>
          <w:szCs w:val="16"/>
          <w:color w:val="auto"/>
        </w:rPr>
        <w:t xml:space="preserve"> If the merger is completed, you will receive a separate letter of transmittal and instructions on how to surrender your Peach State stock certificates for the merger consideration at a later date.</w:t>
      </w:r>
    </w:p>
    <w:p>
      <w:pPr>
        <w:spacing w:after="0" w:line="15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Voting by Internet</w:t>
      </w:r>
    </w:p>
    <w:p>
      <w:pPr>
        <w:spacing w:after="0" w:line="140" w:lineRule="exact"/>
        <w:rPr>
          <w:sz w:val="20"/>
          <w:szCs w:val="20"/>
          <w:color w:val="auto"/>
        </w:rPr>
      </w:pPr>
    </w:p>
    <w:p>
      <w:pPr>
        <w:ind w:left="1100" w:right="919" w:firstLine="318"/>
        <w:spacing w:after="0" w:line="244" w:lineRule="auto"/>
        <w:rPr>
          <w:sz w:val="20"/>
          <w:szCs w:val="20"/>
          <w:color w:val="auto"/>
        </w:rPr>
      </w:pPr>
      <w:r>
        <w:rPr>
          <w:rFonts w:ascii="Times New Roman" w:cs="Times New Roman" w:eastAsia="Times New Roman" w:hAnsi="Times New Roman"/>
          <w:sz w:val="16"/>
          <w:szCs w:val="16"/>
          <w:color w:val="auto"/>
        </w:rPr>
        <w:t>Your proxy materials include instructions on how to vote your shares over the Internet. If you choose to vote by Internet, please follow the instructions provided on your proxy card or in the accompanying proxy materials. You do not need to return the proxy card if you vote by Internet. If the merger is completed, you will receive a separate letter of transmittal and instructions on how to surrender your Peach State stock certificates for the merger consideration at a later date.</w:t>
      </w:r>
    </w:p>
    <w:p>
      <w:pPr>
        <w:spacing w:after="0" w:line="15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Voting at the Special Meeting</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You may also attend and vote at the special meeting in person.</w:t>
      </w:r>
    </w:p>
    <w:p>
      <w:pPr>
        <w:spacing w:after="0" w:line="124" w:lineRule="exact"/>
        <w:rPr>
          <w:sz w:val="20"/>
          <w:szCs w:val="20"/>
          <w:color w:val="auto"/>
        </w:rPr>
      </w:pPr>
    </w:p>
    <w:p>
      <w:pPr>
        <w:jc w:val="both"/>
        <w:ind w:left="1100" w:right="939" w:firstLine="318"/>
        <w:spacing w:after="0" w:line="271" w:lineRule="auto"/>
        <w:rPr>
          <w:sz w:val="20"/>
          <w:szCs w:val="20"/>
          <w:color w:val="auto"/>
        </w:rPr>
      </w:pPr>
      <w:r>
        <w:rPr>
          <w:rFonts w:ascii="Times New Roman" w:cs="Times New Roman" w:eastAsia="Times New Roman" w:hAnsi="Times New Roman"/>
          <w:sz w:val="15"/>
          <w:szCs w:val="15"/>
          <w:b w:val="1"/>
          <w:bCs w:val="1"/>
          <w:color w:val="auto"/>
        </w:rPr>
        <w:t>YOUR VOTE IS VERY IMPORTANT. PLEASE MARK, SIGN AND DATE THE ENCLOSED PROXY CARD AND PROMPTLY RETURN IT IN THE ENCLOSED POSTAGE-PAID ENVELOPE REGARDLESS OF WHETHER YOU PLAN TO ATTEND THE SPECIAL MEETING. SHAREHOLDERS WHO ATTEND THE SPECIAL MEETING MAY REVOKE THEIR PROXIES BY VOTING AT THE SPECIAL MEETING.</w:t>
      </w:r>
    </w:p>
    <w:p>
      <w:pPr>
        <w:spacing w:after="0" w:line="1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Voting of Proxies; Incomplete Proxies</w:t>
      </w:r>
    </w:p>
    <w:p>
      <w:pPr>
        <w:spacing w:after="0" w:line="128" w:lineRule="exact"/>
        <w:rPr>
          <w:sz w:val="20"/>
          <w:szCs w:val="20"/>
          <w:color w:val="auto"/>
        </w:rPr>
      </w:pPr>
    </w:p>
    <w:p>
      <w:pPr>
        <w:ind w:left="1100" w:right="979" w:firstLine="318"/>
        <w:spacing w:after="0" w:line="279" w:lineRule="auto"/>
        <w:rPr>
          <w:sz w:val="20"/>
          <w:szCs w:val="20"/>
          <w:color w:val="auto"/>
        </w:rPr>
      </w:pPr>
      <w:r>
        <w:rPr>
          <w:rFonts w:ascii="Times New Roman" w:cs="Times New Roman" w:eastAsia="Times New Roman" w:hAnsi="Times New Roman"/>
          <w:sz w:val="16"/>
          <w:szCs w:val="16"/>
          <w:color w:val="auto"/>
        </w:rPr>
        <w:t>If you sign and return your proxy card without instruction on how to vote your shares, your shares will be voted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merger proposal and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adjournment proposal.</w:t>
      </w:r>
    </w:p>
    <w:p>
      <w:pPr>
        <w:spacing w:after="0" w:line="13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Revocation of Proxies</w:t>
      </w:r>
    </w:p>
    <w:p>
      <w:pPr>
        <w:spacing w:after="0" w:line="140" w:lineRule="exact"/>
        <w:rPr>
          <w:sz w:val="20"/>
          <w:szCs w:val="20"/>
          <w:color w:val="auto"/>
        </w:rPr>
      </w:pPr>
    </w:p>
    <w:p>
      <w:pPr>
        <w:ind w:left="1100" w:right="979" w:firstLine="318"/>
        <w:spacing w:after="0" w:line="243" w:lineRule="auto"/>
        <w:rPr>
          <w:sz w:val="20"/>
          <w:szCs w:val="20"/>
          <w:color w:val="auto"/>
        </w:rPr>
      </w:pPr>
      <w:r>
        <w:rPr>
          <w:rFonts w:ascii="Times New Roman" w:cs="Times New Roman" w:eastAsia="Times New Roman" w:hAnsi="Times New Roman"/>
          <w:sz w:val="16"/>
          <w:szCs w:val="16"/>
          <w:color w:val="auto"/>
        </w:rPr>
        <w:t>You can revoke your proxy at any time before your shares of Peach State common stock are voted. If you are a shareholder of record, you can revoke your proxy by: (1) signing and returning another valid proxy with a later date; or (2) attending the special meeting and voting in person during the meeting. If you submit a valid proxy bearing a later date, the new proxy must be received prior to the beginning of the special meeting. If you hold your shares in “street name” with a bank, broker or other nominee, you must follow the instructions from your bank, broker or other nominee to change your vote. Your last vote will be the vote that is counted.</w:t>
      </w:r>
    </w:p>
    <w:p>
      <w:pPr>
        <w:spacing w:after="0" w:line="34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Shares Subject to Voting and Support Agreement; Shares Held by Directors and Executive Officers</w:t>
      </w:r>
    </w:p>
    <w:p>
      <w:pPr>
        <w:spacing w:after="0" w:line="140" w:lineRule="exact"/>
        <w:rPr>
          <w:sz w:val="20"/>
          <w:szCs w:val="20"/>
          <w:color w:val="auto"/>
        </w:rPr>
      </w:pPr>
    </w:p>
    <w:p>
      <w:pPr>
        <w:ind w:left="1100" w:right="959" w:firstLine="318"/>
        <w:spacing w:after="0" w:line="263" w:lineRule="auto"/>
        <w:rPr>
          <w:sz w:val="20"/>
          <w:szCs w:val="20"/>
          <w:color w:val="auto"/>
        </w:rPr>
      </w:pPr>
      <w:r>
        <w:rPr>
          <w:rFonts w:ascii="Times New Roman" w:cs="Times New Roman" w:eastAsia="Times New Roman" w:hAnsi="Times New Roman"/>
          <w:sz w:val="16"/>
          <w:szCs w:val="16"/>
          <w:color w:val="auto"/>
        </w:rPr>
        <w:t>The directors and executive officers of Peach State who as of the record date beneficially owned and were entitled to vote 1,221,296 shares of Peach State common stock, representing approximately 40.70% of</w:t>
      </w:r>
    </w:p>
    <w:p>
      <w:pPr>
        <w:spacing w:after="0" w:line="3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59"/>
        <w:spacing w:after="0" w:line="258" w:lineRule="auto"/>
        <w:rPr>
          <w:sz w:val="20"/>
          <w:szCs w:val="20"/>
          <w:color w:val="auto"/>
        </w:rPr>
      </w:pPr>
      <w:r>
        <w:rPr>
          <w:rFonts w:ascii="Times New Roman" w:cs="Times New Roman" w:eastAsia="Times New Roman" w:hAnsi="Times New Roman"/>
          <w:sz w:val="16"/>
          <w:szCs w:val="16"/>
          <w:color w:val="auto"/>
        </w:rPr>
        <w:t>the outstanding shares of Peach State common stock entitled to vote on that date, have entered into a voting and support agreement with United, pursuant to which each such shareholder has agreed, at any meeting of Peach State shareholders, however called, or any adjournment or postponement thereof (and subject to certain exceptions), to be present (in person or by proxy) at such meeting and:</w:t>
      </w:r>
    </w:p>
    <w:p>
      <w:pPr>
        <w:spacing w:after="0" w:line="67" w:lineRule="exact"/>
        <w:rPr>
          <w:sz w:val="20"/>
          <w:szCs w:val="20"/>
          <w:color w:val="auto"/>
        </w:rPr>
      </w:pPr>
    </w:p>
    <w:p>
      <w:pPr>
        <w:ind w:left="1580" w:right="1059" w:hanging="160"/>
        <w:spacing w:after="0" w:line="279" w:lineRule="auto"/>
        <w:tabs>
          <w:tab w:leader="none" w:pos="1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(or cause to be voted) all shares of Peach State common stock owned of record or beneficially owned by such holder, in favor of the merger proposal and the adjournment proposal; and</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(or cause to be voted) such shareholder’s shares against:</w:t>
      </w:r>
    </w:p>
    <w:p>
      <w:pPr>
        <w:spacing w:after="0" w:line="101" w:lineRule="exact"/>
        <w:rPr>
          <w:rFonts w:ascii="Times New Roman" w:cs="Times New Roman" w:eastAsia="Times New Roman" w:hAnsi="Times New Roman"/>
          <w:sz w:val="16"/>
          <w:szCs w:val="16"/>
          <w:color w:val="auto"/>
        </w:rPr>
      </w:pPr>
    </w:p>
    <w:p>
      <w:pPr>
        <w:ind w:left="1900" w:hanging="162"/>
        <w:spacing w:after="0"/>
        <w:tabs>
          <w:tab w:leader="none" w:pos="190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competing transaction; and</w:t>
      </w:r>
    </w:p>
    <w:p>
      <w:pPr>
        <w:spacing w:after="0" w:line="101" w:lineRule="exact"/>
        <w:rPr>
          <w:rFonts w:ascii="Times New Roman" w:cs="Times New Roman" w:eastAsia="Times New Roman" w:hAnsi="Times New Roman"/>
          <w:sz w:val="16"/>
          <w:szCs w:val="16"/>
          <w:color w:val="auto"/>
        </w:rPr>
      </w:pPr>
    </w:p>
    <w:p>
      <w:pPr>
        <w:ind w:left="1900" w:right="1339" w:hanging="162"/>
        <w:spacing w:after="0" w:line="279" w:lineRule="auto"/>
        <w:tabs>
          <w:tab w:leader="none" w:pos="190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or proposal that would reasonably be expected to prevent, materially impede or materially delay the consummation of the merger.</w:t>
      </w:r>
    </w:p>
    <w:p>
      <w:pPr>
        <w:spacing w:after="0" w:line="84" w:lineRule="exact"/>
        <w:rPr>
          <w:sz w:val="20"/>
          <w:szCs w:val="20"/>
          <w:color w:val="auto"/>
        </w:rPr>
      </w:pPr>
    </w:p>
    <w:p>
      <w:pPr>
        <w:ind w:left="1100" w:right="899" w:firstLine="318"/>
        <w:spacing w:after="0" w:line="256" w:lineRule="auto"/>
        <w:rPr>
          <w:sz w:val="20"/>
          <w:szCs w:val="20"/>
          <w:color w:val="auto"/>
        </w:rPr>
      </w:pPr>
      <w:r>
        <w:rPr>
          <w:rFonts w:ascii="Times New Roman" w:cs="Times New Roman" w:eastAsia="Times New Roman" w:hAnsi="Times New Roman"/>
          <w:sz w:val="16"/>
          <w:szCs w:val="16"/>
          <w:color w:val="auto"/>
        </w:rPr>
        <w:t>However, in the event of an adverse recommendation change by the Peach State board, the aggregate 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w:t>
      </w:r>
    </w:p>
    <w:p>
      <w:pPr>
        <w:spacing w:after="0" w:line="103" w:lineRule="exact"/>
        <w:rPr>
          <w:sz w:val="20"/>
          <w:szCs w:val="20"/>
          <w:color w:val="auto"/>
        </w:rPr>
      </w:pPr>
    </w:p>
    <w:p>
      <w:pPr>
        <w:ind w:left="1100" w:right="919" w:firstLine="318"/>
        <w:spacing w:after="0" w:line="263" w:lineRule="auto"/>
        <w:rPr>
          <w:sz w:val="20"/>
          <w:szCs w:val="20"/>
          <w:color w:val="auto"/>
        </w:rPr>
      </w:pPr>
      <w:r>
        <w:rPr>
          <w:rFonts w:ascii="Times New Roman" w:cs="Times New Roman" w:eastAsia="Times New Roman" w:hAnsi="Times New Roman"/>
          <w:sz w:val="16"/>
          <w:szCs w:val="16"/>
          <w:color w:val="auto"/>
        </w:rPr>
        <w:t>Pursuant to the voting and support agreement, each such shareholder has agreed not to sell or otherwise transfer any shares of Peach State common stock without the prior written consent of United, subject to certain limited exceptions.</w:t>
      </w:r>
    </w:p>
    <w:p>
      <w:pPr>
        <w:spacing w:after="0" w:line="86" w:lineRule="exact"/>
        <w:rPr>
          <w:sz w:val="20"/>
          <w:szCs w:val="20"/>
          <w:color w:val="auto"/>
        </w:rPr>
      </w:pPr>
    </w:p>
    <w:p>
      <w:pPr>
        <w:ind w:left="1100" w:right="939" w:firstLine="318"/>
        <w:spacing w:after="0" w:line="263" w:lineRule="auto"/>
        <w:rPr>
          <w:sz w:val="20"/>
          <w:szCs w:val="20"/>
          <w:color w:val="auto"/>
        </w:rPr>
      </w:pPr>
      <w:r>
        <w:rPr>
          <w:rFonts w:ascii="Times New Roman" w:cs="Times New Roman" w:eastAsia="Times New Roman" w:hAnsi="Times New Roman"/>
          <w:sz w:val="16"/>
          <w:szCs w:val="16"/>
          <w:color w:val="auto"/>
        </w:rPr>
        <w:t>For more information about the beneficial ownership of Peach State common stock by each 5% or greater beneficial owner, each director and executive officer and directors and executive officers as a group, see “Security Ownership of Certain Beneficial Owners and Management of Peach State.”</w:t>
      </w:r>
    </w:p>
    <w:p>
      <w:pPr>
        <w:spacing w:after="0" w:line="1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Solicitation of Proxies</w:t>
      </w:r>
    </w:p>
    <w:p>
      <w:pPr>
        <w:spacing w:after="0" w:line="140" w:lineRule="exact"/>
        <w:rPr>
          <w:sz w:val="20"/>
          <w:szCs w:val="20"/>
          <w:color w:val="auto"/>
        </w:rPr>
      </w:pPr>
    </w:p>
    <w:p>
      <w:pPr>
        <w:ind w:left="1100" w:right="959" w:firstLine="318"/>
        <w:spacing w:after="0" w:line="254" w:lineRule="auto"/>
        <w:rPr>
          <w:sz w:val="20"/>
          <w:szCs w:val="20"/>
          <w:color w:val="auto"/>
        </w:rPr>
      </w:pPr>
      <w:r>
        <w:rPr>
          <w:rFonts w:ascii="Times New Roman" w:cs="Times New Roman" w:eastAsia="Times New Roman" w:hAnsi="Times New Roman"/>
          <w:sz w:val="16"/>
          <w:szCs w:val="16"/>
          <w:color w:val="auto"/>
        </w:rPr>
        <w:t>The proxy for the special meeting is being solicited on behalf of the Peach State board of directors. Peach State will bear the entire cost of soliciting proxies from you. Proxies will be solicited principally by mail, but may also be solicited by the directors, officers and other employees of Peach State in person or by telephone, facsimile or other means of electronic communication. Directors, officers and employees will receive no compensation for these activities in addition to their regular compensation, but may be reimbursed for out-of-pocket expenses in connection with such solicitation.</w:t>
      </w:r>
    </w:p>
    <w:p>
      <w:pPr>
        <w:spacing w:after="0" w:line="1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Questions and Additional Information</w:t>
      </w:r>
    </w:p>
    <w:p>
      <w:pPr>
        <w:spacing w:after="0" w:line="140" w:lineRule="exact"/>
        <w:rPr>
          <w:sz w:val="20"/>
          <w:szCs w:val="20"/>
          <w:color w:val="auto"/>
        </w:rPr>
      </w:pPr>
    </w:p>
    <w:p>
      <w:pPr>
        <w:jc w:val="both"/>
        <w:ind w:left="1100" w:right="1339" w:firstLine="318"/>
        <w:spacing w:after="0" w:line="263" w:lineRule="auto"/>
        <w:rPr>
          <w:sz w:val="20"/>
          <w:szCs w:val="20"/>
          <w:color w:val="auto"/>
        </w:rPr>
      </w:pPr>
      <w:r>
        <w:rPr>
          <w:rFonts w:ascii="Times New Roman" w:cs="Times New Roman" w:eastAsia="Times New Roman" w:hAnsi="Times New Roman"/>
          <w:sz w:val="16"/>
          <w:szCs w:val="16"/>
          <w:color w:val="auto"/>
        </w:rPr>
        <w:t>If you have more questions about the merger or how to submit your proxy or vote, or if you need additional copies of this proxy statement/prospectus or the enclosed proxy card or voting instructions, please contact Peach State at:</w:t>
      </w:r>
    </w:p>
    <w:p>
      <w:pPr>
        <w:spacing w:after="0" w:line="8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Peach State Bancshares, Inc.</w:t>
      </w:r>
    </w:p>
    <w:p>
      <w:pPr>
        <w:spacing w:after="0" w:line="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121 E. E. Butler Parkway</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Gainesville, Georgia 30501,</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Telephone: (770) 536-1100</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Attn: Ron Quinn,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PEACH STATE PROPOSALS</w:t>
      </w:r>
    </w:p>
    <w:p>
      <w:pPr>
        <w:spacing w:after="0" w:line="1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Proposal No. 1 — Merger Proposal</w:t>
      </w:r>
    </w:p>
    <w:p>
      <w:pPr>
        <w:spacing w:after="0" w:line="140" w:lineRule="exact"/>
        <w:rPr>
          <w:sz w:val="20"/>
          <w:szCs w:val="20"/>
          <w:color w:val="auto"/>
        </w:rPr>
      </w:pPr>
    </w:p>
    <w:p>
      <w:pPr>
        <w:ind w:left="1100" w:right="1019" w:firstLine="318"/>
        <w:spacing w:after="0" w:line="256" w:lineRule="auto"/>
        <w:rPr>
          <w:sz w:val="20"/>
          <w:szCs w:val="20"/>
          <w:color w:val="auto"/>
        </w:rPr>
      </w:pPr>
      <w:r>
        <w:rPr>
          <w:rFonts w:ascii="Times New Roman" w:cs="Times New Roman" w:eastAsia="Times New Roman" w:hAnsi="Times New Roman"/>
          <w:sz w:val="16"/>
          <w:szCs w:val="16"/>
          <w:color w:val="auto"/>
        </w:rPr>
        <w:t>At the Peach State special meeting, Peach State shareholders will be asked to adopt and approve the merger agreement. Holders of Peach State common stock should read this proxy statement/prospectus carefully and in its entirety, including the annexes and exhibits, for more detailed information concerning the merger agreement and the merger. A copy of the merger agreement is attached to this proxy statement/​ prospectus as Annex A.</w:t>
      </w:r>
    </w:p>
    <w:p>
      <w:pPr>
        <w:spacing w:after="0" w:line="103" w:lineRule="exact"/>
        <w:rPr>
          <w:sz w:val="20"/>
          <w:szCs w:val="20"/>
          <w:color w:val="auto"/>
        </w:rPr>
      </w:pPr>
    </w:p>
    <w:p>
      <w:pPr>
        <w:ind w:left="1100" w:right="939" w:firstLine="318"/>
        <w:spacing w:after="0" w:line="254" w:lineRule="auto"/>
        <w:rPr>
          <w:sz w:val="20"/>
          <w:szCs w:val="20"/>
          <w:color w:val="auto"/>
        </w:rPr>
      </w:pPr>
      <w:r>
        <w:rPr>
          <w:rFonts w:ascii="Times New Roman" w:cs="Times New Roman" w:eastAsia="Times New Roman" w:hAnsi="Times New Roman"/>
          <w:sz w:val="16"/>
          <w:szCs w:val="16"/>
          <w:color w:val="auto"/>
        </w:rPr>
        <w:t>After careful consideration, the Peach State board of directors has unanimously adopted the merger agreement, authorized and approved the merger and the transactions contemplated by the merger agreement and determined the merger agreement and the merger to be advisable and in the best interests of Peach State and its shareholders. See “The Merger — Peach State’s Reasons for the Merger and Recommendation of the Peach State’s Board of Directors” included elsewhere in this proxy statement/prospectus for a more detailed discussion of the Peach State board of directors’ recommendation.</w:t>
      </w:r>
    </w:p>
    <w:p>
      <w:pPr>
        <w:spacing w:after="0" w:line="92" w:lineRule="exact"/>
        <w:rPr>
          <w:sz w:val="20"/>
          <w:szCs w:val="20"/>
          <w:color w:val="auto"/>
        </w:rPr>
      </w:pPr>
    </w:p>
    <w:p>
      <w:pPr>
        <w:ind w:left="1100" w:right="1039" w:firstLine="318"/>
        <w:spacing w:after="0" w:line="281" w:lineRule="auto"/>
        <w:rPr>
          <w:sz w:val="20"/>
          <w:szCs w:val="20"/>
          <w:color w:val="auto"/>
        </w:rPr>
      </w:pPr>
      <w:r>
        <w:rPr>
          <w:rFonts w:ascii="Times New Roman" w:cs="Times New Roman" w:eastAsia="Times New Roman" w:hAnsi="Times New Roman"/>
          <w:sz w:val="16"/>
          <w:szCs w:val="16"/>
          <w:b w:val="1"/>
          <w:bCs w:val="1"/>
          <w:color w:val="auto"/>
        </w:rPr>
        <w:t>The Peach State board of directors unanimously recommends that Peach State shareholders vote “FOR” the merger proposal.</w:t>
      </w:r>
    </w:p>
    <w:p>
      <w:pPr>
        <w:spacing w:after="0" w:line="1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Proposal No. 2 — Adjournment Proposal</w:t>
      </w:r>
    </w:p>
    <w:p>
      <w:pPr>
        <w:spacing w:after="0" w:line="140" w:lineRule="exact"/>
        <w:rPr>
          <w:sz w:val="20"/>
          <w:szCs w:val="20"/>
          <w:color w:val="auto"/>
        </w:rPr>
      </w:pPr>
    </w:p>
    <w:p>
      <w:pPr>
        <w:ind w:left="1100" w:right="1079" w:firstLine="318"/>
        <w:spacing w:after="0" w:line="263" w:lineRule="auto"/>
        <w:rPr>
          <w:sz w:val="20"/>
          <w:szCs w:val="20"/>
          <w:color w:val="auto"/>
        </w:rPr>
      </w:pPr>
      <w:r>
        <w:rPr>
          <w:rFonts w:ascii="Times New Roman" w:cs="Times New Roman" w:eastAsia="Times New Roman" w:hAnsi="Times New Roman"/>
          <w:sz w:val="16"/>
          <w:szCs w:val="16"/>
          <w:color w:val="auto"/>
        </w:rPr>
        <w:t>The Peach State special meeting may be adjourned to another time, if necessary or appropriate and in accordance with the merger agreement, to permit, among other things, further solicitation of proxies if necessary to obtain additional votes in favor of the merger proposal.</w:t>
      </w:r>
    </w:p>
    <w:p>
      <w:pPr>
        <w:spacing w:after="0" w:line="98" w:lineRule="exact"/>
        <w:rPr>
          <w:sz w:val="20"/>
          <w:szCs w:val="20"/>
          <w:color w:val="auto"/>
        </w:rPr>
      </w:pPr>
    </w:p>
    <w:p>
      <w:pPr>
        <w:ind w:left="1100" w:right="979" w:firstLine="318"/>
        <w:spacing w:after="0" w:line="254" w:lineRule="auto"/>
        <w:rPr>
          <w:sz w:val="20"/>
          <w:szCs w:val="20"/>
          <w:color w:val="auto"/>
        </w:rPr>
      </w:pPr>
      <w:r>
        <w:rPr>
          <w:rFonts w:ascii="Times New Roman" w:cs="Times New Roman" w:eastAsia="Times New Roman" w:hAnsi="Times New Roman"/>
          <w:sz w:val="16"/>
          <w:szCs w:val="16"/>
          <w:color w:val="auto"/>
        </w:rPr>
        <w:t>If, at the Peach State special meeting, the number of shares of Peach State common stock present or represented and voting in favor of the merger proposal is insufficient to approve such proposal, Peach State intends to move to adjourn the Peach State special meeting in order to solicit additional proxies for the adoption and approval of the merger agreement to the extent permitted under the merger agreement. Approval of the adjournment proposal requires the affirmative vote of a majority of the shares of Peach State common stock represented at the meeting.</w:t>
      </w:r>
    </w:p>
    <w:p>
      <w:pPr>
        <w:spacing w:after="0" w:line="92" w:lineRule="exact"/>
        <w:rPr>
          <w:sz w:val="20"/>
          <w:szCs w:val="20"/>
          <w:color w:val="auto"/>
        </w:rPr>
      </w:pPr>
    </w:p>
    <w:p>
      <w:pPr>
        <w:ind w:left="1100" w:right="1039" w:firstLine="318"/>
        <w:spacing w:after="0" w:line="281" w:lineRule="auto"/>
        <w:rPr>
          <w:sz w:val="20"/>
          <w:szCs w:val="20"/>
          <w:color w:val="auto"/>
        </w:rPr>
      </w:pPr>
      <w:r>
        <w:rPr>
          <w:rFonts w:ascii="Times New Roman" w:cs="Times New Roman" w:eastAsia="Times New Roman" w:hAnsi="Times New Roman"/>
          <w:sz w:val="16"/>
          <w:szCs w:val="16"/>
          <w:b w:val="1"/>
          <w:bCs w:val="1"/>
          <w:color w:val="auto"/>
        </w:rPr>
        <w:t>The Peach State board of directors unanimously recommends that Peach State shareholders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INFORMATION ABOUT UNITED COMMUNITY BANKS, INC.</w:t>
      </w:r>
    </w:p>
    <w:p>
      <w:pPr>
        <w:spacing w:after="0" w:line="140" w:lineRule="exact"/>
        <w:rPr>
          <w:sz w:val="20"/>
          <w:szCs w:val="20"/>
          <w:color w:val="auto"/>
        </w:rPr>
      </w:pPr>
    </w:p>
    <w:p>
      <w:pPr>
        <w:ind w:left="1100" w:right="959" w:firstLine="318"/>
        <w:spacing w:after="0" w:line="252" w:lineRule="auto"/>
        <w:rPr>
          <w:sz w:val="20"/>
          <w:szCs w:val="20"/>
          <w:color w:val="auto"/>
        </w:rPr>
      </w:pPr>
      <w:r>
        <w:rPr>
          <w:rFonts w:ascii="Times New Roman" w:cs="Times New Roman" w:eastAsia="Times New Roman" w:hAnsi="Times New Roman"/>
          <w:sz w:val="16"/>
          <w:szCs w:val="16"/>
          <w:color w:val="auto"/>
        </w:rPr>
        <w:t>United Community Banks, Inc. is a Georgia corporation incorporated in 1987 and headquartered in Greenville, South Carolina. United is also a bank holding company, a financial holding company and the parent company of United Community Bank, a South Carolina state-chartered bank that opened in 1950. As of March 31, 2026, United had total consolidated assets of approximately $28.2 billion, total consolidated deposits of approximately $24.0 billion, total consolidated loans of approximately $19.6 billion and total consolidated shareholders’ equity of approximately $3.65 billion. United has grown through a combination of acquisitions and strategic growth throughout the Alabama, Georgia, South Carolina, North Carolina, Florida and Tennessee markets, as well as nationally through its United States Small Business Administration and United States Department of Agriculture lending and equipment finance businesses. As of March 31, 2026, United had 3,118 full-time equivalent employees.</w:t>
      </w:r>
    </w:p>
    <w:p>
      <w:pPr>
        <w:spacing w:after="0" w:line="105" w:lineRule="exact"/>
        <w:rPr>
          <w:sz w:val="20"/>
          <w:szCs w:val="20"/>
          <w:color w:val="auto"/>
        </w:rPr>
      </w:pPr>
    </w:p>
    <w:p>
      <w:pPr>
        <w:ind w:left="1100" w:right="919" w:firstLine="318"/>
        <w:spacing w:after="0" w:line="251" w:lineRule="auto"/>
        <w:rPr>
          <w:sz w:val="20"/>
          <w:szCs w:val="20"/>
          <w:color w:val="auto"/>
        </w:rPr>
      </w:pPr>
      <w:r>
        <w:rPr>
          <w:rFonts w:ascii="Times New Roman" w:cs="Times New Roman" w:eastAsia="Times New Roman" w:hAnsi="Times New Roman"/>
          <w:sz w:val="16"/>
          <w:szCs w:val="16"/>
          <w:color w:val="auto"/>
        </w:rPr>
        <w:t>United provides a wide range of financial products and services to the commercial, retail, governmental, educational, energy, health care and real estate sectors. This includes a variety of deposit products, secured and unsecured loans, mortgage loans, payment and commerce solutions, equipment finance services, wealth management, trust services, private banking, investment advisory services, insurance services and other related financial services. These products and services are delivered through a variety of channels including United’s branches, other offices, the internet and mobile applications. United’s business model combines the commitment to exceptional customer service of a local bank with the products and expertise of a larger institution. United Community Bank operates as a locally-focused community bank, supplemented by experienced, centralized support to deliver products and services to its larger, more sophisticated, customers. United’s organizational structure reflects these strengths, with local leaders for each market and market advisory boards operating in partnership with the product experts of its Commercial Banking Solutions unit. United believes that this combination of service and expertise sets it apart and is instrumental in its strategy to build long-term relationships.</w:t>
      </w:r>
    </w:p>
    <w:p>
      <w:pPr>
        <w:spacing w:after="0" w:line="96" w:lineRule="exact"/>
        <w:rPr>
          <w:sz w:val="20"/>
          <w:szCs w:val="20"/>
          <w:color w:val="auto"/>
        </w:rPr>
      </w:pPr>
    </w:p>
    <w:p>
      <w:pPr>
        <w:ind w:left="1100" w:right="1019" w:firstLine="318"/>
        <w:spacing w:after="0" w:line="254" w:lineRule="auto"/>
        <w:rPr>
          <w:sz w:val="20"/>
          <w:szCs w:val="20"/>
          <w:color w:val="auto"/>
        </w:rPr>
      </w:pPr>
      <w:r>
        <w:rPr>
          <w:rFonts w:ascii="Times New Roman" w:cs="Times New Roman" w:eastAsia="Times New Roman" w:hAnsi="Times New Roman"/>
          <w:sz w:val="16"/>
          <w:szCs w:val="16"/>
          <w:color w:val="auto"/>
        </w:rPr>
        <w:t>United’s revenue is primarily derived from interest on and fees received in connection with loans United Community Bank makes, and from interest and dividends on investment securities and short-term investments. The principal sources of funds for United Community Bank’s lending activities are customer deposits, repayment of loans and the sale and maturity of investment securities. United Community Bank’s principal expenses are interest paid on deposits and other borrowings and operating and general administrative expenses.</w:t>
      </w:r>
    </w:p>
    <w:p>
      <w:pPr>
        <w:spacing w:after="0" w:line="106" w:lineRule="exact"/>
        <w:rPr>
          <w:sz w:val="20"/>
          <w:szCs w:val="20"/>
          <w:color w:val="auto"/>
        </w:rPr>
      </w:pPr>
    </w:p>
    <w:p>
      <w:pPr>
        <w:ind w:left="1100" w:right="939" w:firstLine="318"/>
        <w:spacing w:after="0" w:line="256" w:lineRule="auto"/>
        <w:rPr>
          <w:sz w:val="20"/>
          <w:szCs w:val="20"/>
          <w:color w:val="auto"/>
        </w:rPr>
      </w:pPr>
      <w:r>
        <w:rPr>
          <w:rFonts w:ascii="Times New Roman" w:cs="Times New Roman" w:eastAsia="Times New Roman" w:hAnsi="Times New Roman"/>
          <w:sz w:val="16"/>
          <w:szCs w:val="16"/>
          <w:color w:val="auto"/>
        </w:rPr>
        <w:t>United’s principal office is located at 200 East Camperdown Way, Greenville, South Carolina 29601, and its telephone number at that location is (800) 822-2651. United’s stock is traded on the New York Stock Exchange under the symbol “UCB.” Additional information about United and its subsidiaries is included in documents incorporated by reference into this proxy statement/prospectus. See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INFORMATION ABOUT PEACH STATE BANCSHARES, INC.</w:t>
      </w:r>
    </w:p>
    <w:p>
      <w:pPr>
        <w:spacing w:after="0" w:line="1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140" w:lineRule="exact"/>
        <w:rPr>
          <w:sz w:val="20"/>
          <w:szCs w:val="20"/>
          <w:color w:val="auto"/>
        </w:rPr>
      </w:pPr>
    </w:p>
    <w:p>
      <w:pPr>
        <w:ind w:left="1100" w:right="959" w:firstLine="318"/>
        <w:spacing w:after="0" w:line="241" w:lineRule="auto"/>
        <w:rPr>
          <w:sz w:val="20"/>
          <w:szCs w:val="20"/>
          <w:color w:val="auto"/>
        </w:rPr>
      </w:pPr>
      <w:r>
        <w:rPr>
          <w:rFonts w:ascii="Times New Roman" w:cs="Times New Roman" w:eastAsia="Times New Roman" w:hAnsi="Times New Roman"/>
          <w:sz w:val="16"/>
          <w:szCs w:val="16"/>
          <w:color w:val="auto"/>
        </w:rPr>
        <w:t>Peach State Bancshares, Inc. (“Peach State”) is a bank holding company under the Bank Holding Company Act of 1956, as amended, for Peach State Bank &amp; Trust (“Peach State Bank”), and is subject to the supervision and regulation of the Board of Governors of the Federal Reserve System and is a corporation organized under the laws of the State of Georgia. Peach State Bank is a Georgia state-chartered bank that commenced operations in 2005 and is subject to the supervision and regulation of the Georgia Department of Banking and Finance and the Federal Deposit Insurance Corporation (the “FDIC”). Peach State Bank is a full-service commercial bank, providing a wide range of business and consumer financial services in its marketplace. Peach State’s principal executive offices are located in Gainesville, Georgia. As of March 31, 2026, Peach State Bank &amp; Trust had total consolidated assets of approximately $789 million, total loans of approximately $498 million, and total deposits of approximately $713 million.</w:t>
      </w:r>
    </w:p>
    <w:p>
      <w:pPr>
        <w:spacing w:after="0" w:line="106" w:lineRule="exact"/>
        <w:rPr>
          <w:sz w:val="20"/>
          <w:szCs w:val="20"/>
          <w:color w:val="auto"/>
        </w:rPr>
      </w:pPr>
    </w:p>
    <w:p>
      <w:pPr>
        <w:ind w:left="1100" w:right="959" w:firstLine="318"/>
        <w:spacing w:after="0" w:line="249" w:lineRule="auto"/>
        <w:rPr>
          <w:sz w:val="20"/>
          <w:szCs w:val="20"/>
          <w:color w:val="auto"/>
        </w:rPr>
      </w:pPr>
      <w:r>
        <w:rPr>
          <w:rFonts w:ascii="Times New Roman" w:cs="Times New Roman" w:eastAsia="Times New Roman" w:hAnsi="Times New Roman"/>
          <w:sz w:val="16"/>
          <w:szCs w:val="16"/>
          <w:color w:val="auto"/>
        </w:rPr>
        <w:t>Peach State Bank’s website is www.peachstate.bank. The information on Peach State Bank’s website is not part of this proxy statement/prospectus, and the reference to the Peach State Bank website address does not constitute incorporation by reference of any information on that website into this proxy statement/​ prospectus.</w:t>
      </w:r>
    </w:p>
    <w:p>
      <w:pPr>
        <w:spacing w:after="0" w:line="3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Business</w:t>
      </w:r>
    </w:p>
    <w:p>
      <w:pPr>
        <w:spacing w:after="0" w:line="140" w:lineRule="exact"/>
        <w:rPr>
          <w:sz w:val="20"/>
          <w:szCs w:val="20"/>
          <w:color w:val="auto"/>
        </w:rPr>
      </w:pPr>
    </w:p>
    <w:p>
      <w:pPr>
        <w:jc w:val="both"/>
        <w:ind w:left="1100" w:right="999" w:firstLine="318"/>
        <w:spacing w:after="0" w:line="244" w:lineRule="auto"/>
        <w:rPr>
          <w:sz w:val="20"/>
          <w:szCs w:val="20"/>
          <w:color w:val="auto"/>
        </w:rPr>
      </w:pPr>
      <w:r>
        <w:rPr>
          <w:rFonts w:ascii="Times New Roman" w:cs="Times New Roman" w:eastAsia="Times New Roman" w:hAnsi="Times New Roman"/>
          <w:sz w:val="16"/>
          <w:szCs w:val="16"/>
          <w:color w:val="auto"/>
        </w:rPr>
        <w:t>Historically, Peach State Bank’s market areas have been served both by large banks headquartered out of state as well as a number of community banks offering a higher level of personal attention, recognition and service. The large banks have generally applied a transactional business approach, based upon volume considerations, to the market while community banks have traditionally offered a more service/​relationship approach.</w:t>
      </w:r>
    </w:p>
    <w:p>
      <w:pPr>
        <w:spacing w:after="0" w:line="101" w:lineRule="exact"/>
        <w:rPr>
          <w:sz w:val="20"/>
          <w:szCs w:val="20"/>
          <w:color w:val="auto"/>
        </w:rPr>
      </w:pPr>
    </w:p>
    <w:p>
      <w:pPr>
        <w:ind w:left="1100" w:right="999" w:firstLine="318"/>
        <w:spacing w:after="0" w:line="241" w:lineRule="auto"/>
        <w:rPr>
          <w:sz w:val="20"/>
          <w:szCs w:val="20"/>
          <w:color w:val="auto"/>
        </w:rPr>
      </w:pPr>
      <w:r>
        <w:rPr>
          <w:rFonts w:ascii="Times New Roman" w:cs="Times New Roman" w:eastAsia="Times New Roman" w:hAnsi="Times New Roman"/>
          <w:sz w:val="16"/>
          <w:szCs w:val="16"/>
          <w:color w:val="auto"/>
        </w:rPr>
        <w:t>Peach State Bank provides a range of consumer and commercial banking services to individuals, businesses and industries. The basic services offered by Peach State Bank include demand deposit interest-bearing and noninterest-bearing accounts, money market deposit accounts, savings accounts, time deposits, safe deposit boxes, direct deposits, notary services, money orders, cashier’s checks, domestic collections, debit cards, drive-through and ATM services, online and mobile banking and online bill payment services. Peach State Bank offers consumer loans and home equity lines of credit and makes secured and unsecured commercial and real estate loans, including owner-occupied commercial real estate loans, and provides treasury management services to business customers.</w:t>
      </w:r>
    </w:p>
    <w:p>
      <w:pPr>
        <w:spacing w:after="0" w:line="106" w:lineRule="exact"/>
        <w:rPr>
          <w:sz w:val="20"/>
          <w:szCs w:val="20"/>
          <w:color w:val="auto"/>
        </w:rPr>
      </w:pPr>
    </w:p>
    <w:p>
      <w:pPr>
        <w:ind w:left="1100" w:right="1399" w:firstLine="318"/>
        <w:spacing w:after="0" w:line="256" w:lineRule="auto"/>
        <w:rPr>
          <w:sz w:val="20"/>
          <w:szCs w:val="20"/>
          <w:color w:val="auto"/>
        </w:rPr>
      </w:pPr>
      <w:r>
        <w:rPr>
          <w:rFonts w:ascii="Times New Roman" w:cs="Times New Roman" w:eastAsia="Times New Roman" w:hAnsi="Times New Roman"/>
          <w:sz w:val="16"/>
          <w:szCs w:val="16"/>
          <w:color w:val="auto"/>
        </w:rPr>
        <w:t>Peach State Bank’s target market is consumers, professionals and small- to mid-sized businesses operating within its local communities. These customers are often underserved by larger financial institutions and benefit from Peach State Bank’s community-oriented banking model.</w:t>
      </w:r>
    </w:p>
    <w:p>
      <w:pPr>
        <w:spacing w:after="0" w:line="90" w:lineRule="exact"/>
        <w:rPr>
          <w:sz w:val="20"/>
          <w:szCs w:val="20"/>
          <w:color w:val="auto"/>
        </w:rPr>
      </w:pPr>
    </w:p>
    <w:p>
      <w:pPr>
        <w:ind w:left="1100" w:right="1039" w:firstLine="318"/>
        <w:spacing w:after="0" w:line="244" w:lineRule="auto"/>
        <w:rPr>
          <w:sz w:val="20"/>
          <w:szCs w:val="20"/>
          <w:color w:val="auto"/>
        </w:rPr>
      </w:pPr>
      <w:r>
        <w:rPr>
          <w:rFonts w:ascii="Times New Roman" w:cs="Times New Roman" w:eastAsia="Times New Roman" w:hAnsi="Times New Roman"/>
          <w:sz w:val="16"/>
          <w:szCs w:val="16"/>
          <w:color w:val="auto"/>
        </w:rPr>
        <w:t>The revenues of Peach State Bank are primarily derived from interest on loans, interest and dividends from investment securities, and service charge income. The principal sources of funds for Peach State Bank’s lending activities are deposits, loan repayments and proceeds from investment securities. The principal expenses of Peach State Bank are interest paid on deposits and operating and general administrative expenses.</w:t>
      </w:r>
    </w:p>
    <w:p>
      <w:pPr>
        <w:spacing w:after="0" w:line="288" w:lineRule="exact"/>
        <w:rPr>
          <w:sz w:val="20"/>
          <w:szCs w:val="20"/>
          <w:color w:val="auto"/>
        </w:rPr>
      </w:pPr>
    </w:p>
    <w:p>
      <w:pPr>
        <w:ind w:left="1100" w:right="919" w:firstLine="318"/>
        <w:spacing w:after="0" w:line="241" w:lineRule="auto"/>
        <w:rPr>
          <w:sz w:val="20"/>
          <w:szCs w:val="20"/>
          <w:color w:val="auto"/>
        </w:rPr>
      </w:pPr>
      <w:r>
        <w:rPr>
          <w:rFonts w:ascii="Times New Roman" w:cs="Times New Roman" w:eastAsia="Times New Roman" w:hAnsi="Times New Roman"/>
          <w:sz w:val="16"/>
          <w:szCs w:val="16"/>
          <w:color w:val="auto"/>
        </w:rPr>
        <w:t xml:space="preserve">As is the case with banking institutions generally, Peach State Bank’s operations are materially and significantly influenced by general economic conditions and by related monetary and fiscal policies of financial institution regulatory agencies, including the OCC, Federal Reserve and the FDIC. Deposit flows and costs of funds are influenced by interest rates on competing investments and general market rates of interest. Lending activities are affected by the demand for financing of real estate and other types of loans, which in turn is affected by the interest rates at which such financing may be offered and other factors affecting local demand and availability of funds. Peach State Bank faces strong competition in the attraction of deposits (the primary source of lendable funds) and in the origination of loans.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“Competition” below.</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Employees</w:t>
      </w:r>
    </w:p>
    <w:p>
      <w:pPr>
        <w:spacing w:after="0" w:line="140" w:lineRule="exact"/>
        <w:rPr>
          <w:sz w:val="20"/>
          <w:szCs w:val="20"/>
          <w:color w:val="auto"/>
        </w:rPr>
      </w:pPr>
    </w:p>
    <w:p>
      <w:pPr>
        <w:jc w:val="both"/>
        <w:ind w:left="1100" w:right="1439" w:firstLine="318"/>
        <w:spacing w:after="0" w:line="248" w:lineRule="auto"/>
        <w:rPr>
          <w:sz w:val="20"/>
          <w:szCs w:val="20"/>
          <w:color w:val="auto"/>
        </w:rPr>
      </w:pPr>
      <w:r>
        <w:rPr>
          <w:rFonts w:ascii="Times New Roman" w:cs="Times New Roman" w:eastAsia="Times New Roman" w:hAnsi="Times New Roman"/>
          <w:sz w:val="16"/>
          <w:szCs w:val="16"/>
          <w:color w:val="auto"/>
        </w:rPr>
        <w:t>As of March 31, 2026, Peach State Bank employed approximately 74 full- time employees. The employees are not represented by a collective bargaining unit, and Peach State Bank &amp; Trust has not experienced any labor disputes or strikes arising from organized labor groups.</w:t>
      </w:r>
    </w:p>
    <w:p>
      <w:pPr>
        <w:spacing w:after="0" w:line="3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Properties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Peach State Bank’s principal executive offices are located at 121 E.E. Butler Parkway, Gainesville,</w:t>
      </w:r>
    </w:p>
    <w:p>
      <w:pPr>
        <w:spacing w:after="0" w:line="24" w:lineRule="exact"/>
        <w:rPr>
          <w:sz w:val="20"/>
          <w:szCs w:val="20"/>
          <w:color w:val="auto"/>
        </w:rPr>
      </w:pPr>
    </w:p>
    <w:p>
      <w:pPr>
        <w:ind w:left="1100" w:right="1800"/>
        <w:spacing w:after="0" w:line="272" w:lineRule="auto"/>
        <w:rPr>
          <w:sz w:val="20"/>
          <w:szCs w:val="20"/>
          <w:color w:val="auto"/>
        </w:rPr>
      </w:pPr>
      <w:r>
        <w:rPr>
          <w:rFonts w:ascii="Times New Roman" w:cs="Times New Roman" w:eastAsia="Times New Roman" w:hAnsi="Times New Roman"/>
          <w:sz w:val="16"/>
          <w:szCs w:val="16"/>
          <w:color w:val="auto"/>
        </w:rPr>
        <w:t>Georgia 30501. Peach State Bank also operates an additional full-service banking location at 1502 Friendship Road, Braselton, Georgia 30548.</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Legal Proceedings</w:t>
      </w:r>
    </w:p>
    <w:p>
      <w:pPr>
        <w:spacing w:after="0" w:line="140" w:lineRule="exact"/>
        <w:rPr>
          <w:sz w:val="20"/>
          <w:szCs w:val="20"/>
          <w:color w:val="auto"/>
        </w:rPr>
      </w:pPr>
    </w:p>
    <w:p>
      <w:pPr>
        <w:ind w:left="1100" w:right="1120" w:firstLine="318"/>
        <w:spacing w:after="0" w:line="264" w:lineRule="auto"/>
        <w:rPr>
          <w:sz w:val="20"/>
          <w:szCs w:val="20"/>
          <w:color w:val="auto"/>
        </w:rPr>
      </w:pPr>
      <w:r>
        <w:rPr>
          <w:rFonts w:ascii="Times New Roman" w:cs="Times New Roman" w:eastAsia="Times New Roman" w:hAnsi="Times New Roman"/>
          <w:sz w:val="16"/>
          <w:szCs w:val="16"/>
          <w:color w:val="auto"/>
        </w:rPr>
        <w:t>Peach State is periodically a party to or otherwise involved in legal proceedings arising in the normal course of business, such as claims to enforce liens, claims involving the making and servicing of real property loans, and other issues incident to its business. Management does not believe that there is any pending or threatened proceeding against Peach State which, if determined adversely, would have a material adverse effect on Peach State’s financial position, liquidity, or results of operations.</w:t>
      </w:r>
    </w:p>
    <w:p>
      <w:pPr>
        <w:spacing w:after="0" w:line="16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140" w:lineRule="exact"/>
        <w:rPr>
          <w:sz w:val="20"/>
          <w:szCs w:val="20"/>
          <w:color w:val="auto"/>
        </w:rPr>
      </w:pPr>
    </w:p>
    <w:p>
      <w:pPr>
        <w:ind w:left="1100" w:right="1140" w:firstLine="318"/>
        <w:spacing w:after="0" w:line="262" w:lineRule="auto"/>
        <w:rPr>
          <w:sz w:val="20"/>
          <w:szCs w:val="20"/>
          <w:color w:val="auto"/>
        </w:rPr>
      </w:pPr>
      <w:r>
        <w:rPr>
          <w:rFonts w:ascii="Times New Roman" w:cs="Times New Roman" w:eastAsia="Times New Roman" w:hAnsi="Times New Roman"/>
          <w:sz w:val="16"/>
          <w:szCs w:val="16"/>
          <w:color w:val="auto"/>
        </w:rPr>
        <w:t>Peach State Bank encounters strong competition both in making loans and in attracting deposits. In one or more aspects of its business, Peach State Bank competes with other commercial banks, savings and loan associations, credit unions, finance companies, mutual funds, insurance companies, brokerage and investment banking companies, and other financial intermediaries. Most of these competitors, some of which are affiliated with bank holding companies, have substantially greater resources and lending limits, and may offer certain services that Peach State Bank does not currently provide. In addition, many of Peach State Bank’s non-bank competitors are not subject to the same extensive federal regulations that govern bank holding companies and federally insured banks. Federal and state legislation continues to heighten the competitive environment in which financial institutions must conduct their business.</w:t>
      </w:r>
    </w:p>
    <w:p>
      <w:pPr>
        <w:spacing w:after="0" w:line="1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Management</w:t>
      </w:r>
    </w:p>
    <w:p>
      <w:pPr>
        <w:spacing w:after="0" w:line="138" w:lineRule="exact"/>
        <w:rPr>
          <w:sz w:val="20"/>
          <w:szCs w:val="20"/>
          <w:color w:val="auto"/>
        </w:rPr>
      </w:pPr>
    </w:p>
    <w:p>
      <w:pPr>
        <w:ind w:left="1100" w:right="1260" w:firstLine="31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Directors. </w:t>
      </w:r>
      <w:r>
        <w:rPr>
          <w:rFonts w:ascii="Times New Roman" w:cs="Times New Roman" w:eastAsia="Times New Roman" w:hAnsi="Times New Roman"/>
          <w:sz w:val="16"/>
          <w:szCs w:val="16"/>
          <w:color w:val="auto"/>
        </w:rPr>
        <w:t>The Boards of Directors of Peach State and Peach State Bank are comprised of the same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eleven individuals. The Peach State board of directors is divided into three classes, designated Class I, Class II and Class III, which classes are as nearly equal in number as possible. The directors in Class I are elected for an initial term of one year, the directors in Class II are elected for an initial term of two years and the directors in Class III are elected for an initial term of three years. Each director serves until the election and qualification of his or her successor or until his or her earlier resignation, death or removal from office. Upon the expiration of the initial term of each class of directors, directors elected to succeed those whose terms then expire are elected for terms of three years and serve until the election and qualification of their successors or until their earlier resignation, death or removal from office. The following sets forth certain information regarding the directors of Peach State and Peach State Bank.</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0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520" w:type="dxa"/>
            <w:vAlign w:val="bottom"/>
            <w:gridSpan w:val="3"/>
          </w:tcPr>
          <w:p>
            <w:pPr>
              <w:ind w:left="1180"/>
              <w:spacing w:after="0"/>
              <w:rPr>
                <w:sz w:val="20"/>
                <w:szCs w:val="20"/>
                <w:color w:val="auto"/>
              </w:rPr>
            </w:pPr>
            <w:r>
              <w:rPr>
                <w:rFonts w:ascii="Times New Roman" w:cs="Times New Roman" w:eastAsia="Times New Roman" w:hAnsi="Times New Roman"/>
                <w:sz w:val="13"/>
                <w:szCs w:val="13"/>
                <w:b w:val="1"/>
                <w:bCs w:val="1"/>
                <w:color w:val="auto"/>
              </w:rPr>
              <w:t>​ ​</w:t>
            </w:r>
          </w:p>
        </w:tc>
        <w:tc>
          <w:tcPr>
            <w:tcW w:w="23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Principal Occupation</w:t>
            </w:r>
          </w:p>
        </w:tc>
        <w:tc>
          <w:tcPr>
            <w:tcW w:w="1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0"/>
        </w:trPr>
        <w:tc>
          <w:tcPr>
            <w:tcW w:w="1100" w:type="dxa"/>
            <w:vAlign w:val="bottom"/>
          </w:tcPr>
          <w:p>
            <w:pPr>
              <w:spacing w:after="0"/>
              <w:rPr>
                <w:sz w:val="16"/>
                <w:szCs w:val="16"/>
                <w:color w:val="auto"/>
              </w:rPr>
            </w:pPr>
          </w:p>
        </w:tc>
        <w:tc>
          <w:tcPr>
            <w:tcW w:w="2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Ron Quinn</w:t>
            </w:r>
          </w:p>
        </w:tc>
        <w:tc>
          <w:tcPr>
            <w:tcW w:w="1200" w:type="dxa"/>
            <w:vAlign w:val="bottom"/>
            <w:tcBorders>
              <w:top w:val="single" w:sz="8" w:color="auto"/>
            </w:tcBorders>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Executive</w:t>
            </w:r>
          </w:p>
        </w:tc>
        <w:tc>
          <w:tcPr>
            <w:tcW w:w="2380" w:type="dxa"/>
            <w:vAlign w:val="bottom"/>
            <w:tcBorders>
              <w:top w:val="single" w:sz="8" w:color="auto"/>
            </w:tcBorders>
          </w:tcPr>
          <w:p>
            <w:pPr>
              <w:spacing w:after="0"/>
              <w:rPr>
                <w:sz w:val="16"/>
                <w:szCs w:val="16"/>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Charles Blair</w:t>
            </w:r>
          </w:p>
        </w:tc>
        <w:tc>
          <w:tcPr>
            <w:tcW w:w="2520" w:type="dxa"/>
            <w:vAlign w:val="bottom"/>
            <w:gridSpan w:val="3"/>
          </w:tcPr>
          <w:p>
            <w:pPr>
              <w:ind w:left="1180"/>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Executive</w:t>
            </w:r>
          </w:p>
        </w:tc>
        <w:tc>
          <w:tcPr>
            <w:tcW w:w="238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Stewart Teaver</w:t>
            </w:r>
          </w:p>
        </w:tc>
        <w:tc>
          <w:tcPr>
            <w:tcW w:w="2520" w:type="dxa"/>
            <w:vAlign w:val="bottom"/>
            <w:gridSpan w:val="3"/>
          </w:tcPr>
          <w:p>
            <w:pPr>
              <w:ind w:left="1180"/>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Business Owner</w:t>
            </w:r>
          </w:p>
        </w:tc>
        <w:tc>
          <w:tcPr>
            <w:tcW w:w="238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Steve McKibbon</w:t>
            </w:r>
          </w:p>
        </w:tc>
        <w:tc>
          <w:tcPr>
            <w:tcW w:w="2520" w:type="dxa"/>
            <w:vAlign w:val="bottom"/>
            <w:gridSpan w:val="3"/>
          </w:tcPr>
          <w:p>
            <w:pPr>
              <w:ind w:left="1180"/>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Real Estate</w:t>
            </w:r>
          </w:p>
        </w:tc>
        <w:tc>
          <w:tcPr>
            <w:tcW w:w="238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Wesley E. Martin</w:t>
            </w:r>
          </w:p>
        </w:tc>
        <w:tc>
          <w:tcPr>
            <w:tcW w:w="2520" w:type="dxa"/>
            <w:vAlign w:val="bottom"/>
            <w:gridSpan w:val="3"/>
          </w:tcPr>
          <w:p>
            <w:pPr>
              <w:ind w:left="118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Business Owner</w:t>
            </w:r>
          </w:p>
        </w:tc>
        <w:tc>
          <w:tcPr>
            <w:tcW w:w="23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Joe M. Hatfield</w:t>
            </w:r>
          </w:p>
        </w:tc>
        <w:tc>
          <w:tcPr>
            <w:tcW w:w="2520" w:type="dxa"/>
            <w:vAlign w:val="bottom"/>
            <w:gridSpan w:val="3"/>
          </w:tcPr>
          <w:p>
            <w:pPr>
              <w:ind w:left="118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Business Owner</w:t>
            </w:r>
          </w:p>
        </w:tc>
        <w:tc>
          <w:tcPr>
            <w:tcW w:w="23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Clifton Hastings</w:t>
            </w:r>
          </w:p>
        </w:tc>
        <w:tc>
          <w:tcPr>
            <w:tcW w:w="2520" w:type="dxa"/>
            <w:vAlign w:val="bottom"/>
            <w:gridSpan w:val="3"/>
          </w:tcPr>
          <w:p>
            <w:pPr>
              <w:ind w:left="118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Doctor</w:t>
            </w:r>
          </w:p>
        </w:tc>
        <w:tc>
          <w:tcPr>
            <w:tcW w:w="23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C. Andrew Fuller</w:t>
            </w:r>
          </w:p>
        </w:tc>
        <w:tc>
          <w:tcPr>
            <w:tcW w:w="2520" w:type="dxa"/>
            <w:vAlign w:val="bottom"/>
            <w:gridSpan w:val="3"/>
          </w:tcPr>
          <w:p>
            <w:pPr>
              <w:ind w:left="118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Judge</w:t>
            </w:r>
          </w:p>
        </w:tc>
        <w:tc>
          <w:tcPr>
            <w:tcW w:w="23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Ricky Presley</w:t>
            </w:r>
          </w:p>
        </w:tc>
        <w:tc>
          <w:tcPr>
            <w:tcW w:w="2520" w:type="dxa"/>
            <w:vAlign w:val="bottom"/>
            <w:gridSpan w:val="3"/>
          </w:tcPr>
          <w:p>
            <w:pPr>
              <w:ind w:left="118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Real Estate</w:t>
            </w:r>
          </w:p>
        </w:tc>
        <w:tc>
          <w:tcPr>
            <w:tcW w:w="23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Nancy Norton</w:t>
            </w:r>
          </w:p>
        </w:tc>
        <w:tc>
          <w:tcPr>
            <w:tcW w:w="2520" w:type="dxa"/>
            <w:vAlign w:val="bottom"/>
            <w:gridSpan w:val="3"/>
          </w:tcPr>
          <w:p>
            <w:pPr>
              <w:ind w:left="118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Real Estate</w:t>
            </w:r>
          </w:p>
        </w:tc>
        <w:tc>
          <w:tcPr>
            <w:tcW w:w="23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420"/>
        </w:trPr>
        <w:tc>
          <w:tcPr>
            <w:tcW w:w="3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Tracy Vardeman</w:t>
            </w:r>
          </w:p>
        </w:tc>
        <w:tc>
          <w:tcPr>
            <w:tcW w:w="2520" w:type="dxa"/>
            <w:vAlign w:val="bottom"/>
            <w:gridSpan w:val="3"/>
          </w:tcPr>
          <w:p>
            <w:pPr>
              <w:ind w:left="1180"/>
              <w:spacing w:after="0"/>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xml:space="preserve"> Healthcare</w:t>
            </w:r>
          </w:p>
        </w:tc>
        <w:tc>
          <w:tcPr>
            <w:tcW w:w="23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383"/>
        </w:trPr>
        <w:tc>
          <w:tcPr>
            <w:tcW w:w="1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9"/>
        </w:trPr>
        <w:tc>
          <w:tcPr>
            <w:tcW w:w="11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5978525</wp:posOffset>
            </wp:positionH>
            <wp:positionV relativeFrom="paragraph">
              <wp:posOffset>-27305</wp:posOffset>
            </wp:positionV>
            <wp:extent cx="3302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-27305</wp:posOffset>
            </wp:positionV>
            <wp:extent cx="3302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440"/>
          </w:cols>
          <w:pgMar w:left="1220" w:top="94" w:right="1239" w:bottom="1440" w:gutter="0" w:footer="0" w:header="0"/>
        </w:sectPr>
      </w:pPr>
    </w:p>
    <w:bookmarkStart w:id="42" w:name="page43"/>
    <w:bookmarkEnd w:id="4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right="1019" w:firstLine="318"/>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Executive Officers. </w:t>
      </w:r>
      <w:r>
        <w:rPr>
          <w:rFonts w:ascii="Times New Roman" w:cs="Times New Roman" w:eastAsia="Times New Roman" w:hAnsi="Times New Roman"/>
          <w:sz w:val="16"/>
          <w:szCs w:val="16"/>
          <w:color w:val="auto"/>
        </w:rPr>
        <w:t>The following sets forth information regarding the executive officers of Peach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 and Peach State Bank. The officers of Peach State and Peach State Bank serve at the pleasure of their respective Board of Directors.</w:t>
      </w:r>
    </w:p>
    <w:p>
      <w:pPr>
        <w:spacing w:after="0" w:line="114" w:lineRule="exact"/>
        <w:rPr>
          <w:sz w:val="20"/>
          <w:szCs w:val="20"/>
          <w:color w:val="auto"/>
        </w:rPr>
      </w:pPr>
    </w:p>
    <w:tbl>
      <w:tblPr>
        <w:tblLayout w:type="fixed"/>
        <w:tblInd w:w="1100" w:type="dxa"/>
        <w:tblCellMar>
          <w:top w:w="0" w:type="dxa"/>
          <w:left w:w="0" w:type="dxa"/>
          <w:bottom w:w="0" w:type="dxa"/>
          <w:right w:w="0" w:type="dxa"/>
        </w:tblCellMar>
      </w:tblPr>
      <w:tr>
        <w:trPr>
          <w:trHeight w:val="201"/>
        </w:trPr>
        <w:tc>
          <w:tcPr>
            <w:tcW w:w="2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20" w:type="dxa"/>
            <w:vAlign w:val="bottom"/>
            <w:gridSpan w:val="2"/>
          </w:tcPr>
          <w:p>
            <w:pPr>
              <w:ind w:left="1220"/>
              <w:spacing w:after="0"/>
              <w:rPr>
                <w:sz w:val="20"/>
                <w:szCs w:val="20"/>
                <w:color w:val="auto"/>
              </w:rPr>
            </w:pPr>
            <w:r>
              <w:rPr>
                <w:rFonts w:ascii="Times New Roman" w:cs="Times New Roman" w:eastAsia="Times New Roman" w:hAnsi="Times New Roman"/>
                <w:sz w:val="13"/>
                <w:szCs w:val="13"/>
                <w:b w:val="1"/>
                <w:bCs w:val="1"/>
                <w:color w:val="auto"/>
              </w:rPr>
              <w:t>​ ​</w:t>
            </w:r>
          </w:p>
        </w:tc>
        <w:tc>
          <w:tcPr>
            <w:tcW w:w="3660" w:type="dxa"/>
            <w:vAlign w:val="bottom"/>
          </w:tcPr>
          <w:p>
            <w:pPr>
              <w:ind w:left="170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0"/>
        </w:trPr>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Ron Quinn</w:t>
            </w:r>
          </w:p>
        </w:tc>
        <w:tc>
          <w:tcPr>
            <w:tcW w:w="1240" w:type="dxa"/>
            <w:vAlign w:val="bottom"/>
            <w:tcBorders>
              <w:top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Charles Blair</w:t>
            </w:r>
          </w:p>
        </w:tc>
        <w:tc>
          <w:tcPr>
            <w:tcW w:w="5080" w:type="dxa"/>
            <w:vAlign w:val="bottom"/>
            <w:gridSpan w:val="3"/>
          </w:tcPr>
          <w:p>
            <w:pPr>
              <w:ind w:left="1220"/>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Executive Vice President and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Gina Rider</w:t>
            </w:r>
          </w:p>
        </w:tc>
        <w:tc>
          <w:tcPr>
            <w:tcW w:w="5120" w:type="dxa"/>
            <w:vAlign w:val="bottom"/>
            <w:gridSpan w:val="4"/>
          </w:tcPr>
          <w:p>
            <w:pPr>
              <w:ind w:left="1220"/>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Executive Vice President and Chief Operations Officer</w:t>
            </w:r>
            <w:r>
              <w:rPr>
                <w:rFonts w:ascii="Times New Roman" w:cs="Times New Roman" w:eastAsia="Times New Roman" w:hAnsi="Times New Roman"/>
                <w:sz w:val="26"/>
                <w:szCs w:val="26"/>
                <w:color w:val="auto"/>
                <w:vertAlign w:val="superscript"/>
              </w:rPr>
              <w:t>​</w:t>
            </w:r>
          </w:p>
        </w:tc>
      </w:tr>
      <w:tr>
        <w:trPr>
          <w:trHeight w:val="22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Terry Baker</w:t>
            </w:r>
          </w:p>
        </w:tc>
        <w:tc>
          <w:tcPr>
            <w:tcW w:w="5080" w:type="dxa"/>
            <w:vAlign w:val="bottom"/>
            <w:gridSpan w:val="3"/>
          </w:tcPr>
          <w:p>
            <w:pPr>
              <w:ind w:left="1220"/>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Executive Vice President and Chief Lending Officer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420"/>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Andy Stewart</w:t>
            </w:r>
          </w:p>
        </w:tc>
        <w:tc>
          <w:tcPr>
            <w:tcW w:w="5080" w:type="dxa"/>
            <w:vAlign w:val="bottom"/>
            <w:gridSpan w:val="3"/>
          </w:tcPr>
          <w:p>
            <w:pPr>
              <w:ind w:left="1220"/>
              <w:spacing w:after="0"/>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xml:space="preserve"> Executive Vice President and Chief Risk Officer</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THE MERGER</w:t>
      </w:r>
    </w:p>
    <w:p>
      <w:pPr>
        <w:spacing w:after="0" w:line="138" w:lineRule="exact"/>
        <w:rPr>
          <w:sz w:val="20"/>
          <w:szCs w:val="20"/>
          <w:color w:val="auto"/>
        </w:rPr>
      </w:pPr>
    </w:p>
    <w:p>
      <w:pPr>
        <w:jc w:val="both"/>
        <w:ind w:left="1100" w:right="959" w:firstLine="318"/>
        <w:spacing w:after="0" w:line="245" w:lineRule="auto"/>
        <w:rPr>
          <w:sz w:val="20"/>
          <w:szCs w:val="20"/>
          <w:color w:val="auto"/>
        </w:rPr>
      </w:pPr>
      <w:r>
        <w:rPr>
          <w:rFonts w:ascii="Times New Roman" w:cs="Times New Roman" w:eastAsia="Times New Roman" w:hAnsi="Times New Roman"/>
          <w:sz w:val="16"/>
          <w:szCs w:val="16"/>
          <w:i w:val="1"/>
          <w:iCs w:val="1"/>
          <w:color w:val="auto"/>
        </w:rPr>
        <w:t>The following discussion contains certain information about the merger. The discussion is subject, and qualified in its entirety by reference, to the merger agreement attached as Annex A to this proxy statement/​ prospectus and incorporated herein by reference. We urge you to read carefully this entire proxy statement/​ prospectus, including the merger agreement attached as Annex A, for a more complete understanding of the merger.</w:t>
      </w:r>
    </w:p>
    <w:p>
      <w:pPr>
        <w:spacing w:after="0" w:line="16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Terms of the Merger</w:t>
      </w:r>
    </w:p>
    <w:p>
      <w:pPr>
        <w:spacing w:after="0" w:line="128" w:lineRule="exact"/>
        <w:rPr>
          <w:sz w:val="20"/>
          <w:szCs w:val="20"/>
          <w:color w:val="auto"/>
        </w:rPr>
      </w:pPr>
    </w:p>
    <w:p>
      <w:pPr>
        <w:ind w:left="1100" w:right="959" w:firstLine="318"/>
        <w:spacing w:after="0" w:line="244" w:lineRule="auto"/>
        <w:rPr>
          <w:sz w:val="20"/>
          <w:szCs w:val="20"/>
          <w:color w:val="auto"/>
        </w:rPr>
      </w:pPr>
      <w:r>
        <w:rPr>
          <w:rFonts w:ascii="Times New Roman" w:cs="Times New Roman" w:eastAsia="Times New Roman" w:hAnsi="Times New Roman"/>
          <w:sz w:val="16"/>
          <w:szCs w:val="16"/>
          <w:color w:val="auto"/>
        </w:rPr>
        <w:t>Each of the United board of directors and the Peach State board of directors has unanimously approved the merger agreement. The merger agreement provides, among other matters, for the acquisition of Peach State by United pursuant to a merger, on the terms and subject to the conditions in the merger agreement. Under the merger agreement, Peach State will merge with and into United, with United continuing as the surviving corporation, in a transaction we refer to as the merger. Immediately following the completion of the merger, Peach State Bank &amp; Trust, a wholly-owned subsidiary of Peach State, will merge with and into United Community Bank, a wholly-owned subsidiary of United, with United Community Bank continuing as the surviving bank, in a transaction we refer to as the bank merger.</w:t>
      </w:r>
    </w:p>
    <w:p>
      <w:pPr>
        <w:spacing w:after="0" w:line="100" w:lineRule="exact"/>
        <w:rPr>
          <w:sz w:val="20"/>
          <w:szCs w:val="20"/>
          <w:color w:val="auto"/>
        </w:rPr>
      </w:pPr>
    </w:p>
    <w:p>
      <w:pPr>
        <w:ind w:left="1100" w:right="999" w:firstLine="318"/>
        <w:spacing w:after="0" w:line="241" w:lineRule="auto"/>
        <w:rPr>
          <w:sz w:val="20"/>
          <w:szCs w:val="20"/>
          <w:color w:val="auto"/>
        </w:rPr>
      </w:pPr>
      <w:r>
        <w:rPr>
          <w:rFonts w:ascii="Times New Roman" w:cs="Times New Roman" w:eastAsia="Times New Roman" w:hAnsi="Times New Roman"/>
          <w:sz w:val="16"/>
          <w:szCs w:val="16"/>
          <w:color w:val="auto"/>
        </w:rPr>
        <w:t>If the merger is completed, all of the shares of Peach State common stock (except for treasury stock or shares owned by Peach State or United, in each case, other than in a fiduciary or agency capacity or as a result of debts previously contracted, and shares held by shareholders who properly exercise appraisal rights) issued and outstanding immediately prior to the effective time of the merger will be converted into the right to receive, at the election of the holder of such share and subject to proration, $31.75 in cash, less any applicable withholding taxes and without interest, or 0.8978 of a share of United common stock. No fractional shares of United common stock will be issued in the merger, and holders of Peach State common stock will be entitled to receive cash in lieu of fractional shares.</w:t>
      </w:r>
    </w:p>
    <w:p>
      <w:pPr>
        <w:spacing w:after="0" w:line="106" w:lineRule="exact"/>
        <w:rPr>
          <w:sz w:val="20"/>
          <w:szCs w:val="20"/>
          <w:color w:val="auto"/>
        </w:rPr>
      </w:pPr>
    </w:p>
    <w:p>
      <w:pPr>
        <w:ind w:left="1100" w:right="959" w:firstLine="318"/>
        <w:spacing w:after="0" w:line="242" w:lineRule="auto"/>
        <w:rPr>
          <w:sz w:val="20"/>
          <w:szCs w:val="20"/>
          <w:color w:val="auto"/>
        </w:rPr>
      </w:pPr>
      <w:r>
        <w:rPr>
          <w:rFonts w:ascii="Times New Roman" w:cs="Times New Roman" w:eastAsia="Times New Roman" w:hAnsi="Times New Roman"/>
          <w:sz w:val="16"/>
          <w:szCs w:val="16"/>
          <w:color w:val="auto"/>
        </w:rPr>
        <w:t>The merger consideration is subject to proration so that 50% of Peach State common stock issued and outstanding immediately prior to the effective time of the merger will be converted into cash consideration and 50% of the remaining Peach State common stock will be converted into stock consideration, based on an exchange ratio of 0.8978 of a share of United common stock. Holders of Peach State common stock who do not make an election will be treated as having elected to receive cash consideration or stock consideration in accordance with the proration methodology in the merger agreement.</w:t>
      </w:r>
    </w:p>
    <w:p>
      <w:pPr>
        <w:spacing w:after="0" w:line="102" w:lineRule="exact"/>
        <w:rPr>
          <w:sz w:val="20"/>
          <w:szCs w:val="20"/>
          <w:color w:val="auto"/>
        </w:rPr>
      </w:pPr>
    </w:p>
    <w:p>
      <w:pPr>
        <w:ind w:left="1100" w:right="1059" w:firstLine="318"/>
        <w:spacing w:after="0" w:line="248" w:lineRule="auto"/>
        <w:rPr>
          <w:sz w:val="20"/>
          <w:szCs w:val="20"/>
          <w:color w:val="auto"/>
        </w:rPr>
      </w:pPr>
      <w:r>
        <w:rPr>
          <w:rFonts w:ascii="Times New Roman" w:cs="Times New Roman" w:eastAsia="Times New Roman" w:hAnsi="Times New Roman"/>
          <w:sz w:val="16"/>
          <w:szCs w:val="16"/>
          <w:color w:val="auto"/>
        </w:rPr>
        <w:t>Based on the exchange ratio of 0.8978, and on the closing stock price of United common stock of $33.34 as of June 5, 2026, the latest practicable trading day before the date of this proxy statement/​ prospectus, the value of the per share stock consideration payable to holders of Peach State common stock was approximately $29.93 as of such date. The trading price of United common stock will continue to fluctuate until the date the merger is consummated.</w:t>
      </w:r>
    </w:p>
    <w:p>
      <w:pPr>
        <w:spacing w:after="0" w:line="98" w:lineRule="exact"/>
        <w:rPr>
          <w:sz w:val="20"/>
          <w:szCs w:val="20"/>
          <w:color w:val="auto"/>
        </w:rPr>
      </w:pPr>
    </w:p>
    <w:p>
      <w:pPr>
        <w:ind w:left="1100" w:right="999" w:firstLine="318"/>
        <w:spacing w:after="0" w:line="248" w:lineRule="auto"/>
        <w:rPr>
          <w:sz w:val="20"/>
          <w:szCs w:val="20"/>
          <w:color w:val="auto"/>
        </w:rPr>
      </w:pPr>
      <w:r>
        <w:rPr>
          <w:rFonts w:ascii="Times New Roman" w:cs="Times New Roman" w:eastAsia="Times New Roman" w:hAnsi="Times New Roman"/>
          <w:sz w:val="16"/>
          <w:szCs w:val="16"/>
          <w:color w:val="auto"/>
        </w:rPr>
        <w:t>As a result of the foregoing, based on the number of shares of United common stock and Peach State common stock outstanding as of April 20, 2026, the date of the merger agreement, it is expected that Peach State shareholders will hold approximately 1% of the shares of the combined company outstanding immediately after the effective time of the merger, which we refer to as the effective time.</w:t>
      </w:r>
    </w:p>
    <w:p>
      <w:pPr>
        <w:spacing w:after="0" w:line="97" w:lineRule="exact"/>
        <w:rPr>
          <w:sz w:val="20"/>
          <w:szCs w:val="20"/>
          <w:color w:val="auto"/>
        </w:rPr>
      </w:pPr>
    </w:p>
    <w:p>
      <w:pPr>
        <w:ind w:left="1100" w:right="939" w:firstLine="318"/>
        <w:spacing w:after="0" w:line="244" w:lineRule="auto"/>
        <w:rPr>
          <w:sz w:val="20"/>
          <w:szCs w:val="20"/>
          <w:color w:val="auto"/>
        </w:rPr>
      </w:pPr>
      <w:r>
        <w:rPr>
          <w:rFonts w:ascii="Times New Roman" w:cs="Times New Roman" w:eastAsia="Times New Roman" w:hAnsi="Times New Roman"/>
          <w:sz w:val="16"/>
          <w:szCs w:val="16"/>
          <w:color w:val="auto"/>
        </w:rPr>
        <w:t>Peach State shareholders are being asked to approve and adopt the merger agreement. See “The Merger Agreement” for additional and more detailed information regarding the legal documents that govern the merger, including information about conditions to the completion of the merger and provisions for terminating or amending the merger agreement. United shareholders are not entitled to voting rights in connection with the merger.</w:t>
      </w:r>
    </w:p>
    <w:p>
      <w:pPr>
        <w:spacing w:after="0" w:line="15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Background of the Merger</w:t>
      </w:r>
    </w:p>
    <w:p>
      <w:pPr>
        <w:spacing w:after="0" w:line="140" w:lineRule="exact"/>
        <w:rPr>
          <w:sz w:val="20"/>
          <w:szCs w:val="20"/>
          <w:color w:val="auto"/>
        </w:rPr>
      </w:pPr>
    </w:p>
    <w:p>
      <w:pPr>
        <w:ind w:left="1100" w:right="899" w:firstLine="318"/>
        <w:spacing w:after="0" w:line="245" w:lineRule="auto"/>
        <w:rPr>
          <w:sz w:val="20"/>
          <w:szCs w:val="20"/>
          <w:color w:val="auto"/>
        </w:rPr>
      </w:pPr>
      <w:r>
        <w:rPr>
          <w:rFonts w:ascii="Times New Roman" w:cs="Times New Roman" w:eastAsia="Times New Roman" w:hAnsi="Times New Roman"/>
          <w:sz w:val="16"/>
          <w:szCs w:val="16"/>
          <w:color w:val="auto"/>
        </w:rPr>
        <w:t>Over the course of several years, the Board of Directors (the “Board”) and senior management of Peach State Bancshares, Inc. (“Peach State”) have periodically reviewed and assessed Peach State’s long-term strategic direction and prospects, including various strategic alternatives available to Peach State and its shareholders, with a focus on maximizing shareholder value while continuing to serve Peach State’s customers, employees and the communities in which it operates. In the context of such reviews, the strategic alternatives</w:t>
      </w:r>
    </w:p>
    <w:p>
      <w:pPr>
        <w:spacing w:after="0" w:line="200" w:lineRule="exact"/>
        <w:rPr>
          <w:sz w:val="20"/>
          <w:szCs w:val="20"/>
          <w:color w:val="auto"/>
        </w:rPr>
      </w:pPr>
    </w:p>
    <w:p>
      <w:pPr>
        <w:spacing w:after="0" w:line="30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99"/>
        <w:spacing w:after="0" w:line="248" w:lineRule="auto"/>
        <w:rPr>
          <w:sz w:val="20"/>
          <w:szCs w:val="20"/>
          <w:color w:val="auto"/>
        </w:rPr>
      </w:pPr>
      <w:r>
        <w:rPr>
          <w:rFonts w:ascii="Times New Roman" w:cs="Times New Roman" w:eastAsia="Times New Roman" w:hAnsi="Times New Roman"/>
          <w:sz w:val="16"/>
          <w:szCs w:val="16"/>
          <w:color w:val="auto"/>
        </w:rPr>
        <w:t>considered by the Board have included, among other things, continuing its on-going operations as an independent institution, acquiring other depository institutions, opening new branch offices, closing or selling branch offices or buying other financial services firms engaged in complementary lines of business. The Board also reviewed the competitive environment in its market area as well as merger and acquisition activity in the financial services industry in general and in Georgia.</w:t>
      </w:r>
    </w:p>
    <w:p>
      <w:pPr>
        <w:spacing w:after="0" w:line="98" w:lineRule="exact"/>
        <w:rPr>
          <w:sz w:val="20"/>
          <w:szCs w:val="20"/>
          <w:color w:val="auto"/>
        </w:rPr>
      </w:pPr>
    </w:p>
    <w:p>
      <w:pPr>
        <w:ind w:left="1100" w:right="899" w:firstLine="318"/>
        <w:spacing w:after="0"/>
        <w:rPr>
          <w:sz w:val="20"/>
          <w:szCs w:val="20"/>
          <w:color w:val="auto"/>
        </w:rPr>
      </w:pPr>
      <w:r>
        <w:rPr>
          <w:rFonts w:ascii="Times New Roman" w:cs="Times New Roman" w:eastAsia="Times New Roman" w:hAnsi="Times New Roman"/>
          <w:sz w:val="16"/>
          <w:szCs w:val="16"/>
          <w:color w:val="auto"/>
        </w:rPr>
        <w:t>The Board and senior management team have also been aware in recent years of changes in the financial services industry and the regulatory environment, as well as the competitive challenges facing a financial institution such as Peach State. These challenges have included an interest rate environment that has resulted in pressure on the interest rate spread and margin, increasing government regulations, increasing expense burdens and commitments for technology, succession planning challenges, and increasing competition in the delivery of financial products and services combined with increased customer expectations for the availability of sophisticated financial products and services from financial institutions. In addition, the Board was sensitive to the need for Peach State to deploy excess capital to maximize return for its shareholders. The Board has always recognized that its fiduciary duty to its shareholders encompassed consideration of a business combination, merger or sale of Peach State that might offer enhanced value to its shareholders and greater market liquidity and from time to time identified potential buyers and strategic partners for the Company, taking into account Peach State’s relative size and position in the marketplace.</w:t>
      </w:r>
    </w:p>
    <w:p>
      <w:pPr>
        <w:spacing w:after="0" w:line="294" w:lineRule="exact"/>
        <w:rPr>
          <w:sz w:val="20"/>
          <w:szCs w:val="20"/>
          <w:color w:val="auto"/>
        </w:rPr>
      </w:pPr>
    </w:p>
    <w:p>
      <w:pPr>
        <w:ind w:left="1100" w:right="919" w:firstLine="318"/>
        <w:spacing w:after="0" w:line="242" w:lineRule="auto"/>
        <w:rPr>
          <w:sz w:val="20"/>
          <w:szCs w:val="20"/>
          <w:color w:val="auto"/>
        </w:rPr>
      </w:pPr>
      <w:r>
        <w:rPr>
          <w:rFonts w:ascii="Times New Roman" w:cs="Times New Roman" w:eastAsia="Times New Roman" w:hAnsi="Times New Roman"/>
          <w:sz w:val="16"/>
          <w:szCs w:val="16"/>
          <w:color w:val="auto"/>
        </w:rPr>
        <w:t>In connection with these evaluations, a key consideration for the Board has been the limited liquidity available to Peach State shareholders due to the absence of a public trading market for Peach State’s common stock. As part of this ongoing strategic assessment and in furtherance of these discussions, the Board has, from time to time, consulted with Piper Sandler &amp; Co. (“Piper Sandler”), a nationally recognized investment banking firm with substantial expertise in financial institution mergers and acquisitions, to evaluate strategic alternatives and assess potential strategic partners.</w:t>
      </w:r>
    </w:p>
    <w:p>
      <w:pPr>
        <w:spacing w:after="0" w:line="102" w:lineRule="exact"/>
        <w:rPr>
          <w:sz w:val="20"/>
          <w:szCs w:val="20"/>
          <w:color w:val="auto"/>
        </w:rPr>
      </w:pPr>
    </w:p>
    <w:p>
      <w:pPr>
        <w:ind w:left="1100" w:right="979" w:firstLine="318"/>
        <w:spacing w:after="0" w:line="241" w:lineRule="auto"/>
        <w:rPr>
          <w:sz w:val="20"/>
          <w:szCs w:val="20"/>
          <w:color w:val="auto"/>
        </w:rPr>
      </w:pPr>
      <w:r>
        <w:rPr>
          <w:rFonts w:ascii="Times New Roman" w:cs="Times New Roman" w:eastAsia="Times New Roman" w:hAnsi="Times New Roman"/>
          <w:sz w:val="16"/>
          <w:szCs w:val="16"/>
          <w:color w:val="auto"/>
        </w:rPr>
        <w:t>On November 21, 2024, the Board held a strategic planning session attended by representatives of Piper Sandler and Alston &amp; Bird (“Alston &amp; Bird”), Peach State’s legal counsel. At that meeting, Piper Sandler provided the Board with a review of market conditions, recent merger and acquisition activity among financial institutions and an analysis of the universe of potential strategic partners for Peach State. Representatives of Alston &amp; Bird reviewed with the Board key legal considerations relevant to a potential strategic transaction, including a discussion of the Board’s fiduciary duties in connection with evaluating strategic alternatives. Following these presentations, the Board engaged in a substantive discussion regarding the various strategic pathways available to Peach State and its shareholders and authorized Peach State senior management, with the assistance of Piper Sandler, to begin developing relationships with selected market participants who could be potential strategic partners.</w:t>
      </w:r>
    </w:p>
    <w:p>
      <w:pPr>
        <w:spacing w:after="0" w:line="106" w:lineRule="exact"/>
        <w:rPr>
          <w:sz w:val="20"/>
          <w:szCs w:val="20"/>
          <w:color w:val="auto"/>
        </w:rPr>
      </w:pPr>
    </w:p>
    <w:p>
      <w:pPr>
        <w:ind w:left="1100" w:right="939" w:firstLine="318"/>
        <w:spacing w:after="0" w:line="243" w:lineRule="auto"/>
        <w:rPr>
          <w:sz w:val="20"/>
          <w:szCs w:val="20"/>
          <w:color w:val="auto"/>
        </w:rPr>
      </w:pPr>
      <w:r>
        <w:rPr>
          <w:rFonts w:ascii="Times New Roman" w:cs="Times New Roman" w:eastAsia="Times New Roman" w:hAnsi="Times New Roman"/>
          <w:sz w:val="16"/>
          <w:szCs w:val="16"/>
          <w:color w:val="auto"/>
        </w:rPr>
        <w:t>On February 25, 2025, the Board met with representatives of Piper Sandler to receive an update on financial institution merger activity, market conditions and selected potential market participants. During this meeting, Piper Sandler discussed the timing and key considerations associated with a potential merger process, including the respective roles and responsibilities of the Board, senior management and Peach State’s financial and legal advisors. As part of this discussion, the Board and Piper Sandler also discussed the upcoming October 1, 2026 expiration of Peach State’s core processing contract and the relevance of that timeline to Peach State’s strategic planning and the timing of a potential sale process.</w:t>
      </w:r>
    </w:p>
    <w:p>
      <w:pPr>
        <w:spacing w:after="0" w:line="1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On April 22, 2025, Piper Sandler provided Peach State management with an analysis of potential</w:t>
      </w:r>
    </w:p>
    <w:p>
      <w:pPr>
        <w:spacing w:after="0" w:line="13" w:lineRule="exact"/>
        <w:rPr>
          <w:sz w:val="20"/>
          <w:szCs w:val="20"/>
          <w:color w:val="auto"/>
        </w:rPr>
      </w:pPr>
    </w:p>
    <w:p>
      <w:pPr>
        <w:ind w:left="1100" w:right="919"/>
        <w:spacing w:after="0"/>
        <w:rPr>
          <w:sz w:val="20"/>
          <w:szCs w:val="20"/>
          <w:color w:val="auto"/>
        </w:rPr>
      </w:pPr>
      <w:r>
        <w:rPr>
          <w:rFonts w:ascii="Times New Roman" w:cs="Times New Roman" w:eastAsia="Times New Roman" w:hAnsi="Times New Roman"/>
          <w:sz w:val="16"/>
          <w:szCs w:val="16"/>
          <w:color w:val="auto"/>
        </w:rPr>
        <w:t>strategic partners and an overview of relevant merger and acquisition activity among financial institutions. On June 12, 2025, Piper Sandler provided the Board with an additional review of selected potential strategic partners, an update on market conditions, and a discussion of the various initial approaches and timelines that the Company could pursue in connection with a potential sale process. The Board discussed the presentations and the current mergers and acquisitions environment and continued its evaluation of the Company’s strategic alternatives.</w:t>
      </w:r>
    </w:p>
    <w:p>
      <w:pPr>
        <w:spacing w:after="0" w:line="105" w:lineRule="exact"/>
        <w:rPr>
          <w:sz w:val="20"/>
          <w:szCs w:val="20"/>
          <w:color w:val="auto"/>
        </w:rPr>
      </w:pPr>
    </w:p>
    <w:p>
      <w:pPr>
        <w:ind w:left="1100" w:right="959" w:firstLine="318"/>
        <w:spacing w:after="0" w:line="245" w:lineRule="auto"/>
        <w:rPr>
          <w:sz w:val="20"/>
          <w:szCs w:val="20"/>
          <w:color w:val="auto"/>
        </w:rPr>
      </w:pPr>
      <w:r>
        <w:rPr>
          <w:rFonts w:ascii="Times New Roman" w:cs="Times New Roman" w:eastAsia="Times New Roman" w:hAnsi="Times New Roman"/>
          <w:sz w:val="16"/>
          <w:szCs w:val="16"/>
          <w:color w:val="auto"/>
        </w:rPr>
        <w:t>On October 8, 2025, the Board held its annual strategic planning session. At that meeting, Piper Sandler presented to the Board a comprehensive overview of the mergers and acquisitions process for financial institutions, including a detailed discussion of the steps involved in a potential sale transaction, an illustrative timeline and key milestones associated with a formal sale process, and the roles and responsibilities of Peach State’s financial and legal advisors. Representatives of Alston &amp; Bird reviewed with the Board the</w:t>
      </w:r>
    </w:p>
    <w:p>
      <w:pPr>
        <w:spacing w:after="0" w:line="200" w:lineRule="exact"/>
        <w:rPr>
          <w:sz w:val="20"/>
          <w:szCs w:val="20"/>
          <w:color w:val="auto"/>
        </w:rPr>
      </w:pPr>
    </w:p>
    <w:p>
      <w:pPr>
        <w:spacing w:after="0" w:line="30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spacing w:after="0" w:line="248" w:lineRule="auto"/>
        <w:rPr>
          <w:sz w:val="20"/>
          <w:szCs w:val="20"/>
          <w:color w:val="auto"/>
        </w:rPr>
      </w:pPr>
      <w:r>
        <w:rPr>
          <w:rFonts w:ascii="Times New Roman" w:cs="Times New Roman" w:eastAsia="Times New Roman" w:hAnsi="Times New Roman"/>
          <w:sz w:val="16"/>
          <w:szCs w:val="16"/>
          <w:color w:val="auto"/>
        </w:rPr>
        <w:t>directors’ fiduciary duties in connection with a potential sale of Peach State. Following these presentations and after careful deliberation, the Board unanimously voted to authorize management to commence a formal sale process and approved the engagement of Piper Sandler as Peach State’s financial advisor in connection therewith.</w:t>
      </w:r>
    </w:p>
    <w:p>
      <w:pPr>
        <w:spacing w:after="0" w:line="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On November 18, 2025, Peach State and Piper Sandler executed an engagement letter pursuant to</w:t>
      </w:r>
    </w:p>
    <w:p>
      <w:pPr>
        <w:spacing w:after="0" w:line="24" w:lineRule="exact"/>
        <w:rPr>
          <w:sz w:val="20"/>
          <w:szCs w:val="20"/>
          <w:color w:val="auto"/>
        </w:rPr>
      </w:pPr>
    </w:p>
    <w:p>
      <w:pPr>
        <w:ind w:left="1100" w:right="919"/>
        <w:spacing w:after="0" w:line="239" w:lineRule="auto"/>
        <w:rPr>
          <w:sz w:val="20"/>
          <w:szCs w:val="20"/>
          <w:color w:val="auto"/>
        </w:rPr>
      </w:pPr>
      <w:r>
        <w:rPr>
          <w:rFonts w:ascii="Times New Roman" w:cs="Times New Roman" w:eastAsia="Times New Roman" w:hAnsi="Times New Roman"/>
          <w:sz w:val="16"/>
          <w:szCs w:val="16"/>
          <w:color w:val="auto"/>
        </w:rPr>
        <w:t>which Piper Sandler was formally retained as Peach State’s financial advisor in connection with a potential sale of Peach State. Following execution of the engagement letter, Piper Sandler and Peach State management worked together to identify and compile a list of potential strategic partners, prepare marketing materials describing Peach State and the proposed sale process, and establish a virtual data room containing due diligence materials relating to Peach State and its subsidiaries.</w:t>
      </w:r>
    </w:p>
    <w:p>
      <w:pPr>
        <w:spacing w:after="0" w:line="103" w:lineRule="exact"/>
        <w:rPr>
          <w:sz w:val="20"/>
          <w:szCs w:val="20"/>
          <w:color w:val="auto"/>
        </w:rPr>
      </w:pPr>
    </w:p>
    <w:p>
      <w:pPr>
        <w:ind w:left="1100" w:right="1019" w:firstLine="318"/>
        <w:spacing w:after="0" w:line="245" w:lineRule="auto"/>
        <w:rPr>
          <w:sz w:val="20"/>
          <w:szCs w:val="20"/>
          <w:color w:val="auto"/>
        </w:rPr>
      </w:pPr>
      <w:r>
        <w:rPr>
          <w:rFonts w:ascii="Times New Roman" w:cs="Times New Roman" w:eastAsia="Times New Roman" w:hAnsi="Times New Roman"/>
          <w:sz w:val="16"/>
          <w:szCs w:val="16"/>
          <w:color w:val="auto"/>
        </w:rPr>
        <w:t>On January 9, 2026, Piper Sandler commenced formal outreach to fifteen potential counterparties identified by Piper Sandler and Peach State management as financial institutions that may have a strategic interest in, and the financial capacity to complete, a potential acquisition of Peach State. Piper Sandler distributed an executive summary and a form of non-disclosure agreement to each of these potential counterparties and established a targeted submission date of February 20, 2026 for non-binding indications of interest.</w:t>
      </w:r>
    </w:p>
    <w:p>
      <w:pPr>
        <w:spacing w:after="0" w:line="100" w:lineRule="exact"/>
        <w:rPr>
          <w:sz w:val="20"/>
          <w:szCs w:val="20"/>
          <w:color w:val="auto"/>
        </w:rPr>
      </w:pPr>
    </w:p>
    <w:p>
      <w:pPr>
        <w:ind w:left="1100" w:right="919" w:firstLine="318"/>
        <w:spacing w:after="0" w:line="248" w:lineRule="auto"/>
        <w:rPr>
          <w:sz w:val="20"/>
          <w:szCs w:val="20"/>
          <w:color w:val="auto"/>
        </w:rPr>
      </w:pPr>
      <w:r>
        <w:rPr>
          <w:rFonts w:ascii="Times New Roman" w:cs="Times New Roman" w:eastAsia="Times New Roman" w:hAnsi="Times New Roman"/>
          <w:sz w:val="16"/>
          <w:szCs w:val="16"/>
          <w:color w:val="auto"/>
        </w:rPr>
        <w:t>Of the fifteen potential counterparties contacted, nine executed non-disclosure agreements and received a confidential information memorandum describing Peach State, six accessed the virtual data room, and five participated in management meetings with Peach State. United Community Banks, Inc. (“United”) commenced its review of materials in the virtual data room on January 17, 2026.</w:t>
      </w:r>
    </w:p>
    <w:p>
      <w:pPr>
        <w:spacing w:after="0" w:line="97" w:lineRule="exact"/>
        <w:rPr>
          <w:sz w:val="20"/>
          <w:szCs w:val="20"/>
          <w:color w:val="auto"/>
        </w:rPr>
      </w:pPr>
    </w:p>
    <w:p>
      <w:pPr>
        <w:ind w:left="1100" w:right="959" w:firstLine="318"/>
        <w:spacing w:after="0" w:line="244" w:lineRule="auto"/>
        <w:rPr>
          <w:sz w:val="20"/>
          <w:szCs w:val="20"/>
          <w:color w:val="auto"/>
        </w:rPr>
      </w:pPr>
      <w:r>
        <w:rPr>
          <w:rFonts w:ascii="Times New Roman" w:cs="Times New Roman" w:eastAsia="Times New Roman" w:hAnsi="Times New Roman"/>
          <w:sz w:val="16"/>
          <w:szCs w:val="16"/>
          <w:color w:val="auto"/>
        </w:rPr>
        <w:t>During January and February of 2026, Peach State management participated in a series of management meetings with representatives of several potential counterparties, including publicly traded and privately held financial institutions, to discuss Peach State’s business, operations, financial condition and prospects, as well as the potential strategic merits of a combination. These meetings included discussions with representatives of parties identified as Company A, Company B, Company C, Company D and United.</w:t>
      </w:r>
    </w:p>
    <w:p>
      <w:pPr>
        <w:spacing w:after="0" w:line="101" w:lineRule="exact"/>
        <w:rPr>
          <w:sz w:val="20"/>
          <w:szCs w:val="20"/>
          <w:color w:val="auto"/>
        </w:rPr>
      </w:pPr>
    </w:p>
    <w:p>
      <w:pPr>
        <w:ind w:left="1100" w:right="1179" w:firstLine="318"/>
        <w:spacing w:after="0" w:line="248" w:lineRule="auto"/>
        <w:rPr>
          <w:sz w:val="20"/>
          <w:szCs w:val="20"/>
          <w:color w:val="auto"/>
        </w:rPr>
      </w:pPr>
      <w:r>
        <w:rPr>
          <w:rFonts w:ascii="Times New Roman" w:cs="Times New Roman" w:eastAsia="Times New Roman" w:hAnsi="Times New Roman"/>
          <w:sz w:val="16"/>
          <w:szCs w:val="16"/>
          <w:color w:val="auto"/>
        </w:rPr>
        <w:t>On February 11, 2026, Piper Sandler distributed bid instructions to those potential counterparties participating in the process, outlining the process and timeline for submitting non-binding indications of interest, the required contents of such submissions, and the targeted bid submission date of February 20, 2026.</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On February 20, 2026, Piper Sandler received three non-binding indications of interest from potential</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counterparties in connection with a potential acquisition of Peach State. The indications of interest were</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submitted by United, Company D and Company B and reflected differing valuation levels, forms of</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consideration and transaction structures. United proposed aggregate consideration of approximately</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$100.0 million (inclusive of the cash-out value of all outstanding Peach State stock options), consisting of a</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mix of cash and United common stock, including a per-share cash component, and implying a blended per</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share purchase price of $31.02, based on United’s closing stock price as of February 19, 2026. Company D</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proposed aggregate consideration of approximately $88.2 million (inclusive of the cash-out value of Peach</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State stock options), consisting of a combination of cash and Company D common stock and implying a per</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share purchase price of $27.50 based on Company D’s 10-day average closing stock price as of February 19,</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2026. Company B proposed aggregate consideration of approximately $89.9 million (inclusive of the cash-</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out value of Peach State stock options), consisting entirely of cash consideration at a price of $28.00 per</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share. Piper Sandler reviewed the indications of interest with Peach State management and prepared a</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comparative summary and analysis of the proposals for presentation to the Peach State Board of Directors.</w:t>
      </w:r>
    </w:p>
    <w:p>
      <w:pPr>
        <w:spacing w:after="0" w:line="109" w:lineRule="exact"/>
        <w:rPr>
          <w:sz w:val="20"/>
          <w:szCs w:val="20"/>
          <w:color w:val="auto"/>
        </w:rPr>
      </w:pPr>
    </w:p>
    <w:p>
      <w:pPr>
        <w:ind w:left="1100" w:right="1019" w:firstLine="318"/>
        <w:spacing w:after="0" w:line="253" w:lineRule="auto"/>
        <w:rPr>
          <w:sz w:val="20"/>
          <w:szCs w:val="20"/>
          <w:color w:val="auto"/>
        </w:rPr>
      </w:pPr>
      <w:r>
        <w:rPr>
          <w:rFonts w:ascii="Times New Roman" w:cs="Times New Roman" w:eastAsia="Times New Roman" w:hAnsi="Times New Roman"/>
          <w:sz w:val="16"/>
          <w:szCs w:val="16"/>
          <w:color w:val="auto"/>
        </w:rPr>
        <w:t>On February 24, 2026, the Board met with representatives of Piper Sandler and Alston &amp; Bird to review the status of the sale process and to consider and evaluate the indications of interest received. Piper Sandler summarized the sale process conducted to date, reviewed the material terms of each indication of interest and provided a comparative analysis of the proposed consideration, form of transaction, strategic rationale and relative execution risks associated with each proposal. Alston &amp; Bird also reviewed with the Board its fiduciary duties and confidentiality obligations in the context of a M&amp;A transaction. The Board engaged in detailed and fulsome discussions regarding the relative merits of each proposal, including</w:t>
      </w:r>
    </w:p>
    <w:p>
      <w:pPr>
        <w:spacing w:after="0" w:line="3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59"/>
        <w:spacing w:after="0" w:line="248" w:lineRule="auto"/>
        <w:rPr>
          <w:sz w:val="20"/>
          <w:szCs w:val="20"/>
          <w:color w:val="auto"/>
        </w:rPr>
      </w:pPr>
      <w:r>
        <w:rPr>
          <w:rFonts w:ascii="Times New Roman" w:cs="Times New Roman" w:eastAsia="Times New Roman" w:hAnsi="Times New Roman"/>
          <w:sz w:val="16"/>
          <w:szCs w:val="16"/>
          <w:color w:val="auto"/>
        </w:rPr>
        <w:t>the implied per-share consideration offered, the mix of cash and stock consideration, the financial strength and strategic profile of each potential counterparty, interests of Peach State’s employees and customers, and the likelihood that each potential counterparty would be able to consummate a transaction on the proposed terms and within an acceptable timeframe.</w:t>
      </w:r>
    </w:p>
    <w:p>
      <w:pPr>
        <w:spacing w:after="0" w:line="97" w:lineRule="exact"/>
        <w:rPr>
          <w:sz w:val="20"/>
          <w:szCs w:val="20"/>
          <w:color w:val="auto"/>
        </w:rPr>
      </w:pPr>
    </w:p>
    <w:p>
      <w:pPr>
        <w:ind w:left="1100" w:right="1019" w:firstLine="318"/>
        <w:spacing w:after="0" w:line="248" w:lineRule="auto"/>
        <w:rPr>
          <w:sz w:val="20"/>
          <w:szCs w:val="20"/>
          <w:color w:val="auto"/>
        </w:rPr>
      </w:pPr>
      <w:r>
        <w:rPr>
          <w:rFonts w:ascii="Times New Roman" w:cs="Times New Roman" w:eastAsia="Times New Roman" w:hAnsi="Times New Roman"/>
          <w:sz w:val="16"/>
          <w:szCs w:val="16"/>
          <w:color w:val="auto"/>
        </w:rPr>
        <w:t>Following these discussions, the Board determined that United’s proposal represented the most compelling combination of value and certainty of execution and authorized management and Piper Sandler to proceed with negotiations with United. As part of this process, the Board directed Piper Sandler to seek improvements to United’s proposal, which were subsequently reflected in a revised non-binding indication of interest.</w:t>
      </w:r>
    </w:p>
    <w:p>
      <w:pPr>
        <w:spacing w:after="0" w:line="98" w:lineRule="exact"/>
        <w:rPr>
          <w:sz w:val="20"/>
          <w:szCs w:val="20"/>
          <w:color w:val="auto"/>
        </w:rPr>
      </w:pPr>
    </w:p>
    <w:p>
      <w:pPr>
        <w:ind w:left="1100" w:right="999" w:firstLine="318"/>
        <w:spacing w:after="0" w:line="239" w:lineRule="auto"/>
        <w:rPr>
          <w:sz w:val="20"/>
          <w:szCs w:val="20"/>
          <w:color w:val="auto"/>
        </w:rPr>
      </w:pPr>
      <w:r>
        <w:rPr>
          <w:rFonts w:ascii="Times New Roman" w:cs="Times New Roman" w:eastAsia="Times New Roman" w:hAnsi="Times New Roman"/>
          <w:sz w:val="16"/>
          <w:szCs w:val="16"/>
          <w:color w:val="auto"/>
        </w:rPr>
        <w:t>On February 27, 2026, following additional discussions between Peach State and United and their respective advisors, Peach State and United executed a non -binding indication of interest setting forth the principal terms of a potential acquisition of Peach State by United. The indication of interest contemplated aggregate consideration to Peach State common shareholders of approximately $92.2 million, consisting of a combination of cash and stock consideration. Under the proposal, approximately 50% of the outstanding shares of Peach State common stock would be converted into the right to receive cash consideration at a price of $31.75 per share, with the remaining shares to be exchanged for shares of United common stock based on a fixed exchange ratio, implying a blended per share purchase price of approximately $30.73, based on United’s closing stock price as of February 24, 2026. The indication of interest also contemplated the cancellation and cash-out of outstanding Peach State stock options for an aggregate amount of approximately $6.8 million, resulting in an implied aggregate transaction value of approximately</w:t>
      </w:r>
    </w:p>
    <w:p>
      <w:pPr>
        <w:spacing w:after="0" w:line="4" w:lineRule="exact"/>
        <w:rPr>
          <w:sz w:val="20"/>
          <w:szCs w:val="20"/>
          <w:color w:val="auto"/>
        </w:rPr>
      </w:pPr>
    </w:p>
    <w:p>
      <w:pPr>
        <w:ind w:left="1100" w:right="939"/>
        <w:spacing w:after="0" w:line="238" w:lineRule="auto"/>
        <w:rPr>
          <w:sz w:val="20"/>
          <w:szCs w:val="20"/>
          <w:color w:val="auto"/>
        </w:rPr>
      </w:pPr>
      <w:r>
        <w:rPr>
          <w:rFonts w:ascii="Times New Roman" w:cs="Times New Roman" w:eastAsia="Times New Roman" w:hAnsi="Times New Roman"/>
          <w:sz w:val="16"/>
          <w:szCs w:val="16"/>
          <w:color w:val="auto"/>
        </w:rPr>
        <w:t>$99.1 million. In addition, the indication of interest included an exclusivity provision pursuant to which, for a specified period of time, Peach State agreed not to solicit, initiate or engage in discussions with other potential counterparties regarding a potential acquisition of Peach State, subject to customary exceptions. In deciding to execute the non-binding indication of interest, the Board engaged in a robust discussion of the appropriate considerations in selecting a potential merger partner, including United’s offer and the allocation of merger consideration between stock and cash, the attractiveness of United’s stock as consideration, United’s ability and capacity to complete the proposed transaction in a timely manner, its track record of successful acquisitions, cultural fit and potential synergies, and the viability of Peach State on a standalone basis. Following extensive discussion, the Board determined that a transaction with United would provide greater strategic benefits and synergies, offer the highest value to Peach State shareholders, and present a stronger cultural fit. After careful deliberation, the Board concluded that pursuing a strategic business combination with United was in the best interests of Peach State shareholders and other constituencies and approved the execution of the non-binding indication of interest.</w:t>
      </w:r>
    </w:p>
    <w:p>
      <w:pPr>
        <w:spacing w:after="0" w:line="112" w:lineRule="exact"/>
        <w:rPr>
          <w:sz w:val="20"/>
          <w:szCs w:val="20"/>
          <w:color w:val="auto"/>
        </w:rPr>
      </w:pPr>
    </w:p>
    <w:p>
      <w:pPr>
        <w:ind w:left="1100" w:right="919" w:firstLine="318"/>
        <w:spacing w:after="0" w:line="241" w:lineRule="auto"/>
        <w:rPr>
          <w:sz w:val="20"/>
          <w:szCs w:val="20"/>
          <w:color w:val="auto"/>
        </w:rPr>
      </w:pPr>
      <w:r>
        <w:rPr>
          <w:rFonts w:ascii="Times New Roman" w:cs="Times New Roman" w:eastAsia="Times New Roman" w:hAnsi="Times New Roman"/>
          <w:sz w:val="16"/>
          <w:szCs w:val="16"/>
          <w:color w:val="auto"/>
        </w:rPr>
        <w:t>Following execution of the indication of interest and until the signing of the definitive merger agreement, senior members of the management teams of Peach State and United met to discuss the strategic rationale for the transaction, anticipated integration matters and other issues relevant to the proposed combination. United and its advisors conducted due diligence regarding Peach State, including a credit review, through review of certain requested information and documents provided by Peach State through the virtual data room. On April 3, 2026, United and United’s advisors conducted a legal due diligence conference call with Peach State and Peach State’s advisors to discuss Peach State’s business and operations as well as its relationships with its federal and state regulators.</w:t>
      </w:r>
    </w:p>
    <w:p>
      <w:pPr>
        <w:spacing w:after="0" w:line="106" w:lineRule="exact"/>
        <w:rPr>
          <w:sz w:val="20"/>
          <w:szCs w:val="20"/>
          <w:color w:val="auto"/>
        </w:rPr>
      </w:pPr>
    </w:p>
    <w:p>
      <w:pPr>
        <w:ind w:left="1100" w:right="939" w:firstLine="318"/>
        <w:spacing w:after="0" w:line="241" w:lineRule="auto"/>
        <w:rPr>
          <w:sz w:val="20"/>
          <w:szCs w:val="20"/>
          <w:color w:val="auto"/>
        </w:rPr>
      </w:pPr>
      <w:r>
        <w:rPr>
          <w:rFonts w:ascii="Times New Roman" w:cs="Times New Roman" w:eastAsia="Times New Roman" w:hAnsi="Times New Roman"/>
          <w:sz w:val="16"/>
          <w:szCs w:val="16"/>
          <w:color w:val="auto"/>
        </w:rPr>
        <w:t>During this same period, Peach State and its advisors also conducted reverse due diligence regarding United. The reverse due diligence included, among other things, review of United’s public filings, corporate strategy, earnings, asset quality, deposit franchise, sensitivity and interest rate risk, legal and regulatory matters, and capital adequacy. Peach State also engaged in several reverse diligence discussions with United, covering topics such as documents previously provided to Peach State by United, the strategic plan and future growth prospects for United, integration of Peach State into United, financial performance, strategic plans specific to Peach State’s markets, shareholder liquidity, existing lines of business and potential new lines of business. On April 15, 2026, Peach State and United participated in a reverse due diligence session during which Peach State management had the opportunity to review information regarding United’s business, operations, financial condition and prospects.</w:t>
      </w:r>
    </w:p>
    <w:p>
      <w:pPr>
        <w:spacing w:after="0" w:line="106" w:lineRule="exact"/>
        <w:rPr>
          <w:sz w:val="20"/>
          <w:szCs w:val="20"/>
          <w:color w:val="auto"/>
        </w:rPr>
      </w:pPr>
    </w:p>
    <w:p>
      <w:pPr>
        <w:ind w:left="1100" w:right="1039" w:firstLine="318"/>
        <w:spacing w:after="0" w:line="279" w:lineRule="auto"/>
        <w:rPr>
          <w:sz w:val="20"/>
          <w:szCs w:val="20"/>
          <w:color w:val="auto"/>
        </w:rPr>
      </w:pPr>
      <w:r>
        <w:rPr>
          <w:rFonts w:ascii="Times New Roman" w:cs="Times New Roman" w:eastAsia="Times New Roman" w:hAnsi="Times New Roman"/>
          <w:sz w:val="16"/>
          <w:szCs w:val="16"/>
          <w:color w:val="auto"/>
        </w:rPr>
        <w:t>On April 3, 2026, Wachtell, Lipton, Rosen &amp; Katz, legal counsel to United (“Wachtell”), delivered an initial draft of the merger agreement to Alston &amp; Bird. Following discussions between Alston &amp; Bird and</w:t>
      </w:r>
    </w:p>
    <w:p>
      <w:pPr>
        <w:spacing w:after="0" w:line="2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59"/>
        <w:spacing w:after="0" w:line="258" w:lineRule="auto"/>
        <w:rPr>
          <w:sz w:val="20"/>
          <w:szCs w:val="20"/>
          <w:color w:val="auto"/>
        </w:rPr>
      </w:pPr>
      <w:r>
        <w:rPr>
          <w:rFonts w:ascii="Times New Roman" w:cs="Times New Roman" w:eastAsia="Times New Roman" w:hAnsi="Times New Roman"/>
          <w:sz w:val="16"/>
          <w:szCs w:val="16"/>
          <w:color w:val="auto"/>
        </w:rPr>
        <w:t>Peach State regarding the terms of the proposed transaction, Alston &amp; Bird delivered its initial markup of the merger agreement to Wachtell on April 10, 2026. In the ensuing days, Peach State and United, with the assistance of their respective financial and legal advisors, negotiated the terms of the merger agreement and the related transaction documents, while continuing to address due diligence matters.</w:t>
      </w:r>
    </w:p>
    <w:p>
      <w:pPr>
        <w:spacing w:after="0" w:line="102" w:lineRule="exact"/>
        <w:rPr>
          <w:sz w:val="20"/>
          <w:szCs w:val="20"/>
          <w:color w:val="auto"/>
        </w:rPr>
      </w:pPr>
    </w:p>
    <w:p>
      <w:pPr>
        <w:ind w:left="1100" w:right="939" w:firstLine="318"/>
        <w:spacing w:after="0" w:line="252" w:lineRule="auto"/>
        <w:rPr>
          <w:sz w:val="20"/>
          <w:szCs w:val="20"/>
          <w:color w:val="auto"/>
        </w:rPr>
      </w:pPr>
      <w:r>
        <w:rPr>
          <w:rFonts w:ascii="Times New Roman" w:cs="Times New Roman" w:eastAsia="Times New Roman" w:hAnsi="Times New Roman"/>
          <w:sz w:val="16"/>
          <w:szCs w:val="16"/>
          <w:color w:val="auto"/>
        </w:rPr>
        <w:t>On April 14, 2026, the Board met with representatives of Piper Sandler and Alston &amp; Bird to review the status of negotiations and the material terms of the proposed merger. Alston &amp; Bird started the meeting by reviewing with the directors their fiduciary duties and the legal standards applicable to the decisions and actions of the Peach State directors with respect to the proposed transaction. Alston &amp; Bird then presented a summary of the material terms of the merger agreement and related documents, key open items that were still being negotiated between the parties, and answered questions about the merger agreement, ancillary documents and the proposed merger. The directors reviewed with Alston &amp; Bird the terms of the merger agreement and the merger, the voting and support agreements to be entered into with Peach State directors and executive officers, and other relevant information. After Alston &amp; Bird’s presentation, Piper Sandler reviewed its preliminary financial analyses of the proposed merger consideration.</w:t>
      </w:r>
    </w:p>
    <w:p>
      <w:pPr>
        <w:spacing w:after="0" w:line="105" w:lineRule="exact"/>
        <w:rPr>
          <w:sz w:val="20"/>
          <w:szCs w:val="20"/>
          <w:color w:val="auto"/>
        </w:rPr>
      </w:pPr>
    </w:p>
    <w:p>
      <w:pPr>
        <w:ind w:left="1100" w:right="899" w:firstLine="318"/>
        <w:spacing w:after="0" w:line="250" w:lineRule="auto"/>
        <w:rPr>
          <w:sz w:val="20"/>
          <w:szCs w:val="20"/>
          <w:color w:val="auto"/>
        </w:rPr>
      </w:pPr>
      <w:r>
        <w:rPr>
          <w:rFonts w:ascii="Times New Roman" w:cs="Times New Roman" w:eastAsia="Times New Roman" w:hAnsi="Times New Roman"/>
          <w:sz w:val="16"/>
          <w:szCs w:val="16"/>
          <w:color w:val="auto"/>
        </w:rPr>
        <w:t>On April 20, 2026, the Board convened a special meeting to consider the proposed merger. Representatives of Alston &amp; Bird reviewed with the Board the final terms of the merger agreement, including how each open item discussed at the April 14 meeting was resolved, and again reviewed with the directors their fiduciary duties and the applicable legal standards governing the Board’s decision. Piper Sandler presented its financial analyses and rendered its opinion, dated April 20, 2026, to the effect that, based upon and subject to the assumptions, procedures, qualifications and limitations set forth in its opinion, the merger consideration to be received by Peach State shareholders was fair, from a financial point of view, to such shareholders. During the presentation of Alston &amp; Bird and Piper Sandler, the Board discussed at length topics such as the election and proration mechanism to receive either United’s common stock or cash as merger consideration, each party’s termination rights, the treatment of Peach State’s outstanding options, employee retention and severance terms and other material terms in the merger agreement. After a full discussion and deliberation, including questions to Piper Sandler, Alston &amp; Bird and Peach State’s management team regarding the merger and the terms and conditions of the merger agreement, and after careful review and discussion by the Board, including consideration of the factors described below under “</w:t>
      </w:r>
      <w:r>
        <w:rPr>
          <w:rFonts w:ascii="Times New Roman" w:cs="Times New Roman" w:eastAsia="Times New Roman" w:hAnsi="Times New Roman"/>
          <w:sz w:val="16"/>
          <w:szCs w:val="16"/>
          <w:i w:val="1"/>
          <w:iCs w:val="1"/>
          <w:color w:val="auto"/>
        </w:rPr>
        <w:t>The Merger — Peach State’s Reasons for the Merger and Recommendation of the Peach State’s Board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Directors</w:t>
      </w:r>
      <w:r>
        <w:rPr>
          <w:rFonts w:ascii="Times New Roman" w:cs="Times New Roman" w:eastAsia="Times New Roman" w:hAnsi="Times New Roman"/>
          <w:sz w:val="16"/>
          <w:szCs w:val="16"/>
          <w:color w:val="auto"/>
        </w:rPr>
        <w:t>,” the Board concluded that the merger agreement, the merger and the merger of Peach State Bank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and into United Community Bank were fair to and in the best interest of Peach State and its shareholders and approved and adopted the merger agreement and the transactions contemplated thereby and recommended the Peach State shareholders approve the merger agreement. At this meeting, the Peach State Bank board of directors also approved the merger of Peach State Bank with and into United Community Bank.</w:t>
      </w:r>
    </w:p>
    <w:p>
      <w:pPr>
        <w:spacing w:after="0" w:line="289" w:lineRule="exact"/>
        <w:rPr>
          <w:sz w:val="20"/>
          <w:szCs w:val="20"/>
          <w:color w:val="auto"/>
        </w:rPr>
      </w:pPr>
    </w:p>
    <w:p>
      <w:pPr>
        <w:ind w:left="1100" w:right="1019" w:firstLine="318"/>
        <w:spacing w:after="0" w:line="279" w:lineRule="auto"/>
        <w:rPr>
          <w:sz w:val="20"/>
          <w:szCs w:val="20"/>
          <w:color w:val="auto"/>
        </w:rPr>
      </w:pPr>
      <w:r>
        <w:rPr>
          <w:rFonts w:ascii="Times New Roman" w:cs="Times New Roman" w:eastAsia="Times New Roman" w:hAnsi="Times New Roman"/>
          <w:sz w:val="16"/>
          <w:szCs w:val="16"/>
          <w:color w:val="auto"/>
        </w:rPr>
        <w:t>The merger agreement was executed by Peach State and United on April 20, 2026, and the transaction was publicly announced prior to the opening of the financial markets on April 21, 2026.</w:t>
      </w: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Peach State’s Reasons for the Merger and Recommendation of the Peach State’s Board of Directors</w:t>
      </w:r>
    </w:p>
    <w:p>
      <w:pPr>
        <w:spacing w:after="0" w:line="140" w:lineRule="exact"/>
        <w:rPr>
          <w:sz w:val="20"/>
          <w:szCs w:val="20"/>
          <w:color w:val="auto"/>
        </w:rPr>
      </w:pPr>
    </w:p>
    <w:p>
      <w:pPr>
        <w:ind w:left="1100" w:right="899" w:firstLine="318"/>
        <w:spacing w:after="0" w:line="251" w:lineRule="auto"/>
        <w:rPr>
          <w:sz w:val="20"/>
          <w:szCs w:val="20"/>
          <w:color w:val="auto"/>
        </w:rPr>
      </w:pPr>
      <w:r>
        <w:rPr>
          <w:rFonts w:ascii="Times New Roman" w:cs="Times New Roman" w:eastAsia="Times New Roman" w:hAnsi="Times New Roman"/>
          <w:sz w:val="16"/>
          <w:szCs w:val="16"/>
          <w:color w:val="auto"/>
        </w:rPr>
        <w:t>After careful consideration, Peach State’ board of directors, at a meeting held on April 20, 2026, determined that the merger agreement and the transactions contemplated thereby are advisable, fair to and in the best interests of Peach State and its shareholders. Accordingly, Peach State’s board of directors adopted and approved the merger agreement and the merger and the other transactions contemplated by the merger agreement and recommends that Peach State shareholders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approval of the merger agreement. In reaching its decision to adopt and approve the merger agreement and the merger and the other transactions contemplated by the merger agreement, and to recommend that Peach State shareholders approve the merger agreement, the Peach State board of directors evaluated the merger and the merger agreement in consultation with Peach State’ management, as well as its financial and legal advisors, and considered a number of factors, including the following material factors (which are not presented in order of priority):</w:t>
      </w:r>
    </w:p>
    <w:p>
      <w:pPr>
        <w:spacing w:after="0" w:line="268" w:lineRule="exact"/>
        <w:rPr>
          <w:sz w:val="20"/>
          <w:szCs w:val="20"/>
          <w:color w:val="auto"/>
        </w:rPr>
      </w:pPr>
    </w:p>
    <w:p>
      <w:pPr>
        <w:ind w:left="1580" w:right="999" w:hanging="160"/>
        <w:spacing w:after="0" w:line="271" w:lineRule="auto"/>
        <w:tabs>
          <w:tab w:leader="none" w:pos="1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Peach State’s, United’s and the combined company’s business, operations, financial condition, asset quality, earnings and prospects. In reviewing these factors, the Peach State board of directors</w:t>
      </w:r>
    </w:p>
    <w:p>
      <w:pPr>
        <w:spacing w:after="0" w:line="200" w:lineRule="exact"/>
        <w:rPr>
          <w:sz w:val="20"/>
          <w:szCs w:val="20"/>
          <w:color w:val="auto"/>
        </w:rPr>
      </w:pPr>
    </w:p>
    <w:p>
      <w:pPr>
        <w:spacing w:after="0" w:line="30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80" w:right="1019"/>
        <w:spacing w:after="0" w:line="279" w:lineRule="auto"/>
        <w:rPr>
          <w:sz w:val="20"/>
          <w:szCs w:val="20"/>
          <w:color w:val="auto"/>
        </w:rPr>
      </w:pPr>
      <w:r>
        <w:rPr>
          <w:rFonts w:ascii="Times New Roman" w:cs="Times New Roman" w:eastAsia="Times New Roman" w:hAnsi="Times New Roman"/>
          <w:sz w:val="16"/>
          <w:szCs w:val="16"/>
          <w:color w:val="auto"/>
        </w:rPr>
        <w:t>considered its view that United’s business and operations complement those of Peach State and that the merger would result in a combined company with diversified revenue sources,</w:t>
      </w:r>
    </w:p>
    <w:p>
      <w:pPr>
        <w:spacing w:after="0" w:line="37" w:lineRule="exact"/>
        <w:rPr>
          <w:sz w:val="20"/>
          <w:szCs w:val="20"/>
          <w:color w:val="auto"/>
        </w:rPr>
      </w:pPr>
    </w:p>
    <w:p>
      <w:pPr>
        <w:ind w:left="1580" w:right="1079" w:hanging="160"/>
        <w:spacing w:after="0" w:line="279"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Board’s expectation that the combined company would have a well-balanced loan portfolio and an attractive funding base, as evidenced by a significant portion of core deposit funding;</w:t>
      </w:r>
    </w:p>
    <w:p>
      <w:pPr>
        <w:spacing w:after="0" w:line="36" w:lineRule="exact"/>
        <w:rPr>
          <w:rFonts w:ascii="Times New Roman" w:cs="Times New Roman" w:eastAsia="Times New Roman" w:hAnsi="Times New Roman"/>
          <w:sz w:val="16"/>
          <w:szCs w:val="16"/>
          <w:color w:val="auto"/>
        </w:rPr>
      </w:pPr>
    </w:p>
    <w:p>
      <w:pPr>
        <w:ind w:left="1580" w:right="1019" w:hanging="160"/>
        <w:spacing w:after="0" w:line="256"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understanding of the current and prospective environment in which Peach State and United operate, including national and local economic conditions, the interest rate environment, increasing operating costs resulting from regulatory initiatives and compliance mandates, the competitive environment for financial institutions generally, and the likely effect of these factors on Peach State both with and without the proposed transaction;</w:t>
      </w:r>
    </w:p>
    <w:p>
      <w:pPr>
        <w:spacing w:after="0" w:line="67" w:lineRule="exact"/>
        <w:rPr>
          <w:rFonts w:ascii="Times New Roman" w:cs="Times New Roman" w:eastAsia="Times New Roman" w:hAnsi="Times New Roman"/>
          <w:sz w:val="16"/>
          <w:szCs w:val="16"/>
          <w:color w:val="auto"/>
        </w:rPr>
      </w:pPr>
    </w:p>
    <w:p>
      <w:pPr>
        <w:ind w:left="1580" w:right="919" w:hanging="160"/>
        <w:spacing w:after="0" w:line="256"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process through which the Peach State board of directors, with the assistance of management and its financial and legal advisors, evaluated strategic alternatives available to Peach State over an extended period of time, including an evaluation of Peach State’s standalone plan and consideration of other potential strategic transactions, and the Peach State board of directors’ determination that no alternative was as strategically and financially compelling as the merger with United;</w:t>
      </w:r>
    </w:p>
    <w:p>
      <w:pPr>
        <w:spacing w:after="0" w:line="55" w:lineRule="exact"/>
        <w:rPr>
          <w:rFonts w:ascii="Times New Roman" w:cs="Times New Roman" w:eastAsia="Times New Roman" w:hAnsi="Times New Roman"/>
          <w:sz w:val="16"/>
          <w:szCs w:val="16"/>
          <w:color w:val="auto"/>
        </w:rPr>
      </w:pPr>
    </w:p>
    <w:p>
      <w:pPr>
        <w:ind w:left="1580" w:right="1059" w:hanging="160"/>
        <w:spacing w:after="0" w:line="279"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consideration to be received by Peach State shareholders in the merger relative to Peach State’s financial condition, earnings and prospects;</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performance of United common stock;</w:t>
      </w:r>
    </w:p>
    <w:p>
      <w:pPr>
        <w:spacing w:after="0" w:line="101" w:lineRule="exact"/>
        <w:rPr>
          <w:rFonts w:ascii="Times New Roman" w:cs="Times New Roman" w:eastAsia="Times New Roman" w:hAnsi="Times New Roman"/>
          <w:sz w:val="16"/>
          <w:szCs w:val="16"/>
          <w:color w:val="auto"/>
        </w:rPr>
      </w:pPr>
    </w:p>
    <w:p>
      <w:pPr>
        <w:ind w:left="1580" w:right="1619" w:hanging="160"/>
        <w:spacing w:after="0" w:line="279"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Peach State shareholders will have the ability to elect whether to receive cash or stock consideration in the merger, subject to proration;</w:t>
      </w:r>
    </w:p>
    <w:p>
      <w:pPr>
        <w:spacing w:after="0" w:line="36" w:lineRule="exact"/>
        <w:rPr>
          <w:rFonts w:ascii="Times New Roman" w:cs="Times New Roman" w:eastAsia="Times New Roman" w:hAnsi="Times New Roman"/>
          <w:sz w:val="16"/>
          <w:szCs w:val="16"/>
          <w:color w:val="auto"/>
        </w:rPr>
      </w:pPr>
    </w:p>
    <w:p>
      <w:pPr>
        <w:ind w:left="1580" w:right="1019" w:hanging="160"/>
        <w:spacing w:after="0" w:line="279"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liquidity that will be received by Peach State shareholders through receipt of the cash or NYSE-listed shares of United common stock;</w:t>
      </w:r>
    </w:p>
    <w:p>
      <w:pPr>
        <w:spacing w:after="0" w:line="48" w:lineRule="exact"/>
        <w:rPr>
          <w:rFonts w:ascii="Times New Roman" w:cs="Times New Roman" w:eastAsia="Times New Roman" w:hAnsi="Times New Roman"/>
          <w:sz w:val="16"/>
          <w:szCs w:val="16"/>
          <w:color w:val="auto"/>
        </w:rPr>
      </w:pPr>
    </w:p>
    <w:p>
      <w:pPr>
        <w:ind w:left="1580" w:right="1179" w:hanging="160"/>
        <w:spacing w:after="0" w:line="263"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a portion of the merger consideration will consist of shares of United common stock, which will allow Peach State shareholders who receive stock consideration to participate in the future performance of the combined company and any synergies resulting from the merger;</w:t>
      </w:r>
    </w:p>
    <w:p>
      <w:pPr>
        <w:spacing w:after="0" w:line="50" w:lineRule="exact"/>
        <w:rPr>
          <w:rFonts w:ascii="Times New Roman" w:cs="Times New Roman" w:eastAsia="Times New Roman" w:hAnsi="Times New Roman"/>
          <w:sz w:val="16"/>
          <w:szCs w:val="16"/>
          <w:color w:val="auto"/>
        </w:rPr>
      </w:pPr>
    </w:p>
    <w:p>
      <w:pPr>
        <w:jc w:val="both"/>
        <w:ind w:left="1580" w:right="979" w:hanging="160"/>
        <w:spacing w:after="0" w:line="263"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that Peach State could expect to achieve operating independently, and the likely risks and benefits to Peach State shareholders of that course of action, as compared to the value of the merger consideration to be received from United;</w:t>
      </w:r>
    </w:p>
    <w:p>
      <w:pPr>
        <w:spacing w:after="0" w:line="62" w:lineRule="exact"/>
        <w:rPr>
          <w:rFonts w:ascii="Times New Roman" w:cs="Times New Roman" w:eastAsia="Times New Roman" w:hAnsi="Times New Roman"/>
          <w:sz w:val="16"/>
          <w:szCs w:val="16"/>
          <w:color w:val="auto"/>
        </w:rPr>
      </w:pPr>
    </w:p>
    <w:p>
      <w:pPr>
        <w:ind w:left="1580" w:right="959" w:hanging="160"/>
        <w:spacing w:after="0" w:line="256"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view that the size of the institution and related economies of scale were becoming increasingly important to continued success in the current financial services environment, including the increased expenses of regulatory compliance, and that a merger with a larger bank holding company could provide those economies of scale, increase efficiencies of operations and enhance customer products and services;</w:t>
      </w:r>
    </w:p>
    <w:p>
      <w:pPr>
        <w:spacing w:after="0" w:line="67" w:lineRule="exact"/>
        <w:rPr>
          <w:rFonts w:ascii="Times New Roman" w:cs="Times New Roman" w:eastAsia="Times New Roman" w:hAnsi="Times New Roman"/>
          <w:sz w:val="16"/>
          <w:szCs w:val="16"/>
          <w:color w:val="auto"/>
        </w:rPr>
      </w:pPr>
    </w:p>
    <w:p>
      <w:pPr>
        <w:ind w:left="1580" w:right="1019" w:hanging="160"/>
        <w:spacing w:after="0" w:line="263"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anticipated cost savings and operating efficiencies expected to result from the elimination of duplicative functions, reduced payments to vendors and third-party service providers, and enhanced scale while maintaining responsiveness to evolving compliance and regulatory requirements;</w:t>
      </w:r>
    </w:p>
    <w:p>
      <w:pPr>
        <w:spacing w:after="0" w:line="50" w:lineRule="exact"/>
        <w:rPr>
          <w:rFonts w:ascii="Times New Roman" w:cs="Times New Roman" w:eastAsia="Times New Roman" w:hAnsi="Times New Roman"/>
          <w:sz w:val="16"/>
          <w:szCs w:val="16"/>
          <w:color w:val="auto"/>
        </w:rPr>
      </w:pPr>
    </w:p>
    <w:p>
      <w:pPr>
        <w:ind w:left="1580" w:right="1019" w:hanging="160"/>
        <w:spacing w:after="0" w:line="279"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complementary nature of the cultures of the two companies, which management believes should facilitate integration and implementation of the transaction;</w:t>
      </w:r>
    </w:p>
    <w:p>
      <w:pPr>
        <w:spacing w:after="0" w:line="48" w:lineRule="exact"/>
        <w:rPr>
          <w:rFonts w:ascii="Times New Roman" w:cs="Times New Roman" w:eastAsia="Times New Roman" w:hAnsi="Times New Roman"/>
          <w:sz w:val="16"/>
          <w:szCs w:val="16"/>
          <w:color w:val="auto"/>
        </w:rPr>
      </w:pPr>
    </w:p>
    <w:p>
      <w:pPr>
        <w:ind w:left="1580" w:right="1139" w:hanging="160"/>
        <w:spacing w:after="0" w:line="263"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Peach State’s due diligence review of United, including the Peach State board of directors’ assessment of United’s reputation, management, business practices, financial condition, risk profile and strategic objectives;</w:t>
      </w:r>
    </w:p>
    <w:p>
      <w:pPr>
        <w:spacing w:after="0" w:line="62" w:lineRule="exact"/>
        <w:rPr>
          <w:rFonts w:ascii="Times New Roman" w:cs="Times New Roman" w:eastAsia="Times New Roman" w:hAnsi="Times New Roman"/>
          <w:sz w:val="16"/>
          <w:szCs w:val="16"/>
          <w:color w:val="auto"/>
        </w:rPr>
      </w:pPr>
    </w:p>
    <w:p>
      <w:pPr>
        <w:ind w:left="1580" w:right="1339" w:hanging="160"/>
        <w:spacing w:after="0" w:line="279"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management’s expectation that the combined company will have a strong capital position upon completion of the transaction;</w:t>
      </w:r>
    </w:p>
    <w:p>
      <w:pPr>
        <w:spacing w:after="0" w:line="36" w:lineRule="exact"/>
        <w:rPr>
          <w:rFonts w:ascii="Times New Roman" w:cs="Times New Roman" w:eastAsia="Times New Roman" w:hAnsi="Times New Roman"/>
          <w:sz w:val="16"/>
          <w:szCs w:val="16"/>
          <w:color w:val="auto"/>
        </w:rPr>
      </w:pPr>
    </w:p>
    <w:p>
      <w:pPr>
        <w:jc w:val="both"/>
        <w:ind w:left="1580" w:right="1419" w:hanging="160"/>
        <w:spacing w:after="0" w:line="263"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merger is expected to result in a combined company with greater financial resources, enhanced lending capabilities and an improved ability to serve customers and communities as compared to Peach State on a standalone basis;</w:t>
      </w:r>
    </w:p>
    <w:p>
      <w:pPr>
        <w:spacing w:after="0" w:line="62"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belief that the transaction is likely to provide substantial value to Peach State’ shareholders;</w:t>
      </w:r>
    </w:p>
    <w:p>
      <w:pPr>
        <w:spacing w:after="0" w:line="101" w:lineRule="exact"/>
        <w:rPr>
          <w:rFonts w:ascii="Times New Roman" w:cs="Times New Roman" w:eastAsia="Times New Roman" w:hAnsi="Times New Roman"/>
          <w:sz w:val="16"/>
          <w:szCs w:val="16"/>
          <w:color w:val="auto"/>
        </w:rPr>
      </w:pPr>
    </w:p>
    <w:p>
      <w:pPr>
        <w:ind w:left="1580" w:right="979" w:hanging="160"/>
        <w:spacing w:after="0" w:line="271"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analyses of Piper, Peach State’s financial advisor, and the opinion delivered by Piper to Peach State’s board of directors on April 20, 2026, to the effect that, as of the date of such opinion, and</w:t>
      </w:r>
    </w:p>
    <w:p>
      <w:pPr>
        <w:spacing w:after="0" w:line="200" w:lineRule="exact"/>
        <w:rPr>
          <w:sz w:val="20"/>
          <w:szCs w:val="20"/>
          <w:color w:val="auto"/>
        </w:rPr>
      </w:pPr>
    </w:p>
    <w:p>
      <w:pPr>
        <w:spacing w:after="0" w:line="30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80" w:right="1019"/>
        <w:spacing w:after="0" w:line="248" w:lineRule="auto"/>
        <w:rPr>
          <w:sz w:val="20"/>
          <w:szCs w:val="20"/>
          <w:color w:val="auto"/>
        </w:rPr>
      </w:pPr>
      <w:r>
        <w:rPr>
          <w:rFonts w:ascii="Times New Roman" w:cs="Times New Roman" w:eastAsia="Times New Roman" w:hAnsi="Times New Roman"/>
          <w:sz w:val="16"/>
          <w:szCs w:val="16"/>
          <w:color w:val="auto"/>
        </w:rPr>
        <w:t>subject to the procedures followed, assumptions made, matters considered, and qualifications and limitations on the review undertaken by Piper as set forth in its opinion, the merger consideration is fair from a financial point of view, to the holders of Peach State common stock, as more fully described in the section entitled “The Merger — Opinion of Peach State’s Financial Advisor”;</w:t>
      </w:r>
    </w:p>
    <w:p>
      <w:pPr>
        <w:spacing w:after="0" w:line="61" w:lineRule="exact"/>
        <w:rPr>
          <w:sz w:val="20"/>
          <w:szCs w:val="20"/>
          <w:color w:val="auto"/>
        </w:rPr>
      </w:pPr>
    </w:p>
    <w:p>
      <w:pPr>
        <w:ind w:left="1580" w:right="919" w:hanging="160"/>
        <w:spacing w:after="0" w:line="256" w:lineRule="auto"/>
        <w:tabs>
          <w:tab w:leader="none" w:pos="1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and other terms of the merger agreement, the expected tax treatment and deal protection provisions, including the ability of Peach State’s board of directors, under certain circumstances, to withdraw or materially adversely modify its recommendation to Peach State shareholders that they approve the merger agreement (subject to payment of a termination fee), each of which it reviewed with its outside financial and legal advisors;</w:t>
      </w:r>
    </w:p>
    <w:p>
      <w:pPr>
        <w:spacing w:after="0" w:line="67"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merger of Peach State’s employees, customers and the communities it serves;</w:t>
      </w:r>
    </w:p>
    <w:p>
      <w:pPr>
        <w:spacing w:after="0" w:line="101" w:lineRule="exact"/>
        <w:rPr>
          <w:rFonts w:ascii="Times New Roman" w:cs="Times New Roman" w:eastAsia="Times New Roman" w:hAnsi="Times New Roman"/>
          <w:sz w:val="16"/>
          <w:szCs w:val="16"/>
          <w:color w:val="auto"/>
        </w:rPr>
      </w:pPr>
    </w:p>
    <w:p>
      <w:pPr>
        <w:ind w:left="1580" w:right="959" w:hanging="160"/>
        <w:spacing w:after="0" w:line="258" w:lineRule="auto"/>
        <w:tabs>
          <w:tab w:leader="none" w:pos="1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Peach State’ directors and executive officers have financial interests in the merger in addition to their interests as Peach State shareholders, including financial interests that are the result of compensation arrangements with Peach State, and the manner in which such interests would be affected by the merger;</w:t>
      </w:r>
    </w:p>
    <w:p>
      <w:pPr>
        <w:spacing w:after="0" w:line="66" w:lineRule="exact"/>
        <w:rPr>
          <w:rFonts w:ascii="Times New Roman" w:cs="Times New Roman" w:eastAsia="Times New Roman" w:hAnsi="Times New Roman"/>
          <w:sz w:val="16"/>
          <w:szCs w:val="16"/>
          <w:color w:val="auto"/>
        </w:rPr>
      </w:pPr>
    </w:p>
    <w:p>
      <w:pPr>
        <w:ind w:left="1580" w:right="1119" w:hanging="160"/>
        <w:spacing w:after="0" w:line="263" w:lineRule="auto"/>
        <w:tabs>
          <w:tab w:leader="none" w:pos="1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and other approvals required in connection with the merger and the expectation that such regulatory approvals will be received in a timely manner and without the imposition of unacceptable conditions;</w:t>
      </w:r>
    </w:p>
    <w:p>
      <w:pPr>
        <w:spacing w:after="0" w:line="62" w:lineRule="exact"/>
        <w:rPr>
          <w:rFonts w:ascii="Times New Roman" w:cs="Times New Roman" w:eastAsia="Times New Roman" w:hAnsi="Times New Roman"/>
          <w:sz w:val="16"/>
          <w:szCs w:val="16"/>
          <w:color w:val="auto"/>
        </w:rPr>
      </w:pPr>
    </w:p>
    <w:p>
      <w:pPr>
        <w:ind w:left="1580" w:right="1059" w:hanging="160"/>
        <w:spacing w:after="0" w:line="258" w:lineRule="auto"/>
        <w:tabs>
          <w:tab w:leader="none" w:pos="1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consideration in the form of United common stock will generally be tax-free to Peach State shareholders based on the expected tax treatment of the merger as a “reorganization” for U.S. federal income tax purposes, as further described under “Material U.S. Federal Income Tax Consequences of the Merger”; and</w:t>
      </w:r>
    </w:p>
    <w:p>
      <w:pPr>
        <w:spacing w:after="0" w:line="66" w:lineRule="exact"/>
        <w:rPr>
          <w:rFonts w:ascii="Times New Roman" w:cs="Times New Roman" w:eastAsia="Times New Roman" w:hAnsi="Times New Roman"/>
          <w:sz w:val="16"/>
          <w:szCs w:val="16"/>
          <w:color w:val="auto"/>
        </w:rPr>
      </w:pPr>
    </w:p>
    <w:p>
      <w:pPr>
        <w:ind w:left="1580" w:right="1019" w:hanging="160"/>
        <w:spacing w:after="0" w:line="279" w:lineRule="auto"/>
        <w:tabs>
          <w:tab w:leader="none" w:pos="1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greater liquidity in the trading market for United common stock relative to the market for Peach State common stock due to the listing of United’s shares on the NYSE.</w:t>
      </w:r>
    </w:p>
    <w:p>
      <w:pPr>
        <w:spacing w:after="0" w:line="73" w:lineRule="exact"/>
        <w:rPr>
          <w:sz w:val="20"/>
          <w:szCs w:val="20"/>
          <w:color w:val="auto"/>
        </w:rPr>
      </w:pPr>
    </w:p>
    <w:p>
      <w:pPr>
        <w:jc w:val="both"/>
        <w:ind w:left="1100" w:right="1439" w:firstLine="318"/>
        <w:spacing w:after="0" w:line="256" w:lineRule="auto"/>
        <w:rPr>
          <w:sz w:val="20"/>
          <w:szCs w:val="20"/>
          <w:color w:val="auto"/>
        </w:rPr>
      </w:pPr>
      <w:r>
        <w:rPr>
          <w:rFonts w:ascii="Times New Roman" w:cs="Times New Roman" w:eastAsia="Times New Roman" w:hAnsi="Times New Roman"/>
          <w:sz w:val="16"/>
          <w:szCs w:val="16"/>
          <w:color w:val="auto"/>
        </w:rPr>
        <w:t>The Peach State board of directors also considered a number of potential risks and uncertainties associated with the merger in connection with its deliberation of the proposed transaction, including, without limitation, the following:</w:t>
      </w:r>
    </w:p>
    <w:p>
      <w:pPr>
        <w:spacing w:after="0" w:line="55" w:lineRule="exact"/>
        <w:rPr>
          <w:sz w:val="20"/>
          <w:szCs w:val="20"/>
          <w:color w:val="auto"/>
        </w:rPr>
      </w:pPr>
    </w:p>
    <w:p>
      <w:pPr>
        <w:ind w:left="1580" w:right="1499" w:hanging="160"/>
        <w:spacing w:after="0" w:line="279" w:lineRule="auto"/>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the merger may not be consummated or that the closing may be unduly delayed, including as a result of factors outside either party’s control;</w:t>
      </w:r>
    </w:p>
    <w:p>
      <w:pPr>
        <w:spacing w:after="0" w:line="48" w:lineRule="exact"/>
        <w:rPr>
          <w:rFonts w:ascii="Times New Roman" w:cs="Times New Roman" w:eastAsia="Times New Roman" w:hAnsi="Times New Roman"/>
          <w:sz w:val="16"/>
          <w:szCs w:val="16"/>
          <w:color w:val="auto"/>
        </w:rPr>
      </w:pPr>
    </w:p>
    <w:p>
      <w:pPr>
        <w:ind w:left="1580" w:right="899" w:hanging="160"/>
        <w:spacing w:after="0" w:line="261" w:lineRule="auto"/>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risk of diverting management attention and resources from the operation of Peach State’s business and towards the completion of the merger and the possibility of employee attrition or adverse effects on client and business relationships as a result of the announcement and pendency of the merger;</w:t>
      </w:r>
    </w:p>
    <w:p>
      <w:pPr>
        <w:spacing w:after="0" w:line="257" w:lineRule="exact"/>
        <w:rPr>
          <w:rFonts w:ascii="Times New Roman" w:cs="Times New Roman" w:eastAsia="Times New Roman" w:hAnsi="Times New Roman"/>
          <w:sz w:val="16"/>
          <w:szCs w:val="16"/>
          <w:color w:val="auto"/>
        </w:rPr>
      </w:pPr>
    </w:p>
    <w:p>
      <w:pPr>
        <w:ind w:left="1580" w:right="939" w:hanging="160"/>
        <w:spacing w:after="0" w:line="261" w:lineRule="auto"/>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Peach State conduct its business in the ordinary course and the other restrictions on the conduct of Peach State’s business prior to the completion of the merger, which may delay or prevent Peach State from undertaking business opportunities that may arise pending completion of the merger;</w:t>
      </w:r>
    </w:p>
    <w:p>
      <w:pPr>
        <w:spacing w:after="0" w:line="257" w:lineRule="exact"/>
        <w:rPr>
          <w:rFonts w:ascii="Times New Roman" w:cs="Times New Roman" w:eastAsia="Times New Roman" w:hAnsi="Times New Roman"/>
          <w:sz w:val="16"/>
          <w:szCs w:val="16"/>
          <w:color w:val="auto"/>
        </w:rPr>
      </w:pPr>
    </w:p>
    <w:p>
      <w:pPr>
        <w:ind w:left="1580" w:right="1499" w:hanging="160"/>
        <w:spacing w:after="0" w:line="279" w:lineRule="auto"/>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under the merger agreement, subject to certain exceptions, Peach State cannot engage in discussions regarding competing acquisition proposals;</w:t>
      </w:r>
    </w:p>
    <w:p>
      <w:pPr>
        <w:spacing w:after="0" w:line="48" w:lineRule="exact"/>
        <w:rPr>
          <w:rFonts w:ascii="Times New Roman" w:cs="Times New Roman" w:eastAsia="Times New Roman" w:hAnsi="Times New Roman"/>
          <w:sz w:val="16"/>
          <w:szCs w:val="16"/>
          <w:color w:val="auto"/>
        </w:rPr>
      </w:pPr>
    </w:p>
    <w:p>
      <w:pPr>
        <w:ind w:left="1580" w:right="899" w:hanging="160"/>
        <w:spacing w:after="0" w:line="263" w:lineRule="auto"/>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risks associated with achieving anticipated cost synergies and savings and successfully integrating Peach State’ business, operations and workforce with those of United and the risk of not realizing all of the anticipated benefits of the merger or not realizing them in the expected timeframe;</w:t>
      </w:r>
    </w:p>
    <w:p>
      <w:pPr>
        <w:spacing w:after="0" w:line="62" w:lineRule="exact"/>
        <w:rPr>
          <w:rFonts w:ascii="Times New Roman" w:cs="Times New Roman" w:eastAsia="Times New Roman" w:hAnsi="Times New Roman"/>
          <w:sz w:val="16"/>
          <w:szCs w:val="16"/>
          <w:color w:val="auto"/>
        </w:rPr>
      </w:pPr>
    </w:p>
    <w:p>
      <w:pPr>
        <w:ind w:left="1580" w:right="979" w:hanging="160"/>
        <w:spacing w:after="0" w:line="279" w:lineRule="auto"/>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Peach State will have to pay a $3,570,000 termination fee to United if the merger agreement is terminated under certain circumstances;</w:t>
      </w:r>
    </w:p>
    <w:p>
      <w:pPr>
        <w:spacing w:after="0" w:line="48" w:lineRule="exact"/>
        <w:rPr>
          <w:rFonts w:ascii="Times New Roman" w:cs="Times New Roman" w:eastAsia="Times New Roman" w:hAnsi="Times New Roman"/>
          <w:sz w:val="16"/>
          <w:szCs w:val="16"/>
          <w:color w:val="auto"/>
        </w:rPr>
      </w:pPr>
    </w:p>
    <w:p>
      <w:pPr>
        <w:ind w:left="1580" w:right="1099" w:hanging="160"/>
        <w:spacing w:after="0" w:line="263" w:lineRule="auto"/>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for a decline in the value of United common stock, whether before or after consummation of the merger, which could reduce the value of the consideration received by Peach State shareholders;</w:t>
      </w:r>
    </w:p>
    <w:p>
      <w:pPr>
        <w:spacing w:after="0" w:line="62" w:lineRule="exact"/>
        <w:rPr>
          <w:rFonts w:ascii="Times New Roman" w:cs="Times New Roman" w:eastAsia="Times New Roman" w:hAnsi="Times New Roman"/>
          <w:sz w:val="16"/>
          <w:szCs w:val="16"/>
          <w:color w:val="auto"/>
        </w:rPr>
      </w:pPr>
    </w:p>
    <w:p>
      <w:pPr>
        <w:ind w:left="1580" w:right="999" w:hanging="160"/>
        <w:spacing w:after="0" w:line="279" w:lineRule="auto"/>
        <w:tabs>
          <w:tab w:leader="none" w:pos="1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Peach State shareholders will not know the exact market value of the merger consideration they will receive or the form of consideration that they will receive until the merger is completed;</w:t>
      </w:r>
    </w:p>
    <w:p>
      <w:pPr>
        <w:spacing w:after="0" w:line="2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80" w:hanging="160"/>
        <w:spacing w:after="0"/>
        <w:tabs>
          <w:tab w:leader="none" w:pos="1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 costs and expenses that Peach State will incur in connection with the merger;</w:t>
      </w:r>
    </w:p>
    <w:p>
      <w:pPr>
        <w:spacing w:after="0" w:line="101" w:lineRule="exact"/>
        <w:rPr>
          <w:rFonts w:ascii="Times New Roman" w:cs="Times New Roman" w:eastAsia="Times New Roman" w:hAnsi="Times New Roman"/>
          <w:sz w:val="16"/>
          <w:szCs w:val="16"/>
          <w:color w:val="auto"/>
        </w:rPr>
      </w:pPr>
    </w:p>
    <w:p>
      <w:pPr>
        <w:ind w:left="1580" w:right="1119" w:hanging="160"/>
        <w:spacing w:after="0" w:line="279" w:lineRule="auto"/>
        <w:tabs>
          <w:tab w:leader="none" w:pos="1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regulatory authorities could impose conditions that could delay, restrict or prevent the consummation of the merger;</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risks and costs to Peach State if the merger is not completed; and</w:t>
      </w:r>
    </w:p>
    <w:p>
      <w:pPr>
        <w:spacing w:after="0" w:line="101" w:lineRule="exact"/>
        <w:rPr>
          <w:rFonts w:ascii="Times New Roman" w:cs="Times New Roman" w:eastAsia="Times New Roman" w:hAnsi="Times New Roman"/>
          <w:sz w:val="16"/>
          <w:szCs w:val="16"/>
          <w:color w:val="auto"/>
        </w:rPr>
      </w:pPr>
    </w:p>
    <w:p>
      <w:pPr>
        <w:ind w:left="1580" w:right="1419" w:hanging="160"/>
        <w:spacing w:after="0" w:line="279" w:lineRule="auto"/>
        <w:tabs>
          <w:tab w:leader="none" w:pos="1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risks under the sections entitled “Cautionary Statement Regarding Forward-Looking Statements” and “Risk Factors.”</w:t>
      </w:r>
    </w:p>
    <w:p>
      <w:pPr>
        <w:spacing w:after="0" w:line="84" w:lineRule="exact"/>
        <w:rPr>
          <w:sz w:val="20"/>
          <w:szCs w:val="20"/>
          <w:color w:val="auto"/>
        </w:rPr>
      </w:pPr>
    </w:p>
    <w:p>
      <w:pPr>
        <w:ind w:left="1100" w:right="1099" w:firstLine="318"/>
        <w:spacing w:after="0" w:line="253" w:lineRule="auto"/>
        <w:rPr>
          <w:sz w:val="20"/>
          <w:szCs w:val="20"/>
          <w:color w:val="auto"/>
        </w:rPr>
      </w:pPr>
      <w:r>
        <w:rPr>
          <w:rFonts w:ascii="Times New Roman" w:cs="Times New Roman" w:eastAsia="Times New Roman" w:hAnsi="Times New Roman"/>
          <w:sz w:val="16"/>
          <w:szCs w:val="16"/>
          <w:color w:val="auto"/>
        </w:rPr>
        <w:t>In considering the recommendation of the Peach State board of directors, you should be aware that certain directors and officers of Peach State may have interests in the merger that are different from, or in addition to, interests of Peach State shareholders generally and may create potential conflicts of interest. The Peach State board of directors was aware of these interests and considered them when evaluating and negotiating the merger agreement, the merger and the other transactions contemplated by the merger agreement, and in recommending to Peach State’ shareholders that they vote in favor of the proposal to approve the merger agreement. See “Interests of Peach State’s Directors and Executive Officers in the Merger.”</w:t>
      </w:r>
    </w:p>
    <w:p>
      <w:pPr>
        <w:spacing w:after="0" w:line="92" w:lineRule="exact"/>
        <w:rPr>
          <w:sz w:val="20"/>
          <w:szCs w:val="20"/>
          <w:color w:val="auto"/>
        </w:rPr>
      </w:pPr>
    </w:p>
    <w:p>
      <w:pPr>
        <w:ind w:left="1100" w:right="939" w:firstLine="318"/>
        <w:spacing w:after="0" w:line="253" w:lineRule="auto"/>
        <w:rPr>
          <w:sz w:val="20"/>
          <w:szCs w:val="20"/>
          <w:color w:val="auto"/>
        </w:rPr>
      </w:pPr>
      <w:r>
        <w:rPr>
          <w:rFonts w:ascii="Times New Roman" w:cs="Times New Roman" w:eastAsia="Times New Roman" w:hAnsi="Times New Roman"/>
          <w:sz w:val="16"/>
          <w:szCs w:val="16"/>
          <w:color w:val="auto"/>
        </w:rPr>
        <w:t>The foregoing discussion of the factors considered by the Peach State board of directors is not intended to be exhaustive, but, rather, includes the material factors considered by the Peach State board of directors. In reaching its decision to adopt and approve the merger agreement and the merger and the other transactions contemplated by the merger agreement, the Peach State board of directors did not quantify or assign any relative weights to the factors considered, and individual directors may have given different weights to different factors. The Peach State board of directors considered all these factors as a whole, including discussions with, and questioning of, Peach State’s management and Peach State’s financial and legal advisors, and overall considered the factors to be favorable to, and to support, its determination.</w:t>
      </w:r>
    </w:p>
    <w:p>
      <w:pPr>
        <w:spacing w:after="0" w:line="102" w:lineRule="exact"/>
        <w:rPr>
          <w:sz w:val="20"/>
          <w:szCs w:val="20"/>
          <w:color w:val="auto"/>
        </w:rPr>
      </w:pPr>
    </w:p>
    <w:p>
      <w:pPr>
        <w:ind w:left="1100" w:right="1059" w:firstLine="318"/>
        <w:spacing w:after="0" w:line="265" w:lineRule="auto"/>
        <w:rPr>
          <w:sz w:val="20"/>
          <w:szCs w:val="20"/>
          <w:color w:val="auto"/>
        </w:rPr>
      </w:pPr>
      <w:r>
        <w:rPr>
          <w:rFonts w:ascii="Times New Roman" w:cs="Times New Roman" w:eastAsia="Times New Roman" w:hAnsi="Times New Roman"/>
          <w:sz w:val="16"/>
          <w:szCs w:val="16"/>
          <w:b w:val="1"/>
          <w:bCs w:val="1"/>
          <w:color w:val="auto"/>
        </w:rPr>
        <w:t>For the reasons set forth above, the Peach State board of directors has adopted and approved the merger agreement and the transactions contemplated thereby and recommends that you vote “FOR” the merger proposal and “FOR” the adjournment proposal.</w:t>
      </w:r>
    </w:p>
    <w:p>
      <w:pPr>
        <w:spacing w:after="0" w:line="95" w:lineRule="exact"/>
        <w:rPr>
          <w:sz w:val="20"/>
          <w:szCs w:val="20"/>
          <w:color w:val="auto"/>
        </w:rPr>
      </w:pPr>
    </w:p>
    <w:p>
      <w:pPr>
        <w:ind w:left="1100" w:right="1059" w:firstLine="318"/>
        <w:spacing w:after="0" w:line="255" w:lineRule="auto"/>
        <w:rPr>
          <w:sz w:val="20"/>
          <w:szCs w:val="20"/>
          <w:color w:val="auto"/>
        </w:rPr>
      </w:pPr>
      <w:r>
        <w:rPr>
          <w:rFonts w:ascii="Times New Roman" w:cs="Times New Roman" w:eastAsia="Times New Roman" w:hAnsi="Times New Roman"/>
          <w:sz w:val="16"/>
          <w:szCs w:val="16"/>
          <w:color w:val="auto"/>
        </w:rPr>
        <w:t>The directors and executive officers of Peach State have entered into a voting agreement with United, pursuant to which they have agreed to vote in favor of the merger proposal and the other proposals to be voted on at the Peach State special meeting, subject to the terms of the voting agreement. The voting agreements are discussed in more detail in the section entitled “Information About the Peach State Special Meeting — Shares Subject to Voting and Support Agreement; Shares Held by Directors and Executive Officers.”</w:t>
      </w:r>
    </w:p>
    <w:p>
      <w:pPr>
        <w:spacing w:after="0" w:line="35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Opinion of Peach State’s Financial Advisor</w:t>
      </w:r>
    </w:p>
    <w:p>
      <w:pPr>
        <w:spacing w:after="0" w:line="128" w:lineRule="exact"/>
        <w:rPr>
          <w:sz w:val="20"/>
          <w:szCs w:val="20"/>
          <w:color w:val="auto"/>
        </w:rPr>
      </w:pPr>
    </w:p>
    <w:p>
      <w:pPr>
        <w:ind w:left="1100" w:right="919" w:firstLine="318"/>
        <w:spacing w:after="0" w:line="254" w:lineRule="auto"/>
        <w:rPr>
          <w:sz w:val="20"/>
          <w:szCs w:val="20"/>
          <w:color w:val="auto"/>
        </w:rPr>
      </w:pPr>
      <w:r>
        <w:rPr>
          <w:rFonts w:ascii="Times New Roman" w:cs="Times New Roman" w:eastAsia="Times New Roman" w:hAnsi="Times New Roman"/>
          <w:sz w:val="16"/>
          <w:szCs w:val="16"/>
          <w:color w:val="auto"/>
        </w:rPr>
        <w:t>Peach State retained Piper Sandler to act as financial advisor to Peach State’s board of directors in connection with Peach State’s consideration of a possible business combination. Peach State selected Piper Sandler to act as its financial advisor because Piper Sandler is a nationally recognized investment banking firm which specializes in financial institutions. In the ordinary course of its investment banking business, Piper Sandler is regularly engaged in the valuation of financial institutions and their securities in connection with mergers and acquisitions and other corporate transactions.</w:t>
      </w:r>
    </w:p>
    <w:p>
      <w:pPr>
        <w:spacing w:after="0" w:line="106" w:lineRule="exact"/>
        <w:rPr>
          <w:sz w:val="20"/>
          <w:szCs w:val="20"/>
          <w:color w:val="auto"/>
        </w:rPr>
      </w:pPr>
    </w:p>
    <w:p>
      <w:pPr>
        <w:ind w:left="1100" w:right="919" w:firstLine="318"/>
        <w:spacing w:after="0" w:line="251" w:lineRule="auto"/>
        <w:rPr>
          <w:sz w:val="20"/>
          <w:szCs w:val="20"/>
          <w:color w:val="auto"/>
        </w:rPr>
      </w:pPr>
      <w:r>
        <w:rPr>
          <w:rFonts w:ascii="Times New Roman" w:cs="Times New Roman" w:eastAsia="Times New Roman" w:hAnsi="Times New Roman"/>
          <w:sz w:val="16"/>
          <w:szCs w:val="16"/>
          <w:color w:val="auto"/>
        </w:rPr>
        <w:t xml:space="preserve">Piper Sandler acted as financial advisor to Peach State’s board of directors in connection with the proposed merger and participated in certain of the negotiations leading to the execution of the merger agreement. At the April 20, 2026 meeting at which Peach State’s board of directors considered the merger and the merger agreement, Piper Sandler delivered to the board of directors its oral opinion, which was subsequently confirmed in writing on April 20, 2026, to the effect that, as of such date, the merger consideration was fair to the holders of Peach State’s common stock from a financial point of view. </w:t>
      </w:r>
      <w:r>
        <w:rPr>
          <w:rFonts w:ascii="Times New Roman" w:cs="Times New Roman" w:eastAsia="Times New Roman" w:hAnsi="Times New Roman"/>
          <w:sz w:val="16"/>
          <w:szCs w:val="16"/>
          <w:b w:val="1"/>
          <w:bCs w:val="1"/>
          <w:color w:val="auto"/>
        </w:rPr>
        <w:t>The full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text of Piper Sandler’s opinion is attached as Annex C to this proxy statement/prospectus. The opinion outlines the procedures followed, assumptions made, matters considered and qualifications and limitations on the review undertaken by Piper Sandler in rendering its opinion. The description of the opinion set forth below is qualified in its entirety by reference to the full text of the opinion. Holders of Peach State common stock are urged to read the entire opinion carefully in connection with their consideration of the proposed merger.</w:t>
      </w:r>
    </w:p>
    <w:p>
      <w:pPr>
        <w:spacing w:after="0" w:line="3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firstLine="318"/>
        <w:spacing w:after="0"/>
        <w:rPr>
          <w:sz w:val="20"/>
          <w:szCs w:val="20"/>
          <w:color w:val="auto"/>
        </w:rPr>
      </w:pPr>
      <w:r>
        <w:rPr>
          <w:rFonts w:ascii="Times New Roman" w:cs="Times New Roman" w:eastAsia="Times New Roman" w:hAnsi="Times New Roman"/>
          <w:sz w:val="16"/>
          <w:szCs w:val="16"/>
          <w:color w:val="auto"/>
        </w:rPr>
        <w:t>Piper Sandler’s opinion was directed to the board of directors of Peach State in connection with its consideration of the merger and the merger agreement and does not constitute a recommendation to any shareholder of Peach State as to how any such shareholder should vote at any meeting of shareholders called to consider and vote upon the approval of the merger and the merger agreement. Piper Sandler’s opinion was directed only to the fairness, from a financial point of view, of the merger consideration to the holders of Peach State common stock and did not address the underlying business decision of Peach State to engage in the merger, the form or structure of the merger or any other transactions contemplated in the merger agreement, the relative merits of the merger as compared to any other alternative transactions or business strategies that might exist for Peach State or the effect of any other transaction in which Peach State might engage. Piper Sandler also did not express any opinion as to the fairness of the amount or nature of the compensation to be received in the merger by any officer, director or employee of Peach State or United, or any class of such persons, if any, relative to the compensation to be received in the merger by any other shareholder. Piper Sandler’s opinion was approved by Piper Sandler’s fairness opinion committee.</w:t>
      </w:r>
    </w:p>
    <w:p>
      <w:pPr>
        <w:spacing w:after="0" w:line="1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In connection with its opinion, Piper Sandler reviewed and considered, among other things:</w:t>
      </w:r>
    </w:p>
    <w:p>
      <w:pPr>
        <w:spacing w:after="0" w:line="102" w:lineRule="exact"/>
        <w:rPr>
          <w:sz w:val="20"/>
          <w:szCs w:val="20"/>
          <w:color w:val="auto"/>
        </w:rPr>
      </w:pPr>
    </w:p>
    <w:p>
      <w:pPr>
        <w:ind w:left="1580" w:hanging="160"/>
        <w:spacing w:after="0"/>
        <w:tabs>
          <w:tab w:leader="none" w:pos="1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draft of the merger agreement, dated April 18, 2026;</w:t>
      </w:r>
    </w:p>
    <w:p>
      <w:pPr>
        <w:spacing w:after="0" w:line="101" w:lineRule="exact"/>
        <w:rPr>
          <w:rFonts w:ascii="Times New Roman" w:cs="Times New Roman" w:eastAsia="Times New Roman" w:hAnsi="Times New Roman"/>
          <w:sz w:val="16"/>
          <w:szCs w:val="16"/>
          <w:color w:val="auto"/>
        </w:rPr>
      </w:pPr>
    </w:p>
    <w:p>
      <w:pPr>
        <w:ind w:left="1580" w:right="1199" w:hanging="160"/>
        <w:spacing w:after="0" w:line="279" w:lineRule="auto"/>
        <w:tabs>
          <w:tab w:leader="none" w:pos="1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publicly available financial statements and other historical financial information of Peach State and its banking subsidiary, Peach State Bank, that Piper Sandler deemed relevant;</w:t>
      </w:r>
    </w:p>
    <w:p>
      <w:pPr>
        <w:spacing w:after="0" w:line="36" w:lineRule="exact"/>
        <w:rPr>
          <w:rFonts w:ascii="Times New Roman" w:cs="Times New Roman" w:eastAsia="Times New Roman" w:hAnsi="Times New Roman"/>
          <w:sz w:val="16"/>
          <w:szCs w:val="16"/>
          <w:color w:val="auto"/>
        </w:rPr>
      </w:pPr>
    </w:p>
    <w:p>
      <w:pPr>
        <w:ind w:left="1580" w:right="1139" w:hanging="160"/>
        <w:spacing w:after="0" w:line="279" w:lineRule="auto"/>
        <w:tabs>
          <w:tab w:leader="none" w:pos="1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publicly available financial statements and other historical financial information of United that Piper Sandler deemed relevant;</w:t>
      </w:r>
    </w:p>
    <w:p>
      <w:pPr>
        <w:spacing w:after="0" w:line="48" w:lineRule="exact"/>
        <w:rPr>
          <w:rFonts w:ascii="Times New Roman" w:cs="Times New Roman" w:eastAsia="Times New Roman" w:hAnsi="Times New Roman"/>
          <w:sz w:val="16"/>
          <w:szCs w:val="16"/>
          <w:color w:val="auto"/>
        </w:rPr>
      </w:pPr>
    </w:p>
    <w:p>
      <w:pPr>
        <w:ind w:left="1580" w:right="1099" w:hanging="160"/>
        <w:spacing w:after="0" w:line="279" w:lineRule="auto"/>
        <w:tabs>
          <w:tab w:leader="none" w:pos="1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preliminary financial information for United for the quarter ended March 31, 2026, as provided by the senior management of United;</w:t>
      </w:r>
    </w:p>
    <w:p>
      <w:pPr>
        <w:spacing w:after="0" w:line="48" w:lineRule="exact"/>
        <w:rPr>
          <w:rFonts w:ascii="Times New Roman" w:cs="Times New Roman" w:eastAsia="Times New Roman" w:hAnsi="Times New Roman"/>
          <w:sz w:val="16"/>
          <w:szCs w:val="16"/>
          <w:color w:val="auto"/>
        </w:rPr>
      </w:pPr>
    </w:p>
    <w:p>
      <w:pPr>
        <w:ind w:left="1580" w:right="919" w:hanging="160"/>
        <w:spacing w:after="0" w:line="279" w:lineRule="auto"/>
        <w:tabs>
          <w:tab w:leader="none" w:pos="1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internal financial projections for Peach State for the years ending December 31, 2026 through December 31, 2030, as provided by the senior management of Peach State;</w:t>
      </w:r>
    </w:p>
    <w:p>
      <w:pPr>
        <w:spacing w:after="0" w:line="36" w:lineRule="exact"/>
        <w:rPr>
          <w:rFonts w:ascii="Times New Roman" w:cs="Times New Roman" w:eastAsia="Times New Roman" w:hAnsi="Times New Roman"/>
          <w:sz w:val="16"/>
          <w:szCs w:val="16"/>
          <w:color w:val="auto"/>
        </w:rPr>
      </w:pPr>
    </w:p>
    <w:p>
      <w:pPr>
        <w:ind w:left="1580" w:right="979" w:hanging="160"/>
        <w:spacing w:after="0" w:line="253" w:lineRule="auto"/>
        <w:tabs>
          <w:tab w:leader="none" w:pos="1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w:t>
      </w:r>
    </w:p>
    <w:p>
      <w:pPr>
        <w:spacing w:after="0" w:line="71" w:lineRule="exact"/>
        <w:rPr>
          <w:rFonts w:ascii="Times New Roman" w:cs="Times New Roman" w:eastAsia="Times New Roman" w:hAnsi="Times New Roman"/>
          <w:sz w:val="16"/>
          <w:szCs w:val="16"/>
          <w:color w:val="auto"/>
        </w:rPr>
      </w:pPr>
    </w:p>
    <w:p>
      <w:pPr>
        <w:ind w:left="1580" w:right="999" w:hanging="160"/>
        <w:spacing w:after="0" w:line="258" w:lineRule="auto"/>
        <w:tabs>
          <w:tab w:leader="none" w:pos="1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financial impact of the Merger on United based on certain assumptions relating to transaction expenses, cost savings and purchase accounting adjustments, as provided by the senior management of United and confirmed for use in Piper Sandler’s analyses by the senior management of Peach State;</w:t>
      </w:r>
    </w:p>
    <w:p>
      <w:pPr>
        <w:spacing w:after="0" w:line="66" w:lineRule="exact"/>
        <w:rPr>
          <w:rFonts w:ascii="Times New Roman" w:cs="Times New Roman" w:eastAsia="Times New Roman" w:hAnsi="Times New Roman"/>
          <w:sz w:val="16"/>
          <w:szCs w:val="16"/>
          <w:color w:val="auto"/>
        </w:rPr>
      </w:pPr>
    </w:p>
    <w:p>
      <w:pPr>
        <w:ind w:left="1580" w:right="979" w:hanging="160"/>
        <w:spacing w:after="0" w:line="258" w:lineRule="auto"/>
        <w:tabs>
          <w:tab w:leader="none" w:pos="1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publicly reported historical price and trading activity for United common stock, including a comparison of certain stock trading information for United common stock and certain stock indices, as well as similar publicly available information for certain other companies, the securities of which are publicly traded;</w:t>
      </w:r>
    </w:p>
    <w:p>
      <w:pPr>
        <w:spacing w:after="0" w:line="66" w:lineRule="exact"/>
        <w:rPr>
          <w:rFonts w:ascii="Times New Roman" w:cs="Times New Roman" w:eastAsia="Times New Roman" w:hAnsi="Times New Roman"/>
          <w:sz w:val="16"/>
          <w:szCs w:val="16"/>
          <w:color w:val="auto"/>
        </w:rPr>
      </w:pPr>
    </w:p>
    <w:p>
      <w:pPr>
        <w:ind w:left="1580" w:right="1179" w:hanging="160"/>
        <w:spacing w:after="0" w:line="279" w:lineRule="auto"/>
        <w:tabs>
          <w:tab w:leader="none" w:pos="1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comparison of certain financial and market information for Peach State and United with similar financial institutions for which information is publicly available;</w:t>
      </w:r>
    </w:p>
    <w:p>
      <w:pPr>
        <w:spacing w:after="0" w:line="36" w:lineRule="exact"/>
        <w:rPr>
          <w:rFonts w:ascii="Times New Roman" w:cs="Times New Roman" w:eastAsia="Times New Roman" w:hAnsi="Times New Roman"/>
          <w:sz w:val="16"/>
          <w:szCs w:val="16"/>
          <w:color w:val="auto"/>
        </w:rPr>
      </w:pPr>
    </w:p>
    <w:p>
      <w:pPr>
        <w:ind w:left="1580" w:right="1339" w:hanging="160"/>
        <w:spacing w:after="0" w:line="279" w:lineRule="auto"/>
        <w:tabs>
          <w:tab w:leader="none" w:pos="1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terms of certain recent business combinations in the bank and thrift industry (on a regional and nationwide basis), to the extent publicly available;</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current market environment generally and the banking environment in particular;</w:t>
      </w:r>
    </w:p>
    <w:p>
      <w:pPr>
        <w:spacing w:after="0" w:line="101" w:lineRule="exact"/>
        <w:rPr>
          <w:rFonts w:ascii="Times New Roman" w:cs="Times New Roman" w:eastAsia="Times New Roman" w:hAnsi="Times New Roman"/>
          <w:sz w:val="16"/>
          <w:szCs w:val="16"/>
          <w:color w:val="auto"/>
        </w:rPr>
      </w:pPr>
    </w:p>
    <w:p>
      <w:pPr>
        <w:ind w:left="1580" w:right="1159" w:hanging="160"/>
        <w:spacing w:after="0" w:line="279" w:lineRule="auto"/>
        <w:tabs>
          <w:tab w:leader="none" w:pos="1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information, financial studies, analyses and investigations and financial, economic and market criteria as Piper Sandler considered relevant.</w:t>
      </w:r>
    </w:p>
    <w:p>
      <w:pPr>
        <w:spacing w:after="0" w:line="73" w:lineRule="exact"/>
        <w:rPr>
          <w:sz w:val="20"/>
          <w:szCs w:val="20"/>
          <w:color w:val="auto"/>
        </w:rPr>
      </w:pPr>
    </w:p>
    <w:p>
      <w:pPr>
        <w:ind w:left="1100" w:right="939" w:firstLine="318"/>
        <w:spacing w:after="0" w:line="248" w:lineRule="auto"/>
        <w:rPr>
          <w:sz w:val="20"/>
          <w:szCs w:val="20"/>
          <w:color w:val="auto"/>
        </w:rPr>
      </w:pPr>
      <w:r>
        <w:rPr>
          <w:rFonts w:ascii="Times New Roman" w:cs="Times New Roman" w:eastAsia="Times New Roman" w:hAnsi="Times New Roman"/>
          <w:sz w:val="16"/>
          <w:szCs w:val="16"/>
          <w:color w:val="auto"/>
        </w:rPr>
        <w:t>Piper Sandler also discussed with certain members of the senior management of Peach State and its representatives the business, financial condition, results of operations and prospects of Peach State and held similar discussions with certain members of the senior management of United and its representatives regarding the business, financial condition, results of operations and prospects of United.</w:t>
      </w:r>
    </w:p>
    <w:p>
      <w:pPr>
        <w:spacing w:after="0" w:line="3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39" w:firstLine="318"/>
        <w:spacing w:after="0"/>
        <w:rPr>
          <w:sz w:val="20"/>
          <w:szCs w:val="20"/>
          <w:color w:val="auto"/>
        </w:rPr>
      </w:pPr>
      <w:r>
        <w:rPr>
          <w:rFonts w:ascii="Times New Roman" w:cs="Times New Roman" w:eastAsia="Times New Roman" w:hAnsi="Times New Roman"/>
          <w:sz w:val="16"/>
          <w:szCs w:val="16"/>
          <w:color w:val="auto"/>
        </w:rPr>
        <w:t>In performing its review, Piper Sandler relied upon the accuracy and completeness of all of the financial and other information that was available to and reviewed by Piper Sandler from public sources, that was provided to Piper Sandler by Peach State or United or their respective representatives, or that was otherwise reviewed by Piper Sandler, and Piper Sandler assumed such accuracy and completeness for purposes of rendering its opinion without any independent verification or investigation. Piper Sandler relied on the assurances of the respective managements of Peach State and United that they were not aware of any facts or circumstances that would have made any of such information inaccurate or misleading. Piper Sandler was not asked to and did not undertake an independent verification of any of such information and Piper Sandler did not assume any responsibility or liability for the accuracy or completeness thereof. Piper Sandler did not make an independent evaluation or perform an appraisal of the specific assets, the collateral securing assets or the liabilities (contingent or otherwise) of Peach State or United, nor was Piper Sandler furnished with any such evaluations or appraisals. Piper Sandler rendered no opinion or evaluation on the collectability of any assets or the future performance of any loans of Peach State or United. Piper Sandler did not make an independent evaluation of the adequacy of the allowance for credit losses of Peach State or United, or of the combined entity after the merger, and Piper Sandler did not review any individual credit files relating to Peach State or United. Piper Sandler assumed, with Peach State’s consent, that the respective allowances for credit losses for both Peach State and United were adequate to cover such losses and would be adequate on a pro forma basis for the combined entity.</w:t>
      </w:r>
    </w:p>
    <w:p>
      <w:pPr>
        <w:spacing w:after="0" w:line="107" w:lineRule="exact"/>
        <w:rPr>
          <w:sz w:val="20"/>
          <w:szCs w:val="20"/>
          <w:color w:val="auto"/>
        </w:rPr>
      </w:pPr>
    </w:p>
    <w:p>
      <w:pPr>
        <w:ind w:left="1100" w:right="979" w:firstLine="318"/>
        <w:spacing w:after="0" w:line="246" w:lineRule="auto"/>
        <w:rPr>
          <w:sz w:val="20"/>
          <w:szCs w:val="20"/>
          <w:color w:val="auto"/>
        </w:rPr>
      </w:pPr>
      <w:r>
        <w:rPr>
          <w:rFonts w:ascii="Times New Roman" w:cs="Times New Roman" w:eastAsia="Times New Roman" w:hAnsi="Times New Roman"/>
          <w:sz w:val="16"/>
          <w:szCs w:val="16"/>
          <w:color w:val="auto"/>
        </w:rPr>
        <w:t>In preparing its analyses, Piper Sandler used certain internal financial projections for Peach State for the years ending December 31, 2026 through December 31, 2030, as provided by the senior management of Peach State. In addition, Piper Sandler used publicly available mean analyst estimates for United for</w:t>
      </w:r>
    </w:p>
    <w:p>
      <w:pPr>
        <w:ind w:left="1100" w:right="899"/>
        <w:spacing w:after="0"/>
        <w:rPr>
          <w:sz w:val="20"/>
          <w:szCs w:val="20"/>
          <w:color w:val="auto"/>
        </w:rPr>
      </w:pPr>
      <w:r>
        <w:rPr>
          <w:rFonts w:ascii="Times New Roman" w:cs="Times New Roman" w:eastAsia="Times New Roman" w:hAnsi="Times New Roman"/>
          <w:sz w:val="16"/>
          <w:szCs w:val="16"/>
          <w:color w:val="auto"/>
        </w:rPr>
        <w:t>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 Piper Sandler also received and used in its pro forma analyses certain assumptions relating to transaction expenses, cost savings and purchase accounting adjustments, as provided by the senior management of United and confirmed for use in Piper Sandler’s analyses by the senior management of Peach State. With respect to the foregoing information, the senior management of Peach State confirmed to Piper Sandler that such information reflected (or, in the case of the publicly available analyst estimates referred to above, were consistent with) the best currently available projections, estimates and judgments of senior management as to the future financial performance of Peach State and United, respectively, and Piper Sandler assumed that the future financial performance reflected in such information would be achieved. Piper Sandler expressed no opinion as to such information, or the assumptions on which such information was based. Piper Sandler also assumed that there had been no material change in the respective assets, financial condition, results of operations, business or prospects of Peach State or United since the date of the most recent financial statements made available to Piper Sandler. Piper Sandler assumed in all respects material to its analysis that Peach State and United would remain as going concerns for all periods relevant to its analysis.</w:t>
      </w:r>
    </w:p>
    <w:p>
      <w:pPr>
        <w:spacing w:after="0" w:line="268" w:lineRule="exact"/>
        <w:rPr>
          <w:sz w:val="20"/>
          <w:szCs w:val="20"/>
          <w:color w:val="auto"/>
        </w:rPr>
      </w:pPr>
    </w:p>
    <w:p>
      <w:pPr>
        <w:ind w:left="1100" w:right="999" w:firstLine="318"/>
        <w:spacing w:after="0" w:line="239" w:lineRule="auto"/>
        <w:rPr>
          <w:sz w:val="20"/>
          <w:szCs w:val="20"/>
          <w:color w:val="auto"/>
        </w:rPr>
      </w:pPr>
      <w:r>
        <w:rPr>
          <w:rFonts w:ascii="Times New Roman" w:cs="Times New Roman" w:eastAsia="Times New Roman" w:hAnsi="Times New Roman"/>
          <w:sz w:val="16"/>
          <w:szCs w:val="16"/>
          <w:color w:val="auto"/>
        </w:rPr>
        <w:t>Piper Sandler also assumed, with Peach State’s consent, that (i) each of the parties to the merger agreement would comply in all material respects with all material terms and conditions of the merger agreement and all related agreements, that all of the representations and warranties contained in such agreements were true and correct in all material respects, that each of the parties to such agreements would perform in all material respects all of the covenants and other obligations required to be performed by such party under such agreements and that the conditions precedent in such agreements were not and would not be waived, (ii) in the course of obtaining the necessary regulatory or third party approvals, consents and releases with respect to the merger, no delay, limitation, restriction or condition would be imposed that would have an adverse effect on Peach State, United, the merger or any related transactions, and (iii) the merger and any related transactions would be consummated in accordance with the terms of the merger agreement without any waiver, modification or amendment of any material term, condition or agreement thereof and in compliance with all applicable laws and other requirements. Finally, with Peach State’s consent, Piper Sandler relied upon the advice that Peach State received from its legal, accounting and tax advisors as to all legal, accounting and tax matters relating to the merger and the other transactions contemplated by the merger agreement. Piper Sandler expressed no opinion as to any such matters.</w:t>
      </w:r>
    </w:p>
    <w:p>
      <w:pPr>
        <w:spacing w:after="0" w:line="33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firstLine="318"/>
        <w:spacing w:after="0" w:line="243" w:lineRule="auto"/>
        <w:rPr>
          <w:sz w:val="20"/>
          <w:szCs w:val="20"/>
          <w:color w:val="auto"/>
        </w:rPr>
      </w:pPr>
      <w:r>
        <w:rPr>
          <w:rFonts w:ascii="Times New Roman" w:cs="Times New Roman" w:eastAsia="Times New Roman" w:hAnsi="Times New Roman"/>
          <w:sz w:val="16"/>
          <w:szCs w:val="16"/>
          <w:color w:val="auto"/>
        </w:rPr>
        <w:t>Piper Sandler’s opinion was necessarily based on financial, economic, regulatory, market and other conditions as in effect on, and the information made available to Piper Sandler as of, the date thereof. Events occurring after the date thereof could materially affect Piper Sandler’s opinion. Piper Sandler has not undertaken to update, revise, reaffirm or withdraw its opinion or otherwise comment upon events occurring after the date thereof. Piper Sandler expressed no opinion as to the trading value of United common stock at any time or what the value of United common stock would be once it is actually received by the holders of Peach State common stock.</w:t>
      </w:r>
    </w:p>
    <w:p>
      <w:pPr>
        <w:spacing w:after="0" w:line="102" w:lineRule="exact"/>
        <w:rPr>
          <w:sz w:val="20"/>
          <w:szCs w:val="20"/>
          <w:color w:val="auto"/>
        </w:rPr>
      </w:pPr>
    </w:p>
    <w:p>
      <w:pPr>
        <w:ind w:left="1100" w:right="919" w:firstLine="318"/>
        <w:spacing w:after="0" w:line="246" w:lineRule="auto"/>
        <w:rPr>
          <w:sz w:val="20"/>
          <w:szCs w:val="20"/>
          <w:color w:val="auto"/>
        </w:rPr>
      </w:pPr>
      <w:r>
        <w:rPr>
          <w:rFonts w:ascii="Times New Roman" w:cs="Times New Roman" w:eastAsia="Times New Roman" w:hAnsi="Times New Roman"/>
          <w:sz w:val="16"/>
          <w:szCs w:val="16"/>
          <w:color w:val="auto"/>
        </w:rPr>
        <w:t xml:space="preserve">In rendering its opinion, Piper Sandler performed a variety of financial analyses. The summary below is not a complete description of all the analyses underlying Piper Sandler’s opinion or the presentation made by Piper Sandler to Peach State’s board of directors, but is a summary of the material analyses performed and presented by Piper Sandler. The summary includes information presented in tabular format. </w:t>
      </w:r>
      <w:r>
        <w:rPr>
          <w:rFonts w:ascii="Times New Roman" w:cs="Times New Roman" w:eastAsia="Times New Roman" w:hAnsi="Times New Roman"/>
          <w:sz w:val="16"/>
          <w:szCs w:val="16"/>
          <w:b w:val="1"/>
          <w:bCs w:val="1"/>
          <w:color w:val="auto"/>
        </w:rPr>
        <w:t>In order to</w:t>
      </w:r>
    </w:p>
    <w:p>
      <w:pPr>
        <w:spacing w:after="0" w:line="1" w:lineRule="exact"/>
        <w:rPr>
          <w:sz w:val="20"/>
          <w:szCs w:val="20"/>
          <w:color w:val="auto"/>
        </w:rPr>
      </w:pPr>
    </w:p>
    <w:p>
      <w:pPr>
        <w:jc w:val="both"/>
        <w:ind w:left="1100" w:right="119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fully understand the financial analyses, these tables must be read together with the accompanying text. The tables alone do not constitute a complete description of the financial analyses. </w:t>
      </w:r>
      <w:r>
        <w:rPr>
          <w:rFonts w:ascii="Times New Roman" w:cs="Times New Roman" w:eastAsia="Times New Roman" w:hAnsi="Times New Roman"/>
          <w:sz w:val="15"/>
          <w:szCs w:val="15"/>
          <w:color w:val="auto"/>
        </w:rPr>
        <w:t>The preparation of a fairness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opinion is a complex process involving subjective judgments as to the most appropriate and relevant</w:t>
      </w:r>
    </w:p>
    <w:p>
      <w:pPr>
        <w:ind w:left="1100" w:right="899"/>
        <w:spacing w:after="0" w:line="238" w:lineRule="auto"/>
        <w:rPr>
          <w:sz w:val="20"/>
          <w:szCs w:val="20"/>
          <w:color w:val="auto"/>
        </w:rPr>
      </w:pPr>
      <w:r>
        <w:rPr>
          <w:rFonts w:ascii="Times New Roman" w:cs="Times New Roman" w:eastAsia="Times New Roman" w:hAnsi="Times New Roman"/>
          <w:sz w:val="16"/>
          <w:szCs w:val="16"/>
          <w:color w:val="auto"/>
        </w:rPr>
        <w:t>methods of financial analysis and the application of those methods to the particular circumstances. The process, therefore, is not necessarily susceptible to a partial analysis or summary description. Piper Sandler believes that its analyses must be considered as a whole and that selecting portions of the factors and analyses to be considered without considering all factors and analyses, or attempting to ascribe relative weights to some or all such factors and analyses, could create an incomplete view of the evaluation process underlying its opinion. Also, no company included in Piper Sandler’s comparative analyses described below is identical to Peach State or United and no transaction is identical to the merger. Accordingly, an analysis of comparable companies or transactions involves complex considerations and judgments concerning differences in financial and operating characteristics of the companies and other factors that could affect the public trading values or transaction values, as the case may be, of Peach State and United and the companies to which they were compared. In arriving at its opinion, Piper Sandler did not attribute any particular weight to any analysis or factor that it considered. Rather, Piper Sandler made qualitative judgments as to the significance and relevance of each analysis and factor. Piper Sandler did not form an opinion as to whether any individual analysis or factor (positive or negative) considered in isolation supported or failed to support its opinion, rather, Piper Sandler made its determination as to the fairness of the merger consideration to the holders of Peach State common stock on the basis of its experience and professional judgment after considering the results of all its analyses taken as a whole.</w:t>
      </w:r>
    </w:p>
    <w:p>
      <w:pPr>
        <w:spacing w:after="0" w:line="110" w:lineRule="exact"/>
        <w:rPr>
          <w:sz w:val="20"/>
          <w:szCs w:val="20"/>
          <w:color w:val="auto"/>
        </w:rPr>
      </w:pPr>
    </w:p>
    <w:p>
      <w:pPr>
        <w:ind w:left="1100" w:right="899" w:firstLine="318"/>
        <w:spacing w:after="0"/>
        <w:rPr>
          <w:sz w:val="20"/>
          <w:szCs w:val="20"/>
          <w:color w:val="auto"/>
        </w:rPr>
      </w:pPr>
      <w:r>
        <w:rPr>
          <w:rFonts w:ascii="Times New Roman" w:cs="Times New Roman" w:eastAsia="Times New Roman" w:hAnsi="Times New Roman"/>
          <w:sz w:val="16"/>
          <w:szCs w:val="16"/>
          <w:color w:val="auto"/>
        </w:rPr>
        <w:t>In performing its analyses, Piper Sandler also made numerous assumptions with respect to industry performance, business and economic conditions and various other matters, many of which cannot be predicted and are beyond the control of Peach State, United, and Piper Sandler. The analyses performed by Piper Sandler are not necessarily indicative of actual values or future results, both of which may be significantly more or less favorable than suggested by such analyses. Piper Sandler prepared its analyses solely for purposes of rendering its opinion and provided such analyses to Peach State’s board of directors at its April 20, 2026 meeting. Estimates on the values of companies do not purport to be appraisals or necessarily reflect the prices at which companies or their securities may actually be sold. Such estimates are inherently subject to uncertainty and actual values may be materially different. Accordingly, Piper Sandler’s analyses do not necessarily reflect the value of Peach State common stock or United common stock or the prices at which Peach State or United common stock may be sold at any time. The analyses of Piper Sandler and its opinion were among a number of factors taken into consideration by Peach State’s board of directors in making its determination to approve the merger agreement and the analyses described below should not be viewed as determinative of the decision of Peach State’s board of directors with respect to the fairness of the merger consideration.</w:t>
      </w:r>
    </w:p>
    <w:p>
      <w:pPr>
        <w:spacing w:after="0" w:line="3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Summary of Proposed Merger Consideration and Implied Transaction Metrics.</w:t>
      </w:r>
    </w:p>
    <w:p>
      <w:pPr>
        <w:spacing w:after="0" w:line="130" w:lineRule="exact"/>
        <w:rPr>
          <w:sz w:val="20"/>
          <w:szCs w:val="20"/>
          <w:color w:val="auto"/>
        </w:rPr>
      </w:pPr>
    </w:p>
    <w:p>
      <w:pPr>
        <w:ind w:left="1100" w:right="939" w:firstLine="318"/>
        <w:spacing w:after="0" w:line="243" w:lineRule="auto"/>
        <w:rPr>
          <w:sz w:val="20"/>
          <w:szCs w:val="20"/>
          <w:color w:val="auto"/>
        </w:rPr>
      </w:pPr>
      <w:r>
        <w:rPr>
          <w:rFonts w:ascii="Times New Roman" w:cs="Times New Roman" w:eastAsia="Times New Roman" w:hAnsi="Times New Roman"/>
          <w:sz w:val="16"/>
          <w:szCs w:val="16"/>
          <w:color w:val="auto"/>
        </w:rPr>
        <w:t>Piper Sandler reviewed the financial terms of the proposed merger. Pursuant to the terms of the merger agreement, at the effective time of the merger each share of Peach State common stock issued and outstanding immediately prior to the effective time of the transaction, except for certain shares as set forth in the merger agreement, shall be converted into the right to receive, at the election of the holder thereof, either (i) $31.75 in cash (the “Cash Consideration”), or (ii) 0.8978 shares of United common stock (the “Stock Consideration”). The merger agreement provided, generally, that fifty percent (50%) of the shares of Peach</w:t>
      </w:r>
    </w:p>
    <w:p>
      <w:pPr>
        <w:spacing w:after="0" w:line="200" w:lineRule="exact"/>
        <w:rPr>
          <w:sz w:val="20"/>
          <w:szCs w:val="20"/>
          <w:color w:val="auto"/>
        </w:rPr>
      </w:pPr>
    </w:p>
    <w:p>
      <w:pPr>
        <w:spacing w:after="0" w:line="3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79"/>
        <w:spacing w:after="0" w:line="241" w:lineRule="auto"/>
        <w:rPr>
          <w:sz w:val="20"/>
          <w:szCs w:val="20"/>
          <w:color w:val="auto"/>
        </w:rPr>
      </w:pPr>
      <w:r>
        <w:rPr>
          <w:rFonts w:ascii="Times New Roman" w:cs="Times New Roman" w:eastAsia="Times New Roman" w:hAnsi="Times New Roman"/>
          <w:sz w:val="16"/>
          <w:szCs w:val="16"/>
          <w:color w:val="auto"/>
        </w:rPr>
        <w:t>State common stock issued and outstanding immediately prior to the effective time of the transaction shall be converted into the Cash Consideration and the remaining shares of Peach State common stock shall be converted into the Stock Consideration. Piper Sandler calculated an aggregate implied transaction value of approximately $100.8 million and an implied purchase price per share of $31.20 consisting of the implied value of 3,000,542 shares of Peach State common stock and 345,750 Peach State stock options with a weighted average strike price of $10.93, which are to be cancelled and converted into the right to receive a cash payment equal to the difference between the Cash Consideration and the applicable per share exercise price, and based on the closing price of United common stock on April 17, 2026 of $34.15 per share. Based upon financial information for Peach State as of or for the last twelve months (“LTM”) ended March 31, 2026, Piper Sandler calculated the following implied transaction metrics:</w:t>
      </w:r>
    </w:p>
    <w:p>
      <w:pPr>
        <w:spacing w:after="0" w:line="130" w:lineRule="exact"/>
        <w:rPr>
          <w:sz w:val="20"/>
          <w:szCs w:val="20"/>
          <w:color w:val="auto"/>
        </w:rPr>
      </w:pPr>
    </w:p>
    <w:tbl>
      <w:tblPr>
        <w:tblLayout w:type="fixed"/>
        <w:tblInd w:w="1100" w:type="dxa"/>
        <w:tblCellMar>
          <w:top w:w="0" w:type="dxa"/>
          <w:left w:w="0" w:type="dxa"/>
          <w:bottom w:w="0" w:type="dxa"/>
          <w:right w:w="0" w:type="dxa"/>
        </w:tblCellMar>
      </w:tblPr>
      <w:tr>
        <w:trPr>
          <w:trHeight w:val="28"/>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9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​Transaction Price Per Share / March 31, 2026 Book Value Per Share</w:t>
            </w:r>
          </w:p>
        </w:tc>
        <w:tc>
          <w:tcPr>
            <w:tcW w:w="1020" w:type="dxa"/>
            <w:vAlign w:val="bottom"/>
            <w:gridSpan w:val="2"/>
            <w:shd w:val="clear" w:color="auto" w:fill="CCEEFF"/>
          </w:tcPr>
          <w:p>
            <w:pPr>
              <w:ind w:left="800"/>
              <w:spacing w:after="0" w:line="167"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175</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94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Transaction Price Per Share / March 31, 2026 Tangible Book Value Per Share</w:t>
            </w:r>
          </w:p>
        </w:tc>
        <w:tc>
          <w:tcPr>
            <w:tcW w:w="940" w:type="dxa"/>
            <w:vAlign w:val="bottom"/>
            <w:vMerge w:val="restart"/>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48"/>
        </w:trPr>
        <w:tc>
          <w:tcPr>
            <w:tcW w:w="594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w:t>
            </w:r>
          </w:p>
        </w:tc>
        <w:tc>
          <w:tcPr>
            <w:tcW w:w="9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gridSpan w:val="2"/>
          </w:tcPr>
          <w:p>
            <w:pPr>
              <w:jc w:val="right"/>
              <w:ind w:right="57"/>
              <w:spacing w:after="0" w:line="48"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5"/>
                <w:szCs w:val="15"/>
                <w:color w:val="auto"/>
              </w:rPr>
              <w:t>Transaction Price Per Share / LTM Earnings</w:t>
            </w:r>
            <w:r>
              <w:rPr>
                <w:rFonts w:ascii="Times New Roman" w:cs="Times New Roman" w:eastAsia="Times New Roman" w:hAnsi="Times New Roman"/>
                <w:sz w:val="22"/>
                <w:szCs w:val="22"/>
                <w:color w:val="auto"/>
                <w:vertAlign w:val="superscript"/>
              </w:rPr>
              <w:t>(1)</w:t>
            </w:r>
          </w:p>
        </w:tc>
        <w:tc>
          <w:tcPr>
            <w:tcW w:w="94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w:t>
            </w:r>
            <w:r>
              <w:rPr>
                <w:rFonts w:ascii="Times New Roman" w:cs="Times New Roman" w:eastAsia="Times New Roman" w:hAnsi="Times New Roman"/>
                <w:sz w:val="16"/>
                <w:szCs w:val="16"/>
                <w:color w:val="auto"/>
                <w:w w:val="94"/>
              </w:rPr>
              <w:t>11.0x</w:t>
            </w:r>
          </w:p>
        </w:tc>
        <w:tc>
          <w:tcPr>
            <w:tcW w:w="120" w:type="dxa"/>
            <w:vAlign w:val="bottom"/>
            <w:vMerge w:val="restart"/>
          </w:tcPr>
          <w:p>
            <w:pPr>
              <w:jc w:val="right"/>
              <w:ind w:right="57"/>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920" w:type="dxa"/>
            <w:vAlign w:val="bottom"/>
            <w:shd w:val="clear" w:color="auto" w:fill="CCEEFF"/>
          </w:tcPr>
          <w:p>
            <w:pPr>
              <w:spacing w:after="0" w:line="48" w:lineRule="exact"/>
              <w:rPr>
                <w:sz w:val="20"/>
                <w:szCs w:val="20"/>
                <w:color w:val="auto"/>
              </w:rPr>
            </w:pPr>
            <w:r>
              <w:rPr>
                <w:rFonts w:ascii="Times New Roman" w:cs="Times New Roman" w:eastAsia="Times New Roman" w:hAnsi="Times New Roman"/>
                <w:sz w:val="5"/>
                <w:szCs w:val="5"/>
                <w:color w:val="auto"/>
              </w:rPr>
              <w:t>​</w:t>
            </w:r>
          </w:p>
        </w:tc>
        <w:tc>
          <w:tcPr>
            <w:tcW w:w="94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920" w:type="dxa"/>
            <w:vAlign w:val="bottom"/>
          </w:tcPr>
          <w:p>
            <w:pPr>
              <w:spacing w:after="0" w:line="179" w:lineRule="exact"/>
              <w:rPr>
                <w:sz w:val="20"/>
                <w:szCs w:val="20"/>
                <w:color w:val="auto"/>
              </w:rPr>
            </w:pPr>
            <w:r>
              <w:rPr>
                <w:rFonts w:ascii="Times New Roman" w:cs="Times New Roman" w:eastAsia="Times New Roman" w:hAnsi="Times New Roman"/>
                <w:sz w:val="14"/>
                <w:szCs w:val="14"/>
                <w:color w:val="auto"/>
              </w:rPr>
              <w:t>Core Deposit Premium</w:t>
            </w:r>
            <w:r>
              <w:rPr>
                <w:rFonts w:ascii="Times New Roman" w:cs="Times New Roman" w:eastAsia="Times New Roman" w:hAnsi="Times New Roman"/>
                <w:sz w:val="20"/>
                <w:szCs w:val="20"/>
                <w:color w:val="auto"/>
                <w:vertAlign w:val="superscript"/>
              </w:rPr>
              <w:t>(2)</w:t>
            </w:r>
          </w:p>
        </w:tc>
        <w:tc>
          <w:tcPr>
            <w:tcW w:w="940" w:type="dxa"/>
            <w:vAlign w:val="bottom"/>
            <w:vMerge w:val="restart"/>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60"/>
        </w:trPr>
        <w:tc>
          <w:tcPr>
            <w:tcW w:w="5940" w:type="dxa"/>
            <w:vAlign w:val="bottom"/>
            <w:gridSpan w:val="2"/>
          </w:tcPr>
          <w:p>
            <w:pPr>
              <w:spacing w:after="0" w:line="60" w:lineRule="exact"/>
              <w:rPr>
                <w:sz w:val="20"/>
                <w:szCs w:val="20"/>
                <w:color w:val="auto"/>
              </w:rPr>
            </w:pPr>
            <w:r>
              <w:rPr>
                <w:rFonts w:ascii="Times New Roman" w:cs="Times New Roman" w:eastAsia="Times New Roman" w:hAnsi="Times New Roman"/>
                <w:sz w:val="6"/>
                <w:szCs w:val="6"/>
                <w:color w:val="auto"/>
              </w:rPr>
              <w:t>​</w:t>
            </w:r>
          </w:p>
        </w:tc>
        <w:tc>
          <w:tcPr>
            <w:tcW w:w="9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tcPr>
          <w:p>
            <w:pPr>
              <w:jc w:val="right"/>
              <w:ind w:right="57"/>
              <w:spacing w:after="0" w:line="60"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92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4"/>
                <w:szCs w:val="14"/>
                <w:color w:val="auto"/>
              </w:rPr>
              <w:t>Core Deposit Premium</w:t>
            </w:r>
            <w:r>
              <w:rPr>
                <w:rFonts w:ascii="Times New Roman" w:cs="Times New Roman" w:eastAsia="Times New Roman" w:hAnsi="Times New Roman"/>
                <w:sz w:val="20"/>
                <w:szCs w:val="20"/>
                <w:color w:val="auto"/>
                <w:vertAlign w:val="superscript"/>
              </w:rPr>
              <w:t>(3)</w:t>
            </w:r>
          </w:p>
        </w:tc>
        <w:tc>
          <w:tcPr>
            <w:tcW w:w="94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5920" w:type="dxa"/>
            <w:vAlign w:val="bottom"/>
            <w:shd w:val="clear" w:color="auto" w:fill="CCEEFF"/>
          </w:tcPr>
          <w:p>
            <w:pPr>
              <w:spacing w:after="0" w:line="60" w:lineRule="exact"/>
              <w:rPr>
                <w:sz w:val="20"/>
                <w:szCs w:val="20"/>
                <w:color w:val="auto"/>
              </w:rPr>
            </w:pPr>
            <w:r>
              <w:rPr>
                <w:rFonts w:ascii="Times New Roman" w:cs="Times New Roman" w:eastAsia="Times New Roman" w:hAnsi="Times New Roman"/>
                <w:sz w:val="6"/>
                <w:szCs w:val="6"/>
                <w:color w:val="auto"/>
              </w:rPr>
              <w:t>​</w:t>
            </w:r>
          </w:p>
        </w:tc>
        <w:tc>
          <w:tcPr>
            <w:tcW w:w="94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 w:type="dxa"/>
            <w:vAlign w:val="bottom"/>
          </w:tcPr>
          <w:p>
            <w:pPr>
              <w:jc w:val="right"/>
              <w:ind w:right="57"/>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128905</wp:posOffset>
            </wp:positionV>
            <wp:extent cx="108902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297" w:lineRule="exact"/>
        <w:rPr>
          <w:sz w:val="20"/>
          <w:szCs w:val="20"/>
          <w:color w:val="auto"/>
        </w:rPr>
      </w:pPr>
    </w:p>
    <w:p>
      <w:pPr>
        <w:ind w:left="1420" w:right="1219" w:hanging="317"/>
        <w:spacing w:after="0" w:line="259" w:lineRule="auto"/>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LTM earnings are inclusive of the following one-time earnings impacts: ~$137 thousand in interest expense (driven by the early retirement of $9.5 million in sub debt in January 2026) and</w:t>
      </w:r>
    </w:p>
    <w:p>
      <w:pPr>
        <w:ind w:left="1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~$228 thousand in transaction related expenses in Q1 2026.</w:t>
      </w:r>
    </w:p>
    <w:p>
      <w:pPr>
        <w:spacing w:after="0" w:line="61" w:lineRule="exact"/>
        <w:rPr>
          <w:rFonts w:ascii="Times New Roman" w:cs="Times New Roman" w:eastAsia="Times New Roman" w:hAnsi="Times New Roman"/>
          <w:sz w:val="16"/>
          <w:szCs w:val="16"/>
          <w:color w:val="auto"/>
        </w:rPr>
      </w:pPr>
    </w:p>
    <w:p>
      <w:pPr>
        <w:ind w:left="1420" w:hanging="317"/>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Core deposits defined as total deposits less time deposits with balances greater than $100,000.</w:t>
      </w:r>
    </w:p>
    <w:p>
      <w:pPr>
        <w:spacing w:after="0" w:line="66" w:lineRule="exact"/>
        <w:rPr>
          <w:rFonts w:ascii="Times New Roman" w:cs="Times New Roman" w:eastAsia="Times New Roman" w:hAnsi="Times New Roman"/>
          <w:sz w:val="16"/>
          <w:szCs w:val="16"/>
          <w:color w:val="auto"/>
        </w:rPr>
      </w:pPr>
    </w:p>
    <w:p>
      <w:pPr>
        <w:ind w:left="1420" w:hanging="317"/>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Core deposits defined as total deposits less time deposits with balances greater than $250,000.</w:t>
      </w:r>
    </w:p>
    <w:p>
      <w:pPr>
        <w:spacing w:after="0" w:line="1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Stock Trading History.</w:t>
      </w:r>
    </w:p>
    <w:p>
      <w:pPr>
        <w:spacing w:after="0" w:line="130" w:lineRule="exact"/>
        <w:rPr>
          <w:sz w:val="20"/>
          <w:szCs w:val="20"/>
          <w:color w:val="auto"/>
        </w:rPr>
      </w:pPr>
    </w:p>
    <w:p>
      <w:pPr>
        <w:ind w:left="1100" w:right="1119" w:firstLine="318"/>
        <w:spacing w:after="0" w:line="248" w:lineRule="auto"/>
        <w:rPr>
          <w:sz w:val="20"/>
          <w:szCs w:val="20"/>
          <w:color w:val="auto"/>
        </w:rPr>
      </w:pPr>
      <w:r>
        <w:rPr>
          <w:rFonts w:ascii="Times New Roman" w:cs="Times New Roman" w:eastAsia="Times New Roman" w:hAnsi="Times New Roman"/>
          <w:sz w:val="16"/>
          <w:szCs w:val="16"/>
          <w:color w:val="auto"/>
        </w:rPr>
        <w:t>Piper Sandler reviewed the publicly available historical reported trading prices of United common stock for the one-year and three-year periods ended April 17, 2026. Piper Sandler then compared the relationship between the movements in the price of United common stock to movements in its peer group (as described below) as well as certain stock indices.</w:t>
      </w:r>
    </w:p>
    <w:p>
      <w:pPr>
        <w:spacing w:after="0" w:line="9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u w:val="single" w:color="auto"/>
          <w:color w:val="auto"/>
        </w:rPr>
        <w:t>United’s One-Year Stock Performance</w:t>
      </w:r>
    </w:p>
    <w:p>
      <w:pPr>
        <w:spacing w:after="0" w:line="161"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Beginning Value</w:t>
            </w:r>
          </w:p>
        </w:tc>
        <w:tc>
          <w:tcPr>
            <w:tcW w:w="180" w:type="dxa"/>
            <w:vAlign w:val="bottom"/>
          </w:tcPr>
          <w:p>
            <w:pPr>
              <w:spacing w:after="0"/>
              <w:rPr>
                <w:sz w:val="12"/>
                <w:szCs w:val="12"/>
                <w:color w:val="auto"/>
              </w:rPr>
            </w:pPr>
          </w:p>
        </w:tc>
        <w:tc>
          <w:tcPr>
            <w:tcW w:w="8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Ending Value</w:t>
            </w:r>
          </w:p>
        </w:tc>
      </w:tr>
      <w:tr>
        <w:trPr>
          <w:trHeight w:val="177"/>
        </w:trPr>
        <w:tc>
          <w:tcPr>
            <w:tcW w:w="2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660" w:type="dxa"/>
            <w:vAlign w:val="bottom"/>
          </w:tcPr>
          <w:p>
            <w:pPr>
              <w:spacing w:after="0"/>
              <w:rPr>
                <w:sz w:val="15"/>
                <w:szCs w:val="15"/>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April 17, 2025</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 April 17, 2026​</w:t>
            </w:r>
          </w:p>
        </w:tc>
      </w:tr>
      <w:tr>
        <w:trPr>
          <w:trHeight w:val="20"/>
        </w:trPr>
        <w:tc>
          <w:tcPr>
            <w:tcW w:w="230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w:t>
            </w:r>
          </w:p>
        </w:tc>
        <w:tc>
          <w:tcPr>
            <w:tcW w:w="26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137.8%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United Peer Group</w:t>
            </w:r>
          </w:p>
        </w:tc>
        <w:tc>
          <w:tcPr>
            <w:tcW w:w="2660" w:type="dxa"/>
            <w:vAlign w:val="bottom"/>
          </w:tcPr>
          <w:p>
            <w:pPr>
              <w:spacing w:after="0"/>
              <w:rPr>
                <w:sz w:val="17"/>
                <w:szCs w:val="17"/>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100.0%</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141.3%</w:t>
            </w:r>
            <w:r>
              <w:rPr>
                <w:rFonts w:ascii="Times New Roman" w:cs="Times New Roman" w:eastAsia="Times New Roman" w:hAnsi="Times New Roman"/>
                <w:sz w:val="16"/>
                <w:szCs w:val="16"/>
                <w:b w:val="1"/>
                <w:bCs w:val="1"/>
                <w:color w:val="auto"/>
              </w:rPr>
              <w:t xml:space="preserve"> ​</w:t>
            </w:r>
          </w:p>
        </w:tc>
      </w:tr>
      <w:tr>
        <w:trPr>
          <w:trHeight w:val="20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S&amp;P 500 Index</w:t>
            </w:r>
          </w:p>
        </w:tc>
        <w:tc>
          <w:tcPr>
            <w:tcW w:w="266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134.9%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39"/>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NASDAQ Bank Index</w:t>
            </w:r>
          </w:p>
        </w:tc>
        <w:tc>
          <w:tcPr>
            <w:tcW w:w="2660" w:type="dxa"/>
            <w:vAlign w:val="bottom"/>
          </w:tcPr>
          <w:p>
            <w:pPr>
              <w:spacing w:after="0"/>
              <w:rPr>
                <w:sz w:val="20"/>
                <w:szCs w:val="20"/>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100.0%</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129.8%</w:t>
            </w:r>
            <w:r>
              <w:rPr>
                <w:rFonts w:ascii="Times New Roman" w:cs="Times New Roman" w:eastAsia="Times New Roman" w:hAnsi="Times New Roman"/>
                <w:sz w:val="16"/>
                <w:szCs w:val="16"/>
                <w:b w:val="1"/>
                <w:bCs w:val="1"/>
                <w:color w:val="auto"/>
              </w:rPr>
              <w:t xml:space="preserve"> ​</w:t>
            </w:r>
          </w:p>
        </w:tc>
      </w:tr>
      <w:tr>
        <w:trPr>
          <w:trHeight w:val="250"/>
        </w:trPr>
        <w:tc>
          <w:tcPr>
            <w:tcW w:w="2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United’s Three-Year Stock Performance</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4"/>
        </w:trPr>
        <w:tc>
          <w:tcPr>
            <w:tcW w:w="230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Beginning Value</w:t>
            </w:r>
          </w:p>
        </w:tc>
        <w:tc>
          <w:tcPr>
            <w:tcW w:w="180" w:type="dxa"/>
            <w:vAlign w:val="bottom"/>
          </w:tcPr>
          <w:p>
            <w:pPr>
              <w:spacing w:after="0"/>
              <w:rPr>
                <w:sz w:val="24"/>
                <w:szCs w:val="24"/>
                <w:color w:val="auto"/>
              </w:rPr>
            </w:pPr>
          </w:p>
        </w:tc>
        <w:tc>
          <w:tcPr>
            <w:tcW w:w="8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Ending Value</w:t>
            </w:r>
          </w:p>
        </w:tc>
      </w:tr>
      <w:tr>
        <w:trPr>
          <w:trHeight w:val="177"/>
        </w:trPr>
        <w:tc>
          <w:tcPr>
            <w:tcW w:w="2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660" w:type="dxa"/>
            <w:vAlign w:val="bottom"/>
          </w:tcPr>
          <w:p>
            <w:pPr>
              <w:spacing w:after="0"/>
              <w:rPr>
                <w:sz w:val="15"/>
                <w:szCs w:val="15"/>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April 17, 2023</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 April 17, 2026​</w:t>
            </w:r>
          </w:p>
        </w:tc>
      </w:tr>
      <w:tr>
        <w:trPr>
          <w:trHeight w:val="20"/>
        </w:trPr>
        <w:tc>
          <w:tcPr>
            <w:tcW w:w="230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w:t>
            </w:r>
          </w:p>
        </w:tc>
        <w:tc>
          <w:tcPr>
            <w:tcW w:w="26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119.6%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United Peer Group</w:t>
            </w:r>
          </w:p>
        </w:tc>
        <w:tc>
          <w:tcPr>
            <w:tcW w:w="2660" w:type="dxa"/>
            <w:vAlign w:val="bottom"/>
          </w:tcPr>
          <w:p>
            <w:pPr>
              <w:spacing w:after="0"/>
              <w:rPr>
                <w:sz w:val="17"/>
                <w:szCs w:val="17"/>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100.0%</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134.0%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S&amp;P 500 Index</w:t>
            </w:r>
          </w:p>
        </w:tc>
        <w:tc>
          <w:tcPr>
            <w:tcW w:w="266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173.4%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39"/>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NASDAQ Bank Index</w:t>
            </w:r>
          </w:p>
        </w:tc>
        <w:tc>
          <w:tcPr>
            <w:tcW w:w="2660" w:type="dxa"/>
            <w:vAlign w:val="bottom"/>
          </w:tcPr>
          <w:p>
            <w:pPr>
              <w:spacing w:after="0"/>
              <w:rPr>
                <w:sz w:val="20"/>
                <w:szCs w:val="20"/>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100.0%</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159.4%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-1565275</wp:posOffset>
            </wp:positionV>
            <wp:extent cx="41148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4114800" cy="76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-544195</wp:posOffset>
            </wp:positionV>
            <wp:extent cx="41148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4114800" cy="7620"/>
                    </a:xfrm>
                    <a:prstGeom prst="rect">
                      <a:avLst/>
                    </a:prstGeom>
                    <a:noFill/>
                  </pic:spPr>
                </pic:pic>
              </a:graphicData>
            </a:graphic>
          </wp:anchor>
        </w:drawing>
      </w:r>
    </w:p>
    <w:p>
      <w:pPr>
        <w:spacing w:after="0" w:line="11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Comparable Company Analyses.</w:t>
      </w:r>
    </w:p>
    <w:p>
      <w:pPr>
        <w:spacing w:after="0" w:line="142" w:lineRule="exact"/>
        <w:rPr>
          <w:sz w:val="20"/>
          <w:szCs w:val="20"/>
          <w:color w:val="auto"/>
        </w:rPr>
      </w:pPr>
    </w:p>
    <w:p>
      <w:pPr>
        <w:ind w:left="1100" w:right="1019" w:firstLine="318"/>
        <w:spacing w:after="0" w:line="244" w:lineRule="auto"/>
        <w:rPr>
          <w:sz w:val="20"/>
          <w:szCs w:val="20"/>
          <w:color w:val="auto"/>
        </w:rPr>
      </w:pPr>
      <w:r>
        <w:rPr>
          <w:rFonts w:ascii="Times New Roman" w:cs="Times New Roman" w:eastAsia="Times New Roman" w:hAnsi="Times New Roman"/>
          <w:sz w:val="16"/>
          <w:szCs w:val="16"/>
          <w:color w:val="auto"/>
        </w:rPr>
        <w:t>Piper Sandler used publicly available information to compare selected financial information for Peach State with a group of financial institutions selected by Piper Sandler. The Peach State peer group included major exchange -traded and OTCQX listed banks and thrifts headquartered in the southeast region of the U.S. consisting of Alabama, Arkansas, Florida, Georgia, Mississippi, North Carolina, South Carolina, Tennessee, Virginia and West Virginia with total assets between $600 million and $1.2 billion and MRQ</w:t>
      </w:r>
    </w:p>
    <w:p>
      <w:pPr>
        <w:spacing w:after="0" w:line="3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139"/>
        <w:spacing w:after="0" w:line="279" w:lineRule="auto"/>
        <w:rPr>
          <w:sz w:val="20"/>
          <w:szCs w:val="20"/>
          <w:color w:val="auto"/>
        </w:rPr>
      </w:pPr>
      <w:r>
        <w:rPr>
          <w:rFonts w:ascii="Times New Roman" w:cs="Times New Roman" w:eastAsia="Times New Roman" w:hAnsi="Times New Roman"/>
          <w:sz w:val="16"/>
          <w:szCs w:val="16"/>
          <w:color w:val="auto"/>
        </w:rPr>
        <w:t>ROAA greater than 0.00%, but excluded targets of announced merger transactions (the “Peach State Peer Group”). The Peach State Peer Group consisted of the following companies:</w:t>
      </w:r>
    </w:p>
    <w:p>
      <w:pPr>
        <w:sectPr>
          <w:pgSz w:w="11900" w:h="16838" w:orient="portrait"/>
          <w:cols w:equalWidth="0" w:num="1">
            <w:col w:w="9239"/>
          </w:cols>
          <w:pgMar w:left="1220" w:top="94" w:right="1440" w:bottom="1440" w:gutter="0" w:footer="0" w:header="0"/>
        </w:sectPr>
      </w:pPr>
    </w:p>
    <w:p>
      <w:pPr>
        <w:spacing w:after="0" w:line="1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Auburn​ National Bancorporation, Inc.</w:t>
      </w:r>
    </w:p>
    <w:p>
      <w:pPr>
        <w:ind w:left="1420"/>
        <w:spacing w:after="0" w:line="184"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Bank of the James Financial Group, Inc.</w:t>
      </w:r>
    </w:p>
    <w:p>
      <w:pPr>
        <w:ind w:left="1420"/>
        <w:spacing w:after="0" w:line="182" w:lineRule="auto"/>
        <w:rPr>
          <w:sz w:val="20"/>
          <w:szCs w:val="20"/>
          <w:color w:val="auto"/>
        </w:rPr>
      </w:pPr>
      <w:r>
        <w:rPr>
          <w:rFonts w:ascii="Times New Roman" w:cs="Times New Roman" w:eastAsia="Times New Roman" w:hAnsi="Times New Roman"/>
          <w:sz w:val="13"/>
          <w:szCs w:val="13"/>
          <w:color w:val="auto"/>
        </w:rPr>
        <w:t>blueharbor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 xml:space="preserve"> bank</w:t>
      </w:r>
    </w:p>
    <w:p>
      <w:pPr>
        <w:ind w:left="142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First Reliance Bancshares, Inc.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 Merchants &amp; Marine Bancorp, Inc.</w:t>
            </w:r>
          </w:p>
        </w:tc>
        <w:tc>
          <w:tcPr>
            <w:tcW w:w="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2960" w:type="dxa"/>
            <w:vAlign w:val="bottom"/>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Oconee Financial Corporation</w:t>
            </w:r>
          </w:p>
        </w:tc>
        <w:tc>
          <w:tcPr>
            <w:tcW w:w="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2960" w:type="dxa"/>
            <w:vAlign w:val="bottom"/>
          </w:tcPr>
          <w:p>
            <w:pPr>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Peoples Financial Corporation</w:t>
            </w:r>
          </w:p>
        </w:tc>
        <w:tc>
          <w:tcPr>
            <w:tcW w:w="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r>
      <w:tr>
        <w:trPr>
          <w:trHeight w:val="387"/>
        </w:trPr>
        <w:tc>
          <w:tcPr>
            <w:tcW w:w="2960" w:type="dxa"/>
            <w:vAlign w:val="bottom"/>
          </w:tcPr>
          <w:p>
            <w:pPr>
              <w:spacing w:after="0"/>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xml:space="preserve"> Pinnacle Bankshares Corporation</w:t>
            </w:r>
          </w:p>
        </w:tc>
        <w:tc>
          <w:tcPr>
            <w:tcW w:w="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r>
    </w:tbl>
    <w:p>
      <w:pPr>
        <w:spacing w:after="0" w:line="1" w:lineRule="exact"/>
        <w:rPr>
          <w:sz w:val="20"/>
          <w:szCs w:val="20"/>
          <w:color w:val="auto"/>
        </w:rPr>
      </w:pPr>
    </w:p>
    <w:p>
      <w:pPr>
        <w:sectPr>
          <w:pgSz w:w="11900" w:h="16838" w:orient="portrait"/>
          <w:cols w:equalWidth="0" w:num="2">
            <w:col w:w="4100" w:space="520"/>
            <w:col w:w="4619"/>
          </w:cols>
          <w:pgMar w:left="1220" w:top="94" w:right="1440" w:bottom="1440" w:gutter="0" w:footer="0" w:header="0"/>
          <w:type w:val="continuous"/>
        </w:sectPr>
      </w:pPr>
    </w:p>
    <w:p>
      <w:pPr>
        <w:ind w:left="1100" w:right="899" w:firstLine="318"/>
        <w:spacing w:after="0" w:line="251" w:lineRule="auto"/>
        <w:rPr>
          <w:sz w:val="20"/>
          <w:szCs w:val="20"/>
          <w:color w:val="auto"/>
        </w:rPr>
      </w:pPr>
      <w:r>
        <w:rPr>
          <w:rFonts w:ascii="Times New Roman" w:cs="Times New Roman" w:eastAsia="Times New Roman" w:hAnsi="Times New Roman"/>
          <w:sz w:val="16"/>
          <w:szCs w:val="16"/>
          <w:color w:val="auto"/>
        </w:rPr>
        <w:t>The analysis compared financial information provided by the senior management team of Peach State with corresponding data for the Peach State Peer Group as of or for the year ended December 31, 2025 (unless otherwise noted) with pricing data as of April 17, 2026. The table below sets forth the data for Peach State and the median, mean, low and high data for the Peach State Peer Group.</w:t>
      </w:r>
    </w:p>
    <w:p>
      <w:pPr>
        <w:spacing w:after="0" w:line="10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u w:val="single" w:color="auto"/>
          <w:color w:val="auto"/>
        </w:rPr>
        <w:t>Peach State Comparable Company Analysis</w:t>
      </w:r>
    </w:p>
    <w:p>
      <w:pPr>
        <w:spacing w:after="0" w:line="150"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Peach State</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Peach State</w:t>
            </w:r>
          </w:p>
        </w:tc>
        <w:tc>
          <w:tcPr>
            <w:tcW w:w="18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Peach State</w:t>
            </w:r>
          </w:p>
        </w:tc>
        <w:tc>
          <w:tcPr>
            <w:tcW w:w="18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Peach State</w:t>
            </w:r>
          </w:p>
        </w:tc>
      </w:tr>
      <w:tr>
        <w:trPr>
          <w:trHeight w:val="143"/>
        </w:trPr>
        <w:tc>
          <w:tcPr>
            <w:tcW w:w="1740" w:type="dxa"/>
            <w:vAlign w:val="bottom"/>
          </w:tcPr>
          <w:p>
            <w:pPr>
              <w:spacing w:after="0"/>
              <w:rPr>
                <w:sz w:val="12"/>
                <w:szCs w:val="12"/>
                <w:color w:val="auto"/>
              </w:rPr>
            </w:pPr>
          </w:p>
        </w:tc>
        <w:tc>
          <w:tcPr>
            <w:tcW w:w="2360" w:type="dxa"/>
            <w:vAlign w:val="bottom"/>
            <w:gridSpan w:val="3"/>
          </w:tcPr>
          <w:p>
            <w:pPr>
              <w:ind w:left="1820"/>
              <w:spacing w:after="0" w:line="143" w:lineRule="exact"/>
              <w:rPr>
                <w:sz w:val="20"/>
                <w:szCs w:val="20"/>
                <w:color w:val="auto"/>
              </w:rPr>
            </w:pPr>
            <w:r>
              <w:rPr>
                <w:rFonts w:ascii="Times New Roman" w:cs="Times New Roman" w:eastAsia="Times New Roman" w:hAnsi="Times New Roman"/>
                <w:sz w:val="13"/>
                <w:szCs w:val="13"/>
                <w:b w:val="1"/>
                <w:bCs w:val="1"/>
                <w:color w:val="auto"/>
              </w:rPr>
              <w:t>Peach</w:t>
            </w:r>
          </w:p>
        </w:tc>
        <w:tc>
          <w:tcPr>
            <w:tcW w:w="8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6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1"/>
              </w:rPr>
              <w:t>Peer Group</w:t>
            </w:r>
          </w:p>
        </w:tc>
        <w:tc>
          <w:tcPr>
            <w:tcW w:w="180" w:type="dxa"/>
            <w:vAlign w:val="bottom"/>
          </w:tcPr>
          <w:p>
            <w:pPr>
              <w:spacing w:after="0"/>
              <w:rPr>
                <w:sz w:val="12"/>
                <w:szCs w:val="12"/>
                <w:color w:val="auto"/>
              </w:rPr>
            </w:pPr>
          </w:p>
        </w:tc>
        <w:tc>
          <w:tcPr>
            <w:tcW w:w="6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4"/>
              </w:rPr>
              <w:t>Peer Group</w:t>
            </w:r>
          </w:p>
        </w:tc>
        <w:tc>
          <w:tcPr>
            <w:tcW w:w="180" w:type="dxa"/>
            <w:vAlign w:val="bottom"/>
          </w:tcPr>
          <w:p>
            <w:pPr>
              <w:spacing w:after="0"/>
              <w:rPr>
                <w:sz w:val="12"/>
                <w:szCs w:val="12"/>
                <w:color w:val="auto"/>
              </w:rPr>
            </w:pPr>
          </w:p>
        </w:tc>
        <w:tc>
          <w:tcPr>
            <w:tcW w:w="68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Peer Group</w:t>
            </w:r>
          </w:p>
        </w:tc>
      </w:tr>
      <w:tr>
        <w:trPr>
          <w:trHeight w:val="189"/>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360" w:type="dxa"/>
            <w:vAlign w:val="bottom"/>
            <w:gridSpan w:val="3"/>
          </w:tcPr>
          <w:p>
            <w:pPr>
              <w:ind w:left="168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State </w:t>
            </w:r>
            <w:r>
              <w:rPr>
                <w:rFonts w:ascii="Times New Roman" w:cs="Times New Roman" w:eastAsia="Times New Roman" w:hAnsi="Times New Roman"/>
                <w:sz w:val="21"/>
                <w:szCs w:val="21"/>
                <w:b w:val="1"/>
                <w:bCs w:val="1"/>
                <w:color w:val="auto"/>
                <w:vertAlign w:val="subscript"/>
              </w:rPr>
              <w:t>​ ​</w:t>
            </w:r>
          </w:p>
        </w:tc>
        <w:tc>
          <w:tcPr>
            <w:tcW w:w="82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Median   </w:t>
            </w:r>
            <w:r>
              <w:rPr>
                <w:rFonts w:ascii="Times New Roman" w:cs="Times New Roman" w:eastAsia="Times New Roman" w:hAnsi="Times New Roman"/>
                <w:sz w:val="21"/>
                <w:szCs w:val="21"/>
                <w:b w:val="1"/>
                <w:bCs w:val="1"/>
                <w:color w:val="auto"/>
                <w:vertAlign w:val="subscript"/>
              </w:rPr>
              <w:t>​ ​</w:t>
            </w:r>
          </w:p>
        </w:tc>
        <w:tc>
          <w:tcPr>
            <w:tcW w:w="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Mean</w:t>
            </w: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Low</w:t>
            </w: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68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High   </w:t>
            </w:r>
            <w:r>
              <w:rPr>
                <w:rFonts w:ascii="Times New Roman" w:cs="Times New Roman" w:eastAsia="Times New Roman" w:hAnsi="Times New Roman"/>
                <w:sz w:val="21"/>
                <w:szCs w:val="21"/>
                <w:b w:val="1"/>
                <w:bCs w:val="1"/>
                <w:color w:val="auto"/>
                <w:vertAlign w:val="subscript"/>
              </w:rPr>
              <w:t>​</w:t>
            </w:r>
          </w:p>
        </w:tc>
      </w:tr>
      <w:tr>
        <w:trPr>
          <w:trHeight w:val="20"/>
        </w:trPr>
        <w:tc>
          <w:tcPr>
            <w:tcW w:w="1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-6985</wp:posOffset>
            </wp:positionV>
            <wp:extent cx="4599305" cy="151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4599305" cy="15113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type w:val="continuous"/>
        </w:sectPr>
      </w:pPr>
    </w:p>
    <w:p>
      <w:pPr>
        <w:spacing w:after="0" w:line="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Total assets ($mm)</w:t>
      </w:r>
    </w:p>
    <w:p>
      <w:pPr>
        <w:spacing w:after="0" w:line="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Loans / Deposits (%)</w:t>
      </w:r>
    </w:p>
    <w:p>
      <w:pPr>
        <w:spacing w:after="0" w:line="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Non-performing assets / Total assets (%)</w:t>
      </w:r>
    </w:p>
    <w:p>
      <w:pPr>
        <w:spacing w:after="0" w:line="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Allowance for credit losses / Total loans (%)</w:t>
      </w:r>
    </w:p>
    <w:p>
      <w:pPr>
        <w:spacing w:after="0" w:line="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Net charge-offs / Average loans (%)</w:t>
      </w:r>
    </w:p>
    <w:p>
      <w:pPr>
        <w:spacing w:after="0" w:line="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Tangible common equity / Tangible assets (%)</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Total RBC Ratio (%)</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MRQ Return on average assets (%)</w:t>
      </w:r>
    </w:p>
    <w:p>
      <w:pPr>
        <w:spacing w:after="0" w:line="42" w:lineRule="exact"/>
        <w:rPr>
          <w:sz w:val="20"/>
          <w:szCs w:val="20"/>
          <w:color w:val="auto"/>
        </w:rPr>
      </w:pPr>
    </w:p>
    <w:p>
      <w:pPr>
        <w:ind w:left="1260" w:right="260" w:hanging="158"/>
        <w:spacing w:after="0" w:line="279" w:lineRule="auto"/>
        <w:rPr>
          <w:sz w:val="20"/>
          <w:szCs w:val="20"/>
          <w:color w:val="auto"/>
        </w:rPr>
      </w:pPr>
      <w:r>
        <w:rPr>
          <w:rFonts w:ascii="Times New Roman" w:cs="Times New Roman" w:eastAsia="Times New Roman" w:hAnsi="Times New Roman"/>
          <w:sz w:val="16"/>
          <w:szCs w:val="16"/>
          <w:color w:val="auto"/>
        </w:rPr>
        <w:t>MRQ Return on average tangible common equity (%)</w:t>
      </w:r>
    </w:p>
    <w:p>
      <w:pPr>
        <w:spacing w:after="0" w:line="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MRQ Net interest margin (%)</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MRQ Cost of deposits (%)</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MRQ Efficiency ratio (%)</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Price / Tangible book value per share (%)</w:t>
      </w:r>
    </w:p>
    <w:p>
      <w:pPr>
        <w:spacing w:after="0" w:line="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Price / LTM Core earnings per share</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(x)</w:t>
      </w:r>
    </w:p>
    <w:p>
      <w:pPr>
        <w:spacing w:after="0" w:line="4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Current dividend yield (%)</w:t>
      </w:r>
    </w:p>
    <w:p>
      <w:pPr>
        <w:spacing w:after="0" w:line="4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Market value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151130</wp:posOffset>
            </wp:positionV>
            <wp:extent cx="108902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788​​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980</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903</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607</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6"/>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69.9​​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75.2</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72.8</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43.6</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97.7</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6"/>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0.00​​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0.15</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0.28</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0.00</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0.85</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6"/>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1.18​​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1.11</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1.08</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0.71</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1.35</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59"/>
        </w:trPr>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jc w:val="right"/>
              <w:ind w:right="145"/>
              <w:spacing w:after="0" w:line="160" w:lineRule="exact"/>
              <w:rPr>
                <w:sz w:val="20"/>
                <w:szCs w:val="20"/>
                <w:color w:val="auto"/>
              </w:rPr>
            </w:pPr>
            <w:r>
              <w:rPr>
                <w:rFonts w:ascii="Times New Roman" w:cs="Times New Roman" w:eastAsia="Times New Roman" w:hAnsi="Times New Roman"/>
                <w:sz w:val="16"/>
                <w:szCs w:val="16"/>
                <w:color w:val="auto"/>
                <w:w w:val="98"/>
              </w:rPr>
              <w:t>​(0.03)</w:t>
            </w:r>
          </w:p>
        </w:tc>
        <w:tc>
          <w:tcPr>
            <w:tcW w:w="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0.09</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line="160"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0.19</w:t>
            </w: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(0.03)</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line="160" w:lineRule="exact"/>
              <w:rPr>
                <w:sz w:val="20"/>
                <w:szCs w:val="20"/>
                <w:color w:val="auto"/>
              </w:rPr>
            </w:pPr>
            <w:r>
              <w:rPr>
                <w:rFonts w:ascii="Times New Roman" w:cs="Times New Roman" w:eastAsia="Times New Roman" w:hAnsi="Times New Roman"/>
                <w:sz w:val="16"/>
                <w:szCs w:val="16"/>
                <w:color w:val="auto"/>
              </w:rPr>
              <w:t>​ 1.04</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7"/>
        </w:trPr>
        <w:tc>
          <w:tcPr>
            <w:tcW w:w="1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jc w:val="right"/>
              <w:ind w:right="5"/>
              <w:spacing w:after="0" w:line="67"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6.8​​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8.9</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9.5</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7.0</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13.8</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3"/>
        </w:trPr>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65"/>
              <w:spacing w:after="0" w:line="173" w:lineRule="exact"/>
              <w:rPr>
                <w:sz w:val="20"/>
                <w:szCs w:val="20"/>
                <w:color w:val="auto"/>
              </w:rPr>
            </w:pPr>
            <w:r>
              <w:rPr>
                <w:rFonts w:ascii="Times New Roman" w:cs="Times New Roman" w:eastAsia="Times New Roman" w:hAnsi="Times New Roman"/>
                <w:sz w:val="16"/>
                <w:szCs w:val="16"/>
                <w:color w:val="auto"/>
                <w:w w:val="91"/>
              </w:rPr>
              <w:t>15.1</w:t>
            </w:r>
            <w:r>
              <w:rPr>
                <w:rFonts w:ascii="Times New Roman" w:cs="Times New Roman" w:eastAsia="Times New Roman" w:hAnsi="Times New Roman"/>
                <w:sz w:val="20"/>
                <w:szCs w:val="20"/>
                <w:color w:val="auto"/>
                <w:w w:val="91"/>
                <w:vertAlign w:val="superscript"/>
              </w:rPr>
              <w:t>(1)</w:t>
            </w:r>
          </w:p>
        </w:tc>
        <w:tc>
          <w:tcPr>
            <w:tcW w:w="48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13.8</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line="17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14.8</w:t>
            </w: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ind w:left="80"/>
              <w:spacing w:after="0" w:line="17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12.5</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line="174" w:lineRule="exact"/>
              <w:rPr>
                <w:sz w:val="20"/>
                <w:szCs w:val="20"/>
                <w:color w:val="auto"/>
              </w:rPr>
            </w:pPr>
            <w:r>
              <w:rPr>
                <w:rFonts w:ascii="Times New Roman" w:cs="Times New Roman" w:eastAsia="Times New Roman" w:hAnsi="Times New Roman"/>
                <w:sz w:val="16"/>
                <w:szCs w:val="16"/>
                <w:color w:val="auto"/>
              </w:rPr>
              <w:t>​ 17.8</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79"/>
        </w:trPr>
        <w:tc>
          <w:tcPr>
            <w:tcW w:w="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jc w:val="right"/>
              <w:ind w:right="5"/>
              <w:spacing w:after="0" w:line="79" w:lineRule="exact"/>
              <w:rPr>
                <w:sz w:val="20"/>
                <w:szCs w:val="20"/>
                <w:color w:val="auto"/>
              </w:rPr>
            </w:pPr>
            <w:r>
              <w:rPr>
                <w:rFonts w:ascii="Times New Roman" w:cs="Times New Roman" w:eastAsia="Times New Roman" w:hAnsi="Times New Roman"/>
                <w:sz w:val="9"/>
                <w:szCs w:val="9"/>
                <w:color w:val="auto"/>
              </w:rPr>
              <w:t>​​ ​</w:t>
            </w:r>
          </w:p>
        </w:tc>
        <w:tc>
          <w:tcPr>
            <w:tcW w:w="48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1.04​​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0.87</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0.97</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0.39</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2.19</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05"/>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15.6​​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10.9</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10.8</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62"/>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3.51​​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3.84</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3.74</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2.73</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4.34</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1.88​​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1.32</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1.36</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0.51</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1.85</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62.6​​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71.7</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70.5</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35.7</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86.5</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107</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118</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84</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62"/>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11.3</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13.0</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9.8</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25.1</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1.9</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0.0</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101</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52</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-2238375</wp:posOffset>
            </wp:positionV>
            <wp:extent cx="4599305" cy="143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-1951355</wp:posOffset>
            </wp:positionV>
            <wp:extent cx="4599305" cy="143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-1663700</wp:posOffset>
            </wp:positionV>
            <wp:extent cx="4599305" cy="151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-1361440</wp:posOffset>
            </wp:positionV>
            <wp:extent cx="4599305" cy="272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4599305" cy="2724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-937895</wp:posOffset>
            </wp:positionV>
            <wp:extent cx="4599305" cy="151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-635000</wp:posOffset>
            </wp:positionV>
            <wp:extent cx="4599305" cy="1511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-317500</wp:posOffset>
            </wp:positionV>
            <wp:extent cx="4599305" cy="151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4599305" cy="1511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340"/>
            <w:col w:w="4719"/>
          </w:cols>
          <w:pgMar w:left="1220" w:top="94" w:right="1440" w:bottom="1440" w:gutter="0" w:footer="0" w:header="0"/>
          <w:type w:val="continuous"/>
        </w:sectPr>
      </w:pPr>
    </w:p>
    <w:p>
      <w:pPr>
        <w:spacing w:after="0" w:line="105" w:lineRule="exact"/>
        <w:rPr>
          <w:sz w:val="20"/>
          <w:szCs w:val="20"/>
          <w:color w:val="auto"/>
        </w:rPr>
      </w:pPr>
    </w:p>
    <w:p>
      <w:pPr>
        <w:ind w:left="1420" w:hanging="317"/>
        <w:spacing w:after="0"/>
        <w:tabs>
          <w:tab w:leader="none" w:pos="14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Peach State total RBC ratio was estimated.</w:t>
      </w:r>
    </w:p>
    <w:p>
      <w:pPr>
        <w:spacing w:after="0" w:line="78" w:lineRule="exact"/>
        <w:rPr>
          <w:rFonts w:ascii="Times New Roman" w:cs="Times New Roman" w:eastAsia="Times New Roman" w:hAnsi="Times New Roman"/>
          <w:sz w:val="16"/>
          <w:szCs w:val="16"/>
          <w:color w:val="auto"/>
        </w:rPr>
      </w:pPr>
    </w:p>
    <w:p>
      <w:pPr>
        <w:jc w:val="both"/>
        <w:ind w:left="1420" w:right="919" w:hanging="317"/>
        <w:spacing w:after="0" w:line="258" w:lineRule="auto"/>
        <w:tabs>
          <w:tab w:leader="none" w:pos="14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Core as defined by S&amp;P Capital IQ Pro (net income after taxes and before extraordinary items, less net income attributable to noncontrolling interest, gain on the sale of held to maturity and available for sale securities, amortization of intangibles, goodwill and nonrecurring items).</w:t>
      </w:r>
    </w:p>
    <w:p>
      <w:pPr>
        <w:spacing w:after="0" w:line="2" w:lineRule="exact"/>
        <w:rPr>
          <w:sz w:val="20"/>
          <w:szCs w:val="20"/>
          <w:color w:val="auto"/>
        </w:rPr>
      </w:pPr>
    </w:p>
    <w:p>
      <w:pPr>
        <w:ind w:left="1100" w:right="1379"/>
        <w:spacing w:after="0" w:line="271" w:lineRule="auto"/>
        <w:rPr>
          <w:sz w:val="20"/>
          <w:szCs w:val="20"/>
          <w:color w:val="auto"/>
        </w:rPr>
      </w:pPr>
      <w:r>
        <w:rPr>
          <w:rFonts w:ascii="Times New Roman" w:cs="Times New Roman" w:eastAsia="Times New Roman" w:hAnsi="Times New Roman"/>
          <w:sz w:val="16"/>
          <w:szCs w:val="16"/>
          <w:color w:val="auto"/>
        </w:rPr>
        <w:t>Note: Financial data for Peach State as of or for the period ending March 31, 2026; Peoples Financial Corporation regulatory capital information unavailable due to adoption of CBLR.</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Source: S&amp;P Capital IQ Pro; Peach State Company Documents.</w:t>
      </w:r>
    </w:p>
    <w:p>
      <w:pPr>
        <w:spacing w:after="0" w:line="138" w:lineRule="exact"/>
        <w:rPr>
          <w:sz w:val="20"/>
          <w:szCs w:val="20"/>
          <w:color w:val="auto"/>
        </w:rPr>
      </w:pPr>
    </w:p>
    <w:p>
      <w:pPr>
        <w:ind w:left="1100" w:right="999" w:firstLine="318"/>
        <w:spacing w:after="0" w:line="253" w:lineRule="auto"/>
        <w:rPr>
          <w:sz w:val="20"/>
          <w:szCs w:val="20"/>
          <w:color w:val="auto"/>
        </w:rPr>
      </w:pPr>
      <w:r>
        <w:rPr>
          <w:rFonts w:ascii="Times New Roman" w:cs="Times New Roman" w:eastAsia="Times New Roman" w:hAnsi="Times New Roman"/>
          <w:sz w:val="16"/>
          <w:szCs w:val="16"/>
          <w:color w:val="auto"/>
        </w:rPr>
        <w:t>Piper Sandler used publicly available information to perform a similar analysis for United by comparing selected financial information for United with a group of financial institutions selected by Piper Sandler. The United peer group included major exchange-traded banks and thrifts headquartered in the southeast region of the U.S. consisting of Alabama, Arkansas, Florida, Georgia, Mississippi, North Carolina, South Carolina, Tennessee, Virginia and West Virginia with total assets between $20 billion and $50 billion, but excluded targets of announced merger transactions (the “United Peer Group”). The United Peer Group consisted of the following companies:</w:t>
      </w:r>
    </w:p>
    <w:p>
      <w:pPr>
        <w:spacing w:after="0" w:line="32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Ameris​</w:t>
            </w:r>
          </w:p>
        </w:tc>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Bancorp</w:t>
            </w:r>
          </w:p>
        </w:tc>
        <w:tc>
          <w:tcPr>
            <w:tcW w:w="34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 Renasant Corporation</w:t>
            </w:r>
          </w:p>
        </w:tc>
        <w:tc>
          <w:tcPr>
            <w:tcW w:w="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5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420" w:type="dxa"/>
            <w:vAlign w:val="bottom"/>
          </w:tcPr>
          <w:p>
            <w:pPr>
              <w:spacing w:after="0"/>
              <w:rPr>
                <w:sz w:val="13"/>
                <w:szCs w:val="13"/>
                <w:color w:val="auto"/>
              </w:rPr>
            </w:pPr>
          </w:p>
        </w:tc>
        <w:tc>
          <w:tcPr>
            <w:tcW w:w="440" w:type="dxa"/>
            <w:vAlign w:val="bottom"/>
          </w:tcPr>
          <w:p>
            <w:pPr>
              <w:ind w:left="280"/>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Seacoast Banking Corporation of Florida</w:t>
            </w:r>
          </w:p>
        </w:tc>
        <w:tc>
          <w:tcPr>
            <w:tcW w:w="280" w:type="dxa"/>
            <w:vAlign w:val="bottom"/>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
        </w:trPr>
        <w:tc>
          <w:tcPr>
            <w:tcW w:w="292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Atlantic Union Bankshares Corporation</w:t>
            </w:r>
          </w:p>
        </w:tc>
        <w:tc>
          <w:tcPr>
            <w:tcW w:w="440" w:type="dxa"/>
            <w:vAlign w:val="bottom"/>
          </w:tcPr>
          <w:p>
            <w:pPr>
              <w:spacing w:after="0"/>
              <w:rPr>
                <w:sz w:val="3"/>
                <w:szCs w:val="3"/>
                <w:color w:val="auto"/>
              </w:rPr>
            </w:pPr>
          </w:p>
        </w:tc>
        <w:tc>
          <w:tcPr>
            <w:tcW w:w="30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420" w:type="dxa"/>
            <w:vAlign w:val="bottom"/>
          </w:tcPr>
          <w:p>
            <w:pPr>
              <w:spacing w:after="0"/>
              <w:rPr>
                <w:sz w:val="13"/>
                <w:szCs w:val="13"/>
                <w:color w:val="auto"/>
              </w:rPr>
            </w:pPr>
          </w:p>
        </w:tc>
        <w:tc>
          <w:tcPr>
            <w:tcW w:w="440" w:type="dxa"/>
            <w:vAlign w:val="bottom"/>
          </w:tcPr>
          <w:p>
            <w:pPr>
              <w:ind w:left="280"/>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Simmons First National Corporation</w:t>
            </w:r>
          </w:p>
        </w:tc>
        <w:tc>
          <w:tcPr>
            <w:tcW w:w="280" w:type="dxa"/>
            <w:vAlign w:val="bottom"/>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
        </w:trPr>
        <w:tc>
          <w:tcPr>
            <w:tcW w:w="292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Bank OZK</w:t>
            </w:r>
          </w:p>
        </w:tc>
        <w:tc>
          <w:tcPr>
            <w:tcW w:w="440" w:type="dxa"/>
            <w:vAlign w:val="bottom"/>
          </w:tcPr>
          <w:p>
            <w:pPr>
              <w:spacing w:after="0"/>
              <w:rPr>
                <w:sz w:val="3"/>
                <w:szCs w:val="3"/>
                <w:color w:val="auto"/>
              </w:rPr>
            </w:pPr>
          </w:p>
        </w:tc>
        <w:tc>
          <w:tcPr>
            <w:tcW w:w="30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420" w:type="dxa"/>
            <w:vAlign w:val="bottom"/>
          </w:tcPr>
          <w:p>
            <w:pPr>
              <w:spacing w:after="0"/>
              <w:rPr>
                <w:sz w:val="13"/>
                <w:szCs w:val="13"/>
                <w:color w:val="auto"/>
              </w:rPr>
            </w:pPr>
          </w:p>
        </w:tc>
        <w:tc>
          <w:tcPr>
            <w:tcW w:w="440" w:type="dxa"/>
            <w:vAlign w:val="bottom"/>
          </w:tcPr>
          <w:p>
            <w:pPr>
              <w:ind w:left="280"/>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United Bankshares, Inc.</w:t>
            </w:r>
          </w:p>
        </w:tc>
        <w:tc>
          <w:tcPr>
            <w:tcW w:w="280" w:type="dxa"/>
            <w:vAlign w:val="bottom"/>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
        </w:trPr>
        <w:tc>
          <w:tcPr>
            <w:tcW w:w="292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BankUnited, Inc.</w:t>
            </w:r>
          </w:p>
        </w:tc>
        <w:tc>
          <w:tcPr>
            <w:tcW w:w="440" w:type="dxa"/>
            <w:vAlign w:val="bottom"/>
          </w:tcPr>
          <w:p>
            <w:pPr>
              <w:spacing w:after="0"/>
              <w:rPr>
                <w:sz w:val="3"/>
                <w:szCs w:val="3"/>
                <w:color w:val="auto"/>
              </w:rPr>
            </w:pPr>
          </w:p>
        </w:tc>
        <w:tc>
          <w:tcPr>
            <w:tcW w:w="30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420" w:type="dxa"/>
            <w:vAlign w:val="bottom"/>
          </w:tcPr>
          <w:p>
            <w:pPr>
              <w:spacing w:after="0"/>
              <w:rPr>
                <w:sz w:val="13"/>
                <w:szCs w:val="13"/>
                <w:color w:val="auto"/>
              </w:rPr>
            </w:pPr>
          </w:p>
        </w:tc>
        <w:tc>
          <w:tcPr>
            <w:tcW w:w="440" w:type="dxa"/>
            <w:vAlign w:val="bottom"/>
          </w:tcPr>
          <w:p>
            <w:pPr>
              <w:ind w:left="280"/>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WesBanco, Inc.</w:t>
            </w:r>
          </w:p>
        </w:tc>
        <w:tc>
          <w:tcPr>
            <w:tcW w:w="280" w:type="dxa"/>
            <w:vAlign w:val="bottom"/>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
        </w:trPr>
        <w:tc>
          <w:tcPr>
            <w:tcW w:w="292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Hancock Whitney Corporation</w:t>
            </w:r>
          </w:p>
        </w:tc>
        <w:tc>
          <w:tcPr>
            <w:tcW w:w="440" w:type="dxa"/>
            <w:vAlign w:val="bottom"/>
          </w:tcPr>
          <w:p>
            <w:pPr>
              <w:spacing w:after="0"/>
              <w:rPr>
                <w:sz w:val="3"/>
                <w:szCs w:val="3"/>
                <w:color w:val="auto"/>
              </w:rPr>
            </w:pPr>
          </w:p>
        </w:tc>
        <w:tc>
          <w:tcPr>
            <w:tcW w:w="30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420" w:type="dxa"/>
            <w:vAlign w:val="bottom"/>
          </w:tcPr>
          <w:p>
            <w:pPr>
              <w:spacing w:after="0"/>
              <w:rPr>
                <w:sz w:val="13"/>
                <w:szCs w:val="13"/>
                <w:color w:val="auto"/>
              </w:rPr>
            </w:pPr>
          </w:p>
        </w:tc>
        <w:tc>
          <w:tcPr>
            <w:tcW w:w="3440" w:type="dxa"/>
            <w:vAlign w:val="bottom"/>
            <w:gridSpan w:val="2"/>
          </w:tcPr>
          <w:p>
            <w:pPr>
              <w:ind w:left="280"/>
              <w:spacing w:after="0" w:line="160" w:lineRule="exact"/>
              <w:rPr>
                <w:sz w:val="20"/>
                <w:szCs w:val="20"/>
                <w:color w:val="auto"/>
              </w:rPr>
            </w:pPr>
            <w:r>
              <w:rPr>
                <w:rFonts w:ascii="Times New Roman" w:cs="Times New Roman" w:eastAsia="Times New Roman" w:hAnsi="Times New Roman"/>
                <w:sz w:val="16"/>
                <w:szCs w:val="16"/>
                <w:color w:val="auto"/>
              </w:rPr>
              <w:t>​ ​ ​</w:t>
            </w:r>
          </w:p>
        </w:tc>
        <w:tc>
          <w:tcPr>
            <w:tcW w:w="280" w:type="dxa"/>
            <w:vAlign w:val="bottom"/>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Home Bancshares, Inc.</w:t>
            </w:r>
          </w:p>
        </w:tc>
        <w:tc>
          <w:tcPr>
            <w:tcW w:w="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1100" w:right="919" w:firstLine="318"/>
        <w:spacing w:after="0" w:line="244" w:lineRule="auto"/>
        <w:rPr>
          <w:sz w:val="20"/>
          <w:szCs w:val="20"/>
          <w:color w:val="auto"/>
        </w:rPr>
      </w:pPr>
      <w:r>
        <w:rPr>
          <w:rFonts w:ascii="Times New Roman" w:cs="Times New Roman" w:eastAsia="Times New Roman" w:hAnsi="Times New Roman"/>
          <w:sz w:val="16"/>
          <w:szCs w:val="16"/>
          <w:color w:val="auto"/>
        </w:rPr>
        <w:t>The analysis compared publicly available financial information for United with corresponding data for the United Peer Group as of or for the year ended December 31, 2025 (unless otherwise noted) with pricing data as of April 17, 2026. The table below sets forth the data for United and the median, mean, low and high data for the United Peer Group.</w:t>
      </w:r>
    </w:p>
    <w:p>
      <w:pPr>
        <w:spacing w:after="0" w:line="10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u w:val="single" w:color="auto"/>
          <w:color w:val="auto"/>
        </w:rPr>
        <w:t>United Comparable Company Analysis</w:t>
      </w:r>
    </w:p>
    <w:p>
      <w:pPr>
        <w:spacing w:after="0" w:line="150"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0"/>
              </w:rPr>
              <w:t>United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5"/>
              </w:rPr>
              <w:t>United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0"/>
              </w:rPr>
              <w:t>United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0"/>
              </w:rPr>
              <w:t>United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4"/>
              </w:rPr>
              <w:t>Peer Group</w:t>
            </w:r>
          </w:p>
        </w:tc>
        <w:tc>
          <w:tcPr>
            <w:tcW w:w="160" w:type="dxa"/>
            <w:vAlign w:val="bottom"/>
          </w:tcPr>
          <w:p>
            <w:pPr>
              <w:spacing w:after="0"/>
              <w:rPr>
                <w:sz w:val="12"/>
                <w:szCs w:val="12"/>
                <w:color w:val="auto"/>
              </w:rPr>
            </w:pPr>
          </w:p>
        </w:tc>
        <w:tc>
          <w:tcPr>
            <w:tcW w:w="660" w:type="dxa"/>
            <w:vAlign w:val="bottom"/>
            <w:gridSpan w:val="3"/>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1"/>
              </w:rPr>
              <w:t>Peer Group</w:t>
            </w:r>
          </w:p>
        </w:tc>
        <w:tc>
          <w:tcPr>
            <w:tcW w:w="160" w:type="dxa"/>
            <w:vAlign w:val="bottom"/>
          </w:tcPr>
          <w:p>
            <w:pPr>
              <w:spacing w:after="0"/>
              <w:rPr>
                <w:sz w:val="12"/>
                <w:szCs w:val="12"/>
                <w:color w:val="auto"/>
              </w:rPr>
            </w:pPr>
          </w:p>
        </w:tc>
        <w:tc>
          <w:tcPr>
            <w:tcW w:w="64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4"/>
              </w:rPr>
              <w:t>Peer Group</w:t>
            </w:r>
          </w:p>
        </w:tc>
        <w:tc>
          <w:tcPr>
            <w:tcW w:w="180" w:type="dxa"/>
            <w:vAlign w:val="bottom"/>
          </w:tcPr>
          <w:p>
            <w:pPr>
              <w:spacing w:after="0"/>
              <w:rPr>
                <w:sz w:val="12"/>
                <w:szCs w:val="12"/>
                <w:color w:val="auto"/>
              </w:rPr>
            </w:pPr>
          </w:p>
        </w:tc>
        <w:tc>
          <w:tcPr>
            <w:tcW w:w="62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4"/>
              </w:rPr>
              <w:t>Peer Group</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4"/>
          </w:tcPr>
          <w:p>
            <w:pPr>
              <w:ind w:left="16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United  </w:t>
            </w:r>
            <w:r>
              <w:rPr>
                <w:rFonts w:ascii="Times New Roman" w:cs="Times New Roman" w:eastAsia="Times New Roman" w:hAnsi="Times New Roman"/>
                <w:sz w:val="21"/>
                <w:szCs w:val="21"/>
                <w:b w:val="1"/>
                <w:bCs w:val="1"/>
                <w:color w:val="auto"/>
                <w:vertAlign w:val="subscript"/>
              </w:rPr>
              <w:t>​ ​</w:t>
            </w:r>
          </w:p>
        </w:tc>
        <w:tc>
          <w:tcPr>
            <w:tcW w:w="120" w:type="dxa"/>
            <w:vAlign w:val="bottom"/>
          </w:tcPr>
          <w:p>
            <w:pPr>
              <w:spacing w:after="0"/>
              <w:rPr>
                <w:sz w:val="16"/>
                <w:szCs w:val="16"/>
                <w:color w:val="auto"/>
              </w:rPr>
            </w:pPr>
          </w:p>
        </w:tc>
        <w:tc>
          <w:tcPr>
            <w:tcW w:w="52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3"/>
              </w:rPr>
              <w:t>Median</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4"/>
              </w:rPr>
              <w:t>Mean</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Pr>
          <w:p>
            <w:pPr>
              <w:spacing w:after="0"/>
              <w:rPr>
                <w:sz w:val="16"/>
                <w:szCs w:val="16"/>
                <w:color w:val="auto"/>
              </w:rPr>
            </w:pPr>
          </w:p>
        </w:tc>
        <w:tc>
          <w:tcPr>
            <w:tcW w:w="52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7"/>
              </w:rPr>
              <w:t>Low</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Pr>
          <w:p>
            <w:pPr>
              <w:spacing w:after="0"/>
              <w:rPr>
                <w:sz w:val="16"/>
                <w:szCs w:val="16"/>
                <w:color w:val="auto"/>
              </w:rPr>
            </w:pPr>
          </w:p>
        </w:tc>
        <w:tc>
          <w:tcPr>
            <w:tcW w:w="50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4"/>
              </w:rPr>
              <w:t>High</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Total assets ($mm)</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​​28,177​​ ​</w:t>
            </w:r>
          </w:p>
        </w:tc>
        <w:tc>
          <w:tcPr>
            <w:tcW w:w="6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27,696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8"/>
                <w:szCs w:val="18"/>
                <w:color w:val="auto"/>
              </w:rPr>
            </w:pPr>
          </w:p>
        </w:tc>
        <w:tc>
          <w:tcPr>
            <w:tcW w:w="6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30,252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20,842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40,786</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6"/>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Loans / Deposits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81.8​​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88.7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88.2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77.7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6"/>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Non-performing assets / Total assets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0.33​​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0.37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0.51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6"/>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credit losses / Total loans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0.91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6"/>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Net charge-offs / Average loans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0.19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0.34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6"/>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Tangible common equity / Tangible assets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Total RBC Ratio (%)</w:t>
            </w:r>
          </w:p>
        </w:tc>
        <w:tc>
          <w:tcPr>
            <w:tcW w:w="2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40"/>
              <w:spacing w:after="0" w:line="190" w:lineRule="exact"/>
              <w:rPr>
                <w:sz w:val="20"/>
                <w:szCs w:val="20"/>
                <w:color w:val="auto"/>
              </w:rPr>
            </w:pPr>
            <w:r>
              <w:rPr>
                <w:rFonts w:ascii="Times New Roman" w:cs="Times New Roman" w:eastAsia="Times New Roman" w:hAnsi="Times New Roman"/>
                <w:sz w:val="16"/>
                <w:szCs w:val="16"/>
                <w:color w:val="auto"/>
              </w:rPr>
              <w:t>14.6</w:t>
            </w:r>
            <w:r>
              <w:rPr>
                <w:rFonts w:ascii="Times New Roman" w:cs="Times New Roman" w:eastAsia="Times New Roman" w:hAnsi="Times New Roman"/>
                <w:sz w:val="20"/>
                <w:szCs w:val="20"/>
                <w:color w:val="auto"/>
                <w:vertAlign w:val="superscript"/>
              </w:rPr>
              <w:t>(1)</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6"/>
                <w:szCs w:val="16"/>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8"/>
        </w:trPr>
        <w:tc>
          <w:tcPr>
            <w:tcW w:w="32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2"/>
          </w:tcPr>
          <w:p>
            <w:pPr>
              <w:jc w:val="right"/>
              <w:spacing w:after="0" w:line="48"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MRQ Return on average assets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0.65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MRQ Return on average tangible common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MRQ Net interest margin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3.84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3.85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MRQ Cost of deposits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MRQ Efficiency ratio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56.7​​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49.4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48.8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36.4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Price / Tangible book value per share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62"/>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Price / LTM Core earnings per share</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(x)</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2"/>
                <w:szCs w:val="22"/>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Price / 2026 Estimated earnings per share (x)</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Price / 2027 Estimated earnings per share (x)</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Current dividend yield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62"/>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($mm)</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 4,087​​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5,281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2"/>
                <w:szCs w:val="22"/>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4,626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-2541270</wp:posOffset>
            </wp:positionV>
            <wp:extent cx="4599305" cy="143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-2253615</wp:posOffset>
            </wp:positionV>
            <wp:extent cx="4599305" cy="143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-1966595</wp:posOffset>
            </wp:positionV>
            <wp:extent cx="4599305" cy="151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-1663700</wp:posOffset>
            </wp:positionV>
            <wp:extent cx="4599305" cy="272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4599305" cy="27241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-1240155</wp:posOffset>
            </wp:positionV>
            <wp:extent cx="4599305" cy="151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-937895</wp:posOffset>
            </wp:positionV>
            <wp:extent cx="4599305" cy="1511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-619760</wp:posOffset>
            </wp:positionV>
            <wp:extent cx="4599305" cy="151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-317500</wp:posOffset>
            </wp:positionV>
            <wp:extent cx="4599305" cy="151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-2836545</wp:posOffset>
            </wp:positionV>
            <wp:extent cx="4599305" cy="151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105410</wp:posOffset>
            </wp:positionV>
            <wp:extent cx="108902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273" w:lineRule="exact"/>
        <w:rPr>
          <w:sz w:val="20"/>
          <w:szCs w:val="20"/>
          <w:color w:val="auto"/>
        </w:rPr>
      </w:pPr>
    </w:p>
    <w:p>
      <w:pPr>
        <w:ind w:left="1420" w:hanging="317"/>
        <w:spacing w:after="0"/>
        <w:tabs>
          <w:tab w:leader="none" w:pos="14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 total RBC ratio was estimated.</w:t>
      </w:r>
    </w:p>
    <w:p>
      <w:pPr>
        <w:spacing w:after="0" w:line="66" w:lineRule="exact"/>
        <w:rPr>
          <w:rFonts w:ascii="Times New Roman" w:cs="Times New Roman" w:eastAsia="Times New Roman" w:hAnsi="Times New Roman"/>
          <w:sz w:val="16"/>
          <w:szCs w:val="16"/>
          <w:color w:val="auto"/>
        </w:rPr>
      </w:pPr>
    </w:p>
    <w:p>
      <w:pPr>
        <w:ind w:left="1420" w:right="919" w:hanging="317"/>
        <w:spacing w:after="0" w:line="258" w:lineRule="auto"/>
        <w:tabs>
          <w:tab w:leader="none" w:pos="14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Core as defined by S&amp;P Capital IQ Pro (net income after taxes and before extraordinary items, less net income attributable to noncontrolling interest, gain on the sale of held to maturity and available for sale securities, amortization of intangibles, goodwill and nonrecurring items); LTM earnings multiples &gt;30.0x or less than 0.0x are considered not meaningful (“NM”).</w:t>
      </w:r>
    </w:p>
    <w:p>
      <w:pPr>
        <w:spacing w:after="0" w:line="7" w:lineRule="exact"/>
        <w:rPr>
          <w:sz w:val="20"/>
          <w:szCs w:val="20"/>
          <w:color w:val="auto"/>
        </w:rPr>
      </w:pPr>
    </w:p>
    <w:p>
      <w:pPr>
        <w:ind w:left="1100" w:right="1119"/>
        <w:spacing w:after="0" w:line="256" w:lineRule="auto"/>
        <w:rPr>
          <w:sz w:val="20"/>
          <w:szCs w:val="20"/>
          <w:color w:val="auto"/>
        </w:rPr>
      </w:pPr>
      <w:r>
        <w:rPr>
          <w:rFonts w:ascii="Times New Roman" w:cs="Times New Roman" w:eastAsia="Times New Roman" w:hAnsi="Times New Roman"/>
          <w:sz w:val="16"/>
          <w:szCs w:val="16"/>
          <w:color w:val="auto"/>
        </w:rPr>
        <w:t>Note: Preliminary financial data for United as of or for the period ending March 31, 2026, as provided by United senior management.</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Source: S&amp;P Capital IQ Pro; United Company Documents.</w:t>
      </w:r>
    </w:p>
    <w:p>
      <w:pPr>
        <w:spacing w:after="0" w:line="1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Analysis of Precedent Transactions.</w:t>
      </w:r>
    </w:p>
    <w:p>
      <w:pPr>
        <w:spacing w:after="0" w:line="142" w:lineRule="exact"/>
        <w:rPr>
          <w:sz w:val="20"/>
          <w:szCs w:val="20"/>
          <w:color w:val="auto"/>
        </w:rPr>
      </w:pPr>
    </w:p>
    <w:p>
      <w:pPr>
        <w:ind w:left="1100" w:right="1059" w:firstLine="318"/>
        <w:spacing w:after="0" w:line="248" w:lineRule="auto"/>
        <w:rPr>
          <w:sz w:val="20"/>
          <w:szCs w:val="20"/>
          <w:color w:val="auto"/>
        </w:rPr>
      </w:pPr>
      <w:r>
        <w:rPr>
          <w:rFonts w:ascii="Times New Roman" w:cs="Times New Roman" w:eastAsia="Times New Roman" w:hAnsi="Times New Roman"/>
          <w:sz w:val="16"/>
          <w:szCs w:val="16"/>
          <w:color w:val="auto"/>
        </w:rPr>
        <w:t>Piper Sandler reviewed two groups of merger and acquisition transactions, including a southeast and nationwide group. The southeast group consisted of southeast (Alabama, Arkansas, Florida, Georgia, Mississippi, North Carolina, South Carolina, Tennessee, Virginia and West Virginia) whole bank and thrift</w:t>
      </w:r>
    </w:p>
    <w:p>
      <w:pPr>
        <w:spacing w:after="0" w:line="3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2"/>
          <w:szCs w:val="12"/>
          <w:color w:val="003366"/>
        </w:rPr>
        <w:t>TABLE OF CONTENTS</w:t>
      </w:r>
    </w:p>
    <w:p>
      <w:pPr>
        <w:sectPr>
          <w:pgSz w:w="11900" w:h="16838" w:orient="portrait"/>
          <w:cols w:equalWidth="0" w:num="1">
            <w:col w:w="9239"/>
          </w:cols>
          <w:pgMar w:left="122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100" w:right="120"/>
        <w:spacing w:after="0" w:line="269" w:lineRule="auto"/>
        <w:rPr>
          <w:sz w:val="20"/>
          <w:szCs w:val="20"/>
          <w:color w:val="auto"/>
        </w:rPr>
      </w:pPr>
      <w:r>
        <w:rPr>
          <w:rFonts w:ascii="Times New Roman" w:cs="Times New Roman" w:eastAsia="Times New Roman" w:hAnsi="Times New Roman"/>
          <w:sz w:val="16"/>
          <w:szCs w:val="16"/>
          <w:color w:val="auto"/>
        </w:rPr>
        <w:t>transactions since January 1, 2023 with target total assets between $500 million and $1.0 billion and a disclosed deal value (the “Southeast Precedent Transactions”). The nationwide group consisted of nationwide whole bank and thrift transactions since January 1, 2025 with target total assets between $500 million and $1.0 billion and a disclosed deal value (the “Nationwide Precedent Transactions”).</w:t>
      </w:r>
    </w:p>
    <w:p>
      <w:pPr>
        <w:spacing w:after="0" w:line="1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The Southeast Precedent Transactions group was composed of the following transactions:</w:t>
      </w:r>
    </w:p>
    <w:p>
      <w:pPr>
        <w:spacing w:after="0" w:line="144" w:lineRule="exact"/>
        <w:rPr>
          <w:sz w:val="20"/>
          <w:szCs w:val="20"/>
          <w:color w:val="auto"/>
        </w:rPr>
      </w:pPr>
    </w:p>
    <w:tbl>
      <w:tblPr>
        <w:tblLayout w:type="fixed"/>
        <w:tblInd w:w="1420" w:type="dxa"/>
        <w:tblCellMar>
          <w:top w:w="0" w:type="dxa"/>
          <w:left w:w="0" w:type="dxa"/>
          <w:bottom w:w="0" w:type="dxa"/>
          <w:right w:w="0" w:type="dxa"/>
        </w:tblCellMar>
      </w:tblPr>
      <w:tr>
        <w:trPr>
          <w:trHeight w:val="201"/>
        </w:trPr>
        <w:tc>
          <w:tcPr>
            <w:tcW w:w="3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Acquiror</w:t>
            </w:r>
          </w:p>
        </w:tc>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Target</w:t>
            </w:r>
          </w:p>
        </w:tc>
      </w:tr>
      <w:tr>
        <w:trPr>
          <w:trHeight w:val="190"/>
        </w:trPr>
        <w:tc>
          <w:tcPr>
            <w:tcW w:w="3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Fidelity Bancshares (N.C.), Inc.</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Affinity Bancshares, Inc.</w:t>
            </w:r>
          </w:p>
        </w:tc>
      </w:tr>
      <w:tr>
        <w:trPr>
          <w:trHeight w:val="22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Colony Bankcorp, Inc.</w:t>
            </w:r>
          </w:p>
        </w:tc>
        <w:tc>
          <w:tcPr>
            <w:tcW w:w="1600" w:type="dxa"/>
            <w:vAlign w:val="bottom"/>
            <w:gridSpan w:val="2"/>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TC Bancshares, Inc.</w:t>
            </w:r>
          </w:p>
        </w:tc>
        <w:tc>
          <w:tcPr>
            <w:tcW w:w="1800" w:type="dxa"/>
            <w:vAlign w:val="bottom"/>
          </w:tcPr>
          <w:p>
            <w:pPr>
              <w:spacing w:after="0"/>
              <w:rPr>
                <w:sz w:val="19"/>
                <w:szCs w:val="19"/>
                <w:color w:val="auto"/>
              </w:rPr>
            </w:pPr>
          </w:p>
        </w:tc>
      </w:tr>
      <w:tr>
        <w:trPr>
          <w:trHeight w:val="22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MIDFLORIDA Credit Union</w:t>
            </w:r>
          </w:p>
        </w:tc>
        <w:tc>
          <w:tcPr>
            <w:tcW w:w="3400" w:type="dxa"/>
            <w:vAlign w:val="bottom"/>
            <w:gridSpan w:val="3"/>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Prime Meridian Holding Company</w:t>
            </w:r>
          </w:p>
        </w:tc>
      </w:tr>
      <w:tr>
        <w:trPr>
          <w:trHeight w:val="22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Seacoast Banking Corporation of Florida</w:t>
            </w:r>
          </w:p>
        </w:tc>
        <w:tc>
          <w:tcPr>
            <w:tcW w:w="3400" w:type="dxa"/>
            <w:vAlign w:val="bottom"/>
            <w:gridSpan w:val="3"/>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Heartland Bancshares, Inc.</w:t>
            </w:r>
          </w:p>
        </w:tc>
      </w:tr>
      <w:tr>
        <w:trPr>
          <w:trHeight w:val="22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Cadence Bank</w:t>
            </w:r>
          </w:p>
        </w:tc>
        <w:tc>
          <w:tcPr>
            <w:tcW w:w="1600" w:type="dxa"/>
            <w:vAlign w:val="bottom"/>
            <w:gridSpan w:val="2"/>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FCB Financial Corp.</w:t>
            </w:r>
          </w:p>
        </w:tc>
        <w:tc>
          <w:tcPr>
            <w:tcW w:w="1800" w:type="dxa"/>
            <w:vAlign w:val="bottom"/>
          </w:tcPr>
          <w:p>
            <w:pPr>
              <w:spacing w:after="0"/>
              <w:rPr>
                <w:sz w:val="19"/>
                <w:szCs w:val="19"/>
                <w:color w:val="auto"/>
              </w:rPr>
            </w:pPr>
          </w:p>
        </w:tc>
      </w:tr>
      <w:tr>
        <w:trPr>
          <w:trHeight w:val="22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TowneBank</w:t>
            </w:r>
          </w:p>
        </w:tc>
        <w:tc>
          <w:tcPr>
            <w:tcW w:w="3400" w:type="dxa"/>
            <w:vAlign w:val="bottom"/>
            <w:gridSpan w:val="3"/>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Village Bank and Trust Financial Corp.</w:t>
            </w:r>
          </w:p>
        </w:tc>
      </w:tr>
      <w:tr>
        <w:trPr>
          <w:trHeight w:val="22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Capital Bancorp, Inc.</w:t>
            </w:r>
          </w:p>
        </w:tc>
        <w:tc>
          <w:tcPr>
            <w:tcW w:w="3400" w:type="dxa"/>
            <w:vAlign w:val="bottom"/>
            <w:gridSpan w:val="3"/>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Integrated Financial Holdings, Inc.</w:t>
            </w:r>
          </w:p>
        </w:tc>
      </w:tr>
      <w:tr>
        <w:trPr>
          <w:trHeight w:val="22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First National Corporation</w:t>
            </w:r>
          </w:p>
        </w:tc>
        <w:tc>
          <w:tcPr>
            <w:tcW w:w="3400" w:type="dxa"/>
            <w:vAlign w:val="bottom"/>
            <w:gridSpan w:val="3"/>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Touchstone Bankshares, Inc.</w:t>
            </w:r>
          </w:p>
        </w:tc>
      </w:tr>
      <w:tr>
        <w:trPr>
          <w:trHeight w:val="22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Dogwood State Bank</w:t>
            </w:r>
          </w:p>
        </w:tc>
        <w:tc>
          <w:tcPr>
            <w:tcW w:w="3400" w:type="dxa"/>
            <w:vAlign w:val="bottom"/>
            <w:gridSpan w:val="3"/>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Community First Bancorporation</w:t>
            </w:r>
          </w:p>
        </w:tc>
      </w:tr>
      <w:tr>
        <w:trPr>
          <w:trHeight w:val="22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First Financial Corporation</w:t>
            </w:r>
          </w:p>
        </w:tc>
        <w:tc>
          <w:tcPr>
            <w:tcW w:w="1600" w:type="dxa"/>
            <w:vAlign w:val="bottom"/>
            <w:gridSpan w:val="2"/>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Simply Bank</w:t>
            </w:r>
          </w:p>
        </w:tc>
        <w:tc>
          <w:tcPr>
            <w:tcW w:w="1800" w:type="dxa"/>
            <w:vAlign w:val="bottom"/>
          </w:tcPr>
          <w:p>
            <w:pPr>
              <w:spacing w:after="0"/>
              <w:rPr>
                <w:sz w:val="19"/>
                <w:szCs w:val="19"/>
                <w:color w:val="auto"/>
              </w:rPr>
            </w:pPr>
          </w:p>
        </w:tc>
      </w:tr>
      <w:tr>
        <w:trPr>
          <w:trHeight w:val="399"/>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Wayne Savings Bancshares, Inc.</w:t>
            </w:r>
          </w:p>
        </w:tc>
        <w:tc>
          <w:tcPr>
            <w:tcW w:w="3400" w:type="dxa"/>
            <w:vAlign w:val="bottom"/>
            <w:gridSpan w:val="3"/>
          </w:tcPr>
          <w:p>
            <w:pPr>
              <w:spacing w:after="0"/>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xml:space="preserve"> Main Street Financial Services Corp.</w:t>
            </w:r>
          </w:p>
        </w:tc>
      </w:tr>
    </w:tbl>
    <w:p>
      <w:pPr>
        <w:ind w:left="1420"/>
        <w:spacing w:after="0"/>
        <w:rPr>
          <w:sz w:val="20"/>
          <w:szCs w:val="20"/>
          <w:color w:val="auto"/>
        </w:rPr>
      </w:pPr>
      <w:r>
        <w:rPr>
          <w:rFonts w:ascii="Times New Roman" w:cs="Times New Roman" w:eastAsia="Times New Roman" w:hAnsi="Times New Roman"/>
          <w:sz w:val="16"/>
          <w:szCs w:val="16"/>
          <w:color w:val="auto"/>
        </w:rPr>
        <w:t>The Nationwide Precedent Transactions group was composed of the following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05" w:lineRule="exact"/>
        <w:rPr>
          <w:sz w:val="20"/>
          <w:szCs w:val="20"/>
          <w:color w:val="auto"/>
        </w:rPr>
      </w:pPr>
    </w:p>
    <w:p>
      <w:pPr>
        <w:sectPr>
          <w:pgSz w:w="11900" w:h="16838" w:orient="portrait"/>
          <w:cols w:equalWidth="0" w:num="2">
            <w:col w:w="8020" w:space="0"/>
            <w:col w:w="1219"/>
          </w:cols>
          <w:pgMar w:left="1220" w:top="104" w:right="1440" w:bottom="1440" w:gutter="0" w:footer="0" w:header="0"/>
          <w:type w:val="continuous"/>
        </w:sectPr>
      </w:pPr>
    </w:p>
    <w:p>
      <w:pPr>
        <w:spacing w:after="0" w:line="1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b w:val="1"/>
          <w:bCs w:val="1"/>
          <w:color w:val="auto"/>
        </w:rPr>
        <w:t>Acquiror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32385</wp:posOffset>
            </wp:positionV>
            <wp:extent cx="203454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34540" cy="7620"/>
                    </a:xfrm>
                    <a:prstGeom prst="rect">
                      <a:avLst/>
                    </a:prstGeom>
                    <a:noFill/>
                  </pic:spPr>
                </pic:pic>
              </a:graphicData>
            </a:graphic>
          </wp:anchor>
        </w:drawing>
      </w:r>
    </w:p>
    <w:p>
      <w:pPr>
        <w:spacing w:after="0" w:line="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Fidelity Bancshares (N.C.), Inc.</w:t>
      </w:r>
    </w:p>
    <w:p>
      <w:pPr>
        <w:spacing w:after="0" w:line="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Independent Bank Corporation</w:t>
      </w:r>
    </w:p>
    <w:p>
      <w:pPr>
        <w:spacing w:after="0" w:line="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Arrow Financial Corporation</w:t>
      </w:r>
    </w:p>
    <w:p>
      <w:pPr>
        <w:spacing w:after="0" w:line="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Stock Yards Bancorp, Inc.</w:t>
      </w:r>
    </w:p>
    <w:p>
      <w:pPr>
        <w:spacing w:after="0" w:line="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South Plains Financial, Inc.</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ServBanc Holdco, Inc.</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Mid Penn Bancorp, Inc.</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Ballston Spa Bancorp, Inc.</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Colony Bankcorp, Inc.</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Mercantile Bank Corporation</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Business First Bancshares, Inc.</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Citizens &amp; Northern Corporation</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MIDFLORIDA Credit Union</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Equity Bancshares, Inc.</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Bar Harbor Bankshares</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Seacoast Banking Corporation of Florida</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Plumas Bancorp</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Cadence Bank</w:t>
      </w:r>
    </w:p>
    <w:p>
      <w:pPr>
        <w:spacing w:after="0" w:line="20" w:lineRule="exact"/>
        <w:rPr>
          <w:sz w:val="20"/>
          <w:szCs w:val="20"/>
          <w:color w:val="auto"/>
        </w:rPr>
      </w:pPr>
      <w:r>
        <w:rPr>
          <w:sz w:val="20"/>
          <w:szCs w:val="20"/>
          <w:color w:val="auto"/>
        </w:rPr>
        <w:br w:type="column"/>
      </w: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29210</wp:posOffset>
            </wp:positionV>
            <wp:extent cx="203454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034540" cy="7620"/>
                    </a:xfrm>
                    <a:prstGeom prst="rect">
                      <a:avLst/>
                    </a:prstGeom>
                    <a:noFill/>
                  </pic:spPr>
                </pic:pic>
              </a:graphicData>
            </a:graphic>
          </wp:anchor>
        </w:drawing>
      </w:r>
    </w:p>
    <w:p>
      <w:pPr>
        <w:ind w:left="100" w:hanging="95"/>
        <w:spacing w:after="0" w:line="209" w:lineRule="auto"/>
        <w:tabs>
          <w:tab w:leader="none" w:pos="100" w:val="left"/>
        </w:tabs>
        <w:numPr>
          <w:ilvl w:val="0"/>
          <w:numId w:val="5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Affinity Bancshares, Inc.</w:t>
      </w:r>
    </w:p>
    <w:p>
      <w:pPr>
        <w:ind w:left="100" w:hanging="95"/>
        <w:spacing w:after="0" w:line="181" w:lineRule="auto"/>
        <w:tabs>
          <w:tab w:leader="none" w:pos="100" w:val="left"/>
        </w:tabs>
        <w:numPr>
          <w:ilvl w:val="0"/>
          <w:numId w:val="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HCB Financial Corp.</w:t>
      </w:r>
    </w:p>
    <w:p>
      <w:pPr>
        <w:ind w:left="100" w:hanging="95"/>
        <w:spacing w:after="0" w:line="181" w:lineRule="auto"/>
        <w:tabs>
          <w:tab w:leader="none" w:pos="100" w:val="left"/>
        </w:tabs>
        <w:numPr>
          <w:ilvl w:val="0"/>
          <w:numId w:val="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Adirondack Bancorp, Inc.</w:t>
      </w:r>
    </w:p>
    <w:p>
      <w:pPr>
        <w:ind w:left="100" w:hanging="95"/>
        <w:spacing w:after="0" w:line="181" w:lineRule="auto"/>
        <w:tabs>
          <w:tab w:leader="none" w:pos="100" w:val="left"/>
        </w:tabs>
        <w:numPr>
          <w:ilvl w:val="0"/>
          <w:numId w:val="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Field &amp; Main Bancorp, Inc.</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BOH Holdings, Inc.</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IF Bancorp, Inc.</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1st Colonial Bancorp, Inc.</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NBC Bancorp, Inc.</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TC Bancshares, Inc.</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Eastern Michigan Financial Corporation</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Progressive Bancorp, Inc.</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Susquehanna Community Financial, Inc.</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Prime Meridian Holding Company</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NBC Corp. of Oklahoma</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Guaranty Bancorp, Inc.</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Heartland Bancshares, Inc.</w:t>
      </w:r>
    </w:p>
    <w:p>
      <w:pPr>
        <w:ind w:left="100" w:hanging="95"/>
        <w:spacing w:after="0" w:line="184" w:lineRule="auto"/>
        <w:tabs>
          <w:tab w:leader="none" w:pos="1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Cornerstone Community Bancorp</w:t>
      </w:r>
    </w:p>
    <w:p>
      <w:pPr>
        <w:ind w:left="100" w:hanging="95"/>
        <w:spacing w:after="0" w:line="225" w:lineRule="auto"/>
        <w:tabs>
          <w:tab w:leader="none" w:pos="100" w:val="left"/>
        </w:tabs>
        <w:numPr>
          <w:ilvl w:val="0"/>
          <w:numId w:val="5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FCB Financial Corp.</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27" w:lineRule="exact"/>
        <w:rPr>
          <w:sz w:val="20"/>
          <w:szCs w:val="20"/>
          <w:color w:val="auto"/>
        </w:rPr>
      </w:pPr>
    </w:p>
    <w:p>
      <w:pPr>
        <w:sectPr>
          <w:pgSz w:w="11900" w:h="16838" w:orient="portrait"/>
          <w:cols w:equalWidth="0" w:num="3">
            <w:col w:w="4160" w:space="460"/>
            <w:col w:w="2900" w:space="500"/>
            <w:col w:w="1219"/>
          </w:cols>
          <w:pgMar w:left="1220" w:top="104" w:right="1440" w:bottom="1440" w:gutter="0" w:footer="0" w:header="0"/>
          <w:type w:val="continuous"/>
        </w:sectPr>
      </w:pPr>
    </w:p>
    <w:p>
      <w:pPr>
        <w:ind w:left="1100" w:right="919" w:firstLine="318"/>
        <w:spacing w:after="0" w:line="259" w:lineRule="auto"/>
        <w:rPr>
          <w:sz w:val="20"/>
          <w:szCs w:val="20"/>
          <w:color w:val="auto"/>
        </w:rPr>
      </w:pPr>
      <w:r>
        <w:rPr>
          <w:rFonts w:ascii="Times New Roman" w:cs="Times New Roman" w:eastAsia="Times New Roman" w:hAnsi="Times New Roman"/>
          <w:sz w:val="16"/>
          <w:szCs w:val="16"/>
          <w:color w:val="auto"/>
        </w:rPr>
        <w:t>Using the latest publicly available information prior to the announcement of the relevant transaction, Piper Sandler reviewed the following transaction metrics: transaction price to last-twelve-months earnings per share, transaction price to book value per share, transaction price to tangible book value per share and core deposit premium. Piper Sandler compared the indicated transaction metrics for the transaction to the median, mean, low and high metrics of the Southeast Precedent Transactions group as well as to the median, mean, low and high metrics of the Nationwide Precedent Transactions group.</w:t>
      </w:r>
    </w:p>
    <w:p>
      <w:pPr>
        <w:spacing w:after="0" w:line="3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104"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100" w:type="dxa"/>
        <w:tblCellMar>
          <w:top w:w="0" w:type="dxa"/>
          <w:left w:w="0" w:type="dxa"/>
          <w:bottom w:w="0" w:type="dxa"/>
          <w:right w:w="0" w:type="dxa"/>
        </w:tblCellMar>
      </w:tblPr>
      <w:tr>
        <w:trPr>
          <w:trHeight w:val="201"/>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United/​</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9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w w:val="94"/>
              </w:rPr>
              <w:t>Southeast Precedent Transactions</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6"/>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240" w:type="dxa"/>
            <w:vAlign w:val="bottom"/>
            <w:gridSpan w:val="11"/>
          </w:tcPr>
          <w:p>
            <w:pPr>
              <w:ind w:left="360"/>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Peach State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Median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Mean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Low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High </w:t>
            </w:r>
            <w:r>
              <w:rPr>
                <w:rFonts w:ascii="Times New Roman" w:cs="Times New Roman" w:eastAsia="Times New Roman" w:hAnsi="Times New Roman"/>
                <w:sz w:val="23"/>
                <w:szCs w:val="23"/>
                <w:b w:val="1"/>
                <w:bCs w:val="1"/>
                <w:color w:val="auto"/>
                <w:vertAlign w:val="subscript"/>
              </w:rPr>
              <w:t>​</w:t>
            </w:r>
          </w:p>
        </w:tc>
      </w:tr>
      <w:tr>
        <w:trPr>
          <w:trHeight w:val="20"/>
        </w:trPr>
        <w:tc>
          <w:tcPr>
            <w:tcW w:w="40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Price / LTM Earnings Per Share (x)</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11.0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​9.8</w:t>
            </w:r>
          </w:p>
        </w:tc>
        <w:tc>
          <w:tcPr>
            <w:tcW w:w="146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 ​ ​14.1 ​​ ​​6.2​​ ​​29.3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Transaction Price / Book Value Per Share (%)</w:t>
            </w:r>
          </w:p>
        </w:tc>
        <w:tc>
          <w:tcPr>
            <w:tcW w:w="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​132</w:t>
            </w:r>
          </w:p>
        </w:tc>
        <w:tc>
          <w:tcPr>
            <w:tcW w:w="148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 ​ ​139 ​​ ​​ 82​​ ​​216​</w:t>
            </w:r>
          </w:p>
        </w:tc>
      </w:tr>
      <w:tr>
        <w:trPr>
          <w:trHeight w:val="22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Price / Tangible Book Value Per Share (%)</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​136</w:t>
            </w:r>
          </w:p>
        </w:tc>
        <w:tc>
          <w:tcPr>
            <w:tcW w:w="146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 ​ ​148 ​​ ​​106​​ ​​233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Tangible Book Value Premium to Core Deposits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p>
        </w:tc>
        <w:tc>
          <w:tcPr>
            <w:tcW w:w="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​6.7</w:t>
            </w:r>
          </w:p>
        </w:tc>
        <w:tc>
          <w:tcPr>
            <w:tcW w:w="148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 ​ ​ 6.4 ​​ ​​0.6​​ ​​15.6​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-620395</wp:posOffset>
            </wp:positionV>
            <wp:extent cx="12128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-620395</wp:posOffset>
            </wp:positionV>
            <wp:extent cx="12128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-620395</wp:posOffset>
            </wp:positionV>
            <wp:extent cx="37973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797300" cy="76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105410</wp:posOffset>
            </wp:positionV>
            <wp:extent cx="108902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248" w:lineRule="exact"/>
        <w:rPr>
          <w:sz w:val="20"/>
          <w:szCs w:val="20"/>
          <w:color w:val="auto"/>
        </w:rPr>
      </w:pPr>
    </w:p>
    <w:p>
      <w:pPr>
        <w:ind w:left="1100" w:right="1740" w:firstLine="3"/>
        <w:spacing w:after="0" w:line="310" w:lineRule="auto"/>
        <w:tabs>
          <w:tab w:leader="none" w:pos="1418"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Core deposits defined as total deposits less time deposits with balances greater than $250,000. Source: S&amp;P Capital IQ Pro; Peach State Company Documents.</w:t>
      </w:r>
    </w:p>
    <w:p>
      <w:pPr>
        <w:spacing w:after="0" w:line="79" w:lineRule="exact"/>
        <w:rPr>
          <w:sz w:val="20"/>
          <w:szCs w:val="20"/>
          <w:color w:val="auto"/>
        </w:rPr>
      </w:pPr>
    </w:p>
    <w:tbl>
      <w:tblPr>
        <w:tblLayout w:type="fixed"/>
        <w:tblInd w:w="1100" w:type="dxa"/>
        <w:tblCellMar>
          <w:top w:w="0" w:type="dxa"/>
          <w:left w:w="0" w:type="dxa"/>
          <w:bottom w:w="0" w:type="dxa"/>
          <w:right w:w="0" w:type="dxa"/>
        </w:tblCellMar>
      </w:tblPr>
      <w:tr>
        <w:trPr>
          <w:trHeight w:val="201"/>
        </w:trPr>
        <w:tc>
          <w:tcPr>
            <w:tcW w:w="4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United/​</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94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3"/>
                <w:szCs w:val="13"/>
                <w:b w:val="1"/>
                <w:bCs w:val="1"/>
                <w:color w:val="auto"/>
                <w:w w:val="93"/>
              </w:rPr>
              <w:t>Nationwide Precedent Transactions</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6"/>
        </w:trPr>
        <w:tc>
          <w:tcPr>
            <w:tcW w:w="4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260" w:type="dxa"/>
            <w:vAlign w:val="bottom"/>
            <w:gridSpan w:val="6"/>
          </w:tcPr>
          <w:p>
            <w:pPr>
              <w:ind w:left="340"/>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Peach State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Median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Mean</w:t>
            </w:r>
          </w:p>
        </w:tc>
        <w:tc>
          <w:tcPr>
            <w:tcW w:w="46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Low</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High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Price / LTM Earnings Per Share (x)</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w:t>
            </w:r>
            <w:r>
              <w:rPr>
                <w:rFonts w:ascii="Times New Roman" w:cs="Times New Roman" w:eastAsia="Times New Roman" w:hAnsi="Times New Roman"/>
                <w:sz w:val="16"/>
                <w:szCs w:val="16"/>
                <w:color w:val="auto"/>
                <w:w w:val="92"/>
              </w:rPr>
              <w:t>11.0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13.2</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15.8</w:t>
            </w:r>
          </w:p>
        </w:tc>
        <w:tc>
          <w:tcPr>
            <w:tcW w:w="980" w:type="dxa"/>
            <w:vAlign w:val="bottom"/>
            <w:tcBorders>
              <w:right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9.0​​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29.2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Transaction Price / Book Value Per Share (%)</w:t>
            </w:r>
          </w:p>
        </w:tc>
        <w:tc>
          <w:tcPr>
            <w:tcW w:w="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138</w:t>
            </w:r>
          </w:p>
        </w:tc>
        <w:tc>
          <w:tcPr>
            <w:tcW w:w="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216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Price / Tangible Book Value Per Share (%)</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138</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143</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5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233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Tangible Book Value Premium to Core Deposits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p>
        </w:tc>
        <w:tc>
          <w:tcPr>
            <w:tcW w:w="4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4.8</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5.3</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gridSpan w:val="4"/>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w w:val="97"/>
              </w:rPr>
              <w:t>​</w:t>
            </w:r>
            <w:r>
              <w:rPr>
                <w:rFonts w:ascii="Times New Roman" w:cs="Times New Roman" w:eastAsia="Times New Roman" w:hAnsi="Times New Roman"/>
                <w:sz w:val="16"/>
                <w:szCs w:val="16"/>
                <w:color w:val="auto"/>
                <w:w w:val="97"/>
              </w:rPr>
              <w:t>(2.2)</w:t>
            </w: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15.6</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7"/>
        </w:trPr>
        <w:tc>
          <w:tcPr>
            <w:tcW w:w="40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-698500</wp:posOffset>
            </wp:positionV>
            <wp:extent cx="12128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-698500</wp:posOffset>
            </wp:positionV>
            <wp:extent cx="12128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-698500</wp:posOffset>
            </wp:positionV>
            <wp:extent cx="376682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766820" cy="76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19685</wp:posOffset>
            </wp:positionV>
            <wp:extent cx="108902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113" w:lineRule="exact"/>
        <w:rPr>
          <w:sz w:val="20"/>
          <w:szCs w:val="20"/>
          <w:color w:val="auto"/>
        </w:rPr>
      </w:pPr>
    </w:p>
    <w:p>
      <w:pPr>
        <w:ind w:left="1100" w:right="1740" w:firstLine="3"/>
        <w:spacing w:after="0" w:line="325" w:lineRule="auto"/>
        <w:tabs>
          <w:tab w:leader="none" w:pos="141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Core deposits defined as total deposits less time deposits with balances greater than $250,000. Source: S&amp;P Capital IQ Pro; Peach State Company Documents.</w:t>
      </w:r>
    </w:p>
    <w:p>
      <w:pPr>
        <w:spacing w:after="0" w:line="8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Net Present Value Analyses.</w:t>
      </w:r>
    </w:p>
    <w:p>
      <w:pPr>
        <w:spacing w:after="0" w:line="142" w:lineRule="exact"/>
        <w:rPr>
          <w:sz w:val="20"/>
          <w:szCs w:val="20"/>
          <w:color w:val="auto"/>
        </w:rPr>
      </w:pPr>
    </w:p>
    <w:p>
      <w:pPr>
        <w:ind w:left="1100" w:right="1120" w:firstLine="318"/>
        <w:spacing w:after="0"/>
        <w:rPr>
          <w:sz w:val="20"/>
          <w:szCs w:val="20"/>
          <w:color w:val="auto"/>
        </w:rPr>
      </w:pPr>
      <w:r>
        <w:rPr>
          <w:rFonts w:ascii="Times New Roman" w:cs="Times New Roman" w:eastAsia="Times New Roman" w:hAnsi="Times New Roman"/>
          <w:sz w:val="16"/>
          <w:szCs w:val="16"/>
          <w:color w:val="auto"/>
        </w:rPr>
        <w:t>Piper Sandler performed an analysis that estimated the net present value of a share of Peach State common stock assuming Peach State performed in accordance with certain internal financial projections for Peach State for the years ending December 31, 2026 through December 31, 2030, as provided by the senior management of Peach State. To approximate the terminal value of a share of Peach State common stock at March 31, 2026, Piper Sandler applied price to 2030 earnings multiples ranging from 9.5x to 11.5x and multiples of December 31, 2030 tangible book value ranging from 80% to 140%. The terminal values were then discounted to present values using different discount rates ranging from 9.0% to 13.0%, which were chosen to reflect different assumptions regarding required rates of return of holders or prospective buyers of Peach State common stock. As illustrated in the following tables, the analysis indicated an imputed range of values per share of Peach State common stock of $28.31 to $40.45 when applying multiples of earnings and $18.41 to $37.57 when applying multiples of tangible book value.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Earnings Per Share Multiples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110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Discount Rate</w:t>
            </w: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9.5x</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10.0x</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10.5x</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11.0x</w:t>
            </w:r>
          </w:p>
        </w:tc>
        <w:tc>
          <w:tcPr>
            <w:tcW w:w="1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11.5x  </w:t>
            </w:r>
            <w:r>
              <w:rPr>
                <w:rFonts w:ascii="Times New Roman" w:cs="Times New Roman" w:eastAsia="Times New Roman" w:hAnsi="Times New Roman"/>
                <w:sz w:val="25"/>
                <w:szCs w:val="25"/>
                <w:b w:val="1"/>
                <w:bCs w:val="1"/>
                <w:color w:val="auto"/>
                <w:vertAlign w:val="subscript"/>
              </w:rPr>
              <w:t>​</w:t>
            </w:r>
          </w:p>
        </w:tc>
      </w:tr>
      <w:tr>
        <w:trPr>
          <w:trHeight w:val="20"/>
        </w:trPr>
        <w:tc>
          <w:tcPr>
            <w:tcW w:w="1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8"/>
        </w:trPr>
        <w:tc>
          <w:tcPr>
            <w:tcW w:w="110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9.0%</w:t>
            </w:r>
          </w:p>
        </w:tc>
        <w:tc>
          <w:tcPr>
            <w:tcW w:w="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​​$33.54​​</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​​$35.27​​</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​​$36.99​​</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​​$38.72​​</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​​$40.45</w:t>
            </w:r>
          </w:p>
        </w:tc>
        <w:tc>
          <w:tcPr>
            <w:tcW w:w="1080" w:type="dxa"/>
            <w:vAlign w:val="bottom"/>
          </w:tcPr>
          <w:p>
            <w:pPr>
              <w:jc w:val="right"/>
              <w:ind w:right="1054"/>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6"/>
        </w:trPr>
        <w:tc>
          <w:tcPr>
            <w:tcW w:w="26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10.0%</w:t>
            </w:r>
          </w:p>
        </w:tc>
        <w:tc>
          <w:tcPr>
            <w:tcW w:w="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​​$32.13​​</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​​$33.78​​</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​​$35.44​​</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​​$37.09​​</w:t>
            </w:r>
          </w:p>
        </w:tc>
        <w:tc>
          <w:tcPr>
            <w:tcW w:w="1620" w:type="dxa"/>
            <w:vAlign w:val="bottom"/>
            <w:gridSpan w:val="3"/>
          </w:tcPr>
          <w:p>
            <w:pPr>
              <w:jc w:val="right"/>
              <w:ind w:right="1054"/>
              <w:spacing w:after="0"/>
              <w:rPr>
                <w:sz w:val="20"/>
                <w:szCs w:val="20"/>
                <w:color w:val="auto"/>
              </w:rPr>
            </w:pPr>
            <w:r>
              <w:rPr>
                <w:rFonts w:ascii="Times New Roman" w:cs="Times New Roman" w:eastAsia="Times New Roman" w:hAnsi="Times New Roman"/>
                <w:sz w:val="16"/>
                <w:szCs w:val="16"/>
                <w:color w:val="auto"/>
              </w:rPr>
              <w:t>​​$38.75​</w:t>
            </w:r>
          </w:p>
        </w:tc>
      </w:tr>
      <w:tr>
        <w:trPr>
          <w:trHeight w:val="226"/>
        </w:trPr>
        <w:tc>
          <w:tcPr>
            <w:tcW w:w="1100" w:type="dxa"/>
            <w:vAlign w:val="bottom"/>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11.0%</w:t>
            </w:r>
          </w:p>
        </w:tc>
        <w:tc>
          <w:tcPr>
            <w:tcW w:w="7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​​$30.79​​</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​​$32.37​​</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​​$33.96​​</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​​$35.54​​</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​​$37.13</w:t>
            </w:r>
          </w:p>
        </w:tc>
        <w:tc>
          <w:tcPr>
            <w:tcW w:w="1080" w:type="dxa"/>
            <w:vAlign w:val="bottom"/>
          </w:tcPr>
          <w:p>
            <w:pPr>
              <w:jc w:val="right"/>
              <w:ind w:right="1054"/>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6"/>
        </w:trPr>
        <w:tc>
          <w:tcPr>
            <w:tcW w:w="26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12.0%</w:t>
            </w:r>
          </w:p>
        </w:tc>
        <w:tc>
          <w:tcPr>
            <w:tcW w:w="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​​$29.51​​</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​​$31.03​​</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​​$32.55​​</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​​$34.07​​</w:t>
            </w:r>
          </w:p>
        </w:tc>
        <w:tc>
          <w:tcPr>
            <w:tcW w:w="1620" w:type="dxa"/>
            <w:vAlign w:val="bottom"/>
            <w:gridSpan w:val="3"/>
          </w:tcPr>
          <w:p>
            <w:pPr>
              <w:jc w:val="right"/>
              <w:ind w:right="1054"/>
              <w:spacing w:after="0"/>
              <w:rPr>
                <w:sz w:val="20"/>
                <w:szCs w:val="20"/>
                <w:color w:val="auto"/>
              </w:rPr>
            </w:pPr>
            <w:r>
              <w:rPr>
                <w:rFonts w:ascii="Times New Roman" w:cs="Times New Roman" w:eastAsia="Times New Roman" w:hAnsi="Times New Roman"/>
                <w:sz w:val="16"/>
                <w:szCs w:val="16"/>
                <w:color w:val="auto"/>
              </w:rPr>
              <w:t>​​$35.59​</w:t>
            </w:r>
          </w:p>
        </w:tc>
      </w:tr>
      <w:tr>
        <w:trPr>
          <w:trHeight w:val="238"/>
        </w:trPr>
        <w:tc>
          <w:tcPr>
            <w:tcW w:w="110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13.0%</w:t>
            </w:r>
          </w:p>
        </w:tc>
        <w:tc>
          <w:tcPr>
            <w:tcW w:w="7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322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​​$28.31​​ ​​$29.76​​ ​​$31.22​​ ​​$32.68​​ ​​$34.13</w:t>
            </w:r>
          </w:p>
        </w:tc>
        <w:tc>
          <w:tcPr>
            <w:tcW w:w="1080" w:type="dxa"/>
            <w:vAlign w:val="bottom"/>
          </w:tcPr>
          <w:p>
            <w:pPr>
              <w:jc w:val="right"/>
              <w:ind w:right="1054"/>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34"/>
        </w:trPr>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Tangible Book Value Per Share Multiples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
        </w:trPr>
        <w:tc>
          <w:tcPr>
            <w:tcW w:w="2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r>
      <w:tr>
        <w:trPr>
          <w:trHeight w:val="361"/>
        </w:trPr>
        <w:tc>
          <w:tcPr>
            <w:tcW w:w="110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Discount Rate</w:t>
            </w: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80%</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95%</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110%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125%</w:t>
            </w: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140% </w:t>
            </w:r>
            <w:r>
              <w:rPr>
                <w:rFonts w:ascii="Times New Roman" w:cs="Times New Roman" w:eastAsia="Times New Roman" w:hAnsi="Times New Roman"/>
                <w:sz w:val="25"/>
                <w:szCs w:val="25"/>
                <w:b w:val="1"/>
                <w:bCs w:val="1"/>
                <w:color w:val="auto"/>
                <w:vertAlign w:val="subscript"/>
              </w:rPr>
              <w:t>​</w:t>
            </w:r>
          </w:p>
        </w:tc>
      </w:tr>
      <w:tr>
        <w:trPr>
          <w:trHeight w:val="20"/>
        </w:trPr>
        <w:tc>
          <w:tcPr>
            <w:tcW w:w="1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8"/>
        </w:trPr>
        <w:tc>
          <w:tcPr>
            <w:tcW w:w="110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9.0%</w:t>
            </w:r>
          </w:p>
        </w:tc>
        <w:tc>
          <w:tcPr>
            <w:tcW w:w="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​​$21.79​​</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​​$25.74​​</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​​$29.68​​</w:t>
            </w:r>
          </w:p>
        </w:tc>
        <w:tc>
          <w:tcPr>
            <w:tcW w:w="11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​​$33.63​​ ​​$37.57​</w:t>
            </w:r>
          </w:p>
        </w:tc>
        <w:tc>
          <w:tcPr>
            <w:tcW w:w="1080" w:type="dxa"/>
            <w:vAlign w:val="bottom"/>
          </w:tcPr>
          <w:p>
            <w:pPr>
              <w:spacing w:after="0"/>
              <w:rPr>
                <w:sz w:val="18"/>
                <w:szCs w:val="18"/>
                <w:color w:val="auto"/>
              </w:rPr>
            </w:pPr>
          </w:p>
        </w:tc>
      </w:tr>
      <w:tr>
        <w:trPr>
          <w:trHeight w:val="226"/>
        </w:trPr>
        <w:tc>
          <w:tcPr>
            <w:tcW w:w="26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10.0%</w:t>
            </w:r>
          </w:p>
        </w:tc>
        <w:tc>
          <w:tcPr>
            <w:tcW w:w="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​​$20.88​​</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​​$24.66​​</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​​$28.44​​</w:t>
            </w: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​​$32.21​​ ​​$35.99​</w:t>
            </w:r>
          </w:p>
        </w:tc>
      </w:tr>
      <w:tr>
        <w:trPr>
          <w:trHeight w:val="226"/>
        </w:trPr>
        <w:tc>
          <w:tcPr>
            <w:tcW w:w="1100" w:type="dxa"/>
            <w:vAlign w:val="bottom"/>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11.0%</w:t>
            </w:r>
          </w:p>
        </w:tc>
        <w:tc>
          <w:tcPr>
            <w:tcW w:w="7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​​$20.01​​</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​​$23.63​​</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​​$27.25​​</w:t>
            </w:r>
          </w:p>
        </w:tc>
        <w:tc>
          <w:tcPr>
            <w:tcW w:w="11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​​$30.87​​ ​​$34.49​</w:t>
            </w:r>
          </w:p>
        </w:tc>
        <w:tc>
          <w:tcPr>
            <w:tcW w:w="1080" w:type="dxa"/>
            <w:vAlign w:val="bottom"/>
          </w:tcPr>
          <w:p>
            <w:pPr>
              <w:spacing w:after="0"/>
              <w:rPr>
                <w:sz w:val="19"/>
                <w:szCs w:val="19"/>
                <w:color w:val="auto"/>
              </w:rPr>
            </w:pPr>
          </w:p>
        </w:tc>
      </w:tr>
      <w:tr>
        <w:trPr>
          <w:trHeight w:val="226"/>
        </w:trPr>
        <w:tc>
          <w:tcPr>
            <w:tcW w:w="26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12.0%</w:t>
            </w:r>
          </w:p>
        </w:tc>
        <w:tc>
          <w:tcPr>
            <w:tcW w:w="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​​$19.19​​</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​​$22.66​​</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​​$26.13​​</w:t>
            </w: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​​$29.60​​ ​​$33.06​</w:t>
            </w:r>
          </w:p>
        </w:tc>
      </w:tr>
      <w:tr>
        <w:trPr>
          <w:trHeight w:val="226"/>
        </w:trPr>
        <w:tc>
          <w:tcPr>
            <w:tcW w:w="1100" w:type="dxa"/>
            <w:vAlign w:val="bottom"/>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13.0%</w:t>
            </w:r>
          </w:p>
        </w:tc>
        <w:tc>
          <w:tcPr>
            <w:tcW w:w="7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22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​​$18.41​​ ​​$21.74​​ ​​$25.06​​ ​​$28.39​​ ​​$31.71​</w:t>
            </w:r>
          </w:p>
        </w:tc>
        <w:tc>
          <w:tcPr>
            <w:tcW w:w="1080" w:type="dxa"/>
            <w:vAlign w:val="bottom"/>
          </w:tcPr>
          <w:p>
            <w:pPr>
              <w:spacing w:after="0"/>
              <w:rPr>
                <w:sz w:val="19"/>
                <w:szCs w:val="19"/>
                <w:color w:val="auto"/>
              </w:rPr>
            </w:pPr>
          </w:p>
        </w:tc>
      </w:tr>
      <w:tr>
        <w:trPr>
          <w:trHeight w:val="536"/>
        </w:trPr>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2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9"/>
        </w:trPr>
        <w:tc>
          <w:tcPr>
            <w:tcW w:w="1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4894580</wp:posOffset>
            </wp:positionH>
            <wp:positionV relativeFrom="paragraph">
              <wp:posOffset>-2487930</wp:posOffset>
            </wp:positionV>
            <wp:extent cx="12128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-2487930</wp:posOffset>
            </wp:positionV>
            <wp:extent cx="12128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-2487930</wp:posOffset>
            </wp:positionV>
            <wp:extent cx="12128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-2487930</wp:posOffset>
            </wp:positionV>
            <wp:extent cx="12128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-2487930</wp:posOffset>
            </wp:positionV>
            <wp:extent cx="12128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-1300480</wp:posOffset>
            </wp:positionV>
            <wp:extent cx="12128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-1300480</wp:posOffset>
            </wp:positionV>
            <wp:extent cx="12128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-1300480</wp:posOffset>
            </wp:positionV>
            <wp:extent cx="12128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-1300480</wp:posOffset>
            </wp:positionV>
            <wp:extent cx="12128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-1300480</wp:posOffset>
            </wp:positionV>
            <wp:extent cx="12128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-27305</wp:posOffset>
            </wp:positionV>
            <wp:extent cx="33020"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-27305</wp:posOffset>
            </wp:positionV>
            <wp:extent cx="33020"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440"/>
          </w:cols>
          <w:pgMar w:left="1220" w:top="94" w:right="1239" w:bottom="1440" w:gutter="0" w:footer="0" w:header="0"/>
        </w:sectPr>
      </w:pPr>
    </w:p>
    <w:bookmarkStart w:id="59" w:name="page60"/>
    <w:bookmarkEnd w:id="5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39" w:firstLine="318"/>
        <w:spacing w:after="0" w:line="245" w:lineRule="auto"/>
        <w:rPr>
          <w:sz w:val="20"/>
          <w:szCs w:val="20"/>
          <w:color w:val="auto"/>
        </w:rPr>
      </w:pPr>
      <w:r>
        <w:rPr>
          <w:rFonts w:ascii="Times New Roman" w:cs="Times New Roman" w:eastAsia="Times New Roman" w:hAnsi="Times New Roman"/>
          <w:sz w:val="16"/>
          <w:szCs w:val="16"/>
          <w:color w:val="auto"/>
        </w:rPr>
        <w:t>Piper Sandler also considered and discussed with the Peach State board of directors how this analysis would be affected by changes in the underlying assumptions, including variations with respect to earnings. To illustrate this impact, Piper Sandler performed a similar analysis, assuming Peach State’s earnings varied from 20% above projections to 20% below projections. This analysis resulted in the following range of per share values for Peach State’s common stock, applying the price to 2030 earnings multiples range of 9.5x to 11.5x referred to above and a discount rate of 10.96%.</w:t>
      </w:r>
    </w:p>
    <w:p>
      <w:pPr>
        <w:spacing w:after="0" w:line="147"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20" w:type="dxa"/>
            <w:vAlign w:val="bottom"/>
            <w:gridSpan w:val="13"/>
          </w:tcPr>
          <w:p>
            <w:pPr>
              <w:jc w:val="right"/>
              <w:ind w:right="2694"/>
              <w:spacing w:after="0"/>
              <w:rPr>
                <w:sz w:val="20"/>
                <w:szCs w:val="20"/>
                <w:color w:val="auto"/>
              </w:rPr>
            </w:pPr>
            <w:r>
              <w:rPr>
                <w:rFonts w:ascii="Times New Roman" w:cs="Times New Roman" w:eastAsia="Times New Roman" w:hAnsi="Times New Roman"/>
                <w:sz w:val="16"/>
                <w:szCs w:val="16"/>
                <w:b w:val="1"/>
                <w:bCs w:val="1"/>
                <w:color w:val="auto"/>
                <w:w w:val="93"/>
              </w:rPr>
              <w:t>Earnings Per Share Multiples</w:t>
            </w:r>
          </w:p>
        </w:tc>
      </w:tr>
      <w:tr>
        <w:trPr>
          <w:trHeight w:val="20"/>
        </w:trPr>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700" w:type="dxa"/>
            <w:vAlign w:val="bottom"/>
            <w:gridSpan w:val="10"/>
          </w:tcPr>
          <w:p>
            <w:pPr>
              <w:spacing w:after="0" w:line="20" w:lineRule="exact"/>
              <w:rPr>
                <w:sz w:val="1"/>
                <w:szCs w:val="1"/>
                <w:color w:val="auto"/>
              </w:rPr>
            </w:pPr>
          </w:p>
        </w:tc>
      </w:tr>
      <w:tr>
        <w:trPr>
          <w:trHeight w:val="349"/>
        </w:trPr>
        <w:tc>
          <w:tcPr>
            <w:tcW w:w="2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Annual Estimate Variance</w:t>
            </w: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40" w:type="dxa"/>
            <w:vAlign w:val="bottom"/>
            <w:gridSpan w:val="12"/>
          </w:tcPr>
          <w:p>
            <w:pPr>
              <w:jc w:val="right"/>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9.5x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10.0x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10.5x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11.0x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11.5x  </w:t>
            </w:r>
            <w:r>
              <w:rPr>
                <w:rFonts w:ascii="Times New Roman" w:cs="Times New Roman" w:eastAsia="Times New Roman" w:hAnsi="Times New Roman"/>
                <w:sz w:val="25"/>
                <w:szCs w:val="25"/>
                <w:b w:val="1"/>
                <w:bCs w:val="1"/>
                <w:color w:val="auto"/>
                <w:vertAlign w:val="subscript"/>
              </w:rPr>
              <w:t>​</w:t>
            </w:r>
          </w:p>
        </w:tc>
      </w:tr>
      <w:tr>
        <w:trPr>
          <w:trHeight w:val="20"/>
        </w:trPr>
        <w:tc>
          <w:tcPr>
            <w:tcW w:w="2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w:t>
            </w:r>
          </w:p>
        </w:tc>
        <w:tc>
          <w:tcPr>
            <w:tcW w:w="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2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​​$24.80​​ ​​$26.07​​ ​​$27.34​​ ​​$28.62​​ ​​$29.89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(10.0%)</w:t>
            </w: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4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 ​​$27.82​​ ​​$29.25​​ ​​$30.68​​ ​​$32.11​​ ​​$33.54​</w:t>
            </w:r>
          </w:p>
        </w:tc>
      </w:tr>
      <w:tr>
        <w:trPr>
          <w:trHeight w:val="22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0.0%</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22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​​$30.84​​ ​​$32.43​​ ​​$34.02​​ ​​$35.60​​ ​​$37.19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10.0%</w:t>
            </w: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4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 ​​$33.86​​ ​​$35.60​​ ​​$37.35​​ ​​$39.10​​ ​​$40.84​</w:t>
            </w:r>
          </w:p>
        </w:tc>
      </w:tr>
      <w:tr>
        <w:trPr>
          <w:trHeight w:val="23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w:t>
            </w:r>
          </w:p>
        </w:tc>
        <w:tc>
          <w:tcPr>
            <w:tcW w:w="6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22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​​$36.87​​ ​​$38.78​​ ​​$40.69​​ ​​$42.59​​ ​​$44.50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4894580</wp:posOffset>
            </wp:positionH>
            <wp:positionV relativeFrom="paragraph">
              <wp:posOffset>-733425</wp:posOffset>
            </wp:positionV>
            <wp:extent cx="12128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-733425</wp:posOffset>
            </wp:positionV>
            <wp:extent cx="12128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-733425</wp:posOffset>
            </wp:positionV>
            <wp:extent cx="12128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-733425</wp:posOffset>
            </wp:positionV>
            <wp:extent cx="12128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-733425</wp:posOffset>
            </wp:positionV>
            <wp:extent cx="12128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83" w:lineRule="exact"/>
        <w:rPr>
          <w:sz w:val="20"/>
          <w:szCs w:val="20"/>
          <w:color w:val="auto"/>
        </w:rPr>
      </w:pPr>
    </w:p>
    <w:p>
      <w:pPr>
        <w:ind w:left="1100" w:right="899" w:firstLine="318"/>
        <w:spacing w:after="0" w:line="250" w:lineRule="auto"/>
        <w:rPr>
          <w:sz w:val="20"/>
          <w:szCs w:val="20"/>
          <w:color w:val="auto"/>
        </w:rPr>
      </w:pPr>
      <w:r>
        <w:rPr>
          <w:rFonts w:ascii="Times New Roman" w:cs="Times New Roman" w:eastAsia="Times New Roman" w:hAnsi="Times New Roman"/>
          <w:sz w:val="16"/>
          <w:szCs w:val="16"/>
          <w:color w:val="auto"/>
        </w:rPr>
        <w:t>Piper Sandler also performed an analysis that estimated the net present value per share of United common stock, assuming United performed in accordance with 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 To approximate the terminal value of a share of United common stock at March 31, 2026, Piper Sandler applied price to 2030 earnings multiples ranging from 10.0x to 14.0x and multiples of December 31, 2030 tangible book value ranging from 150% to 190%. The terminal values were then discounted to present values using different discount rates ranging from 9.0% to 13.0%, which were chosen to reflect different assumptions regarding required rates of return of holders or prospective buyers of United common stock. As illustrated in the following tables, the analysis indicated an imputed range of values per share of United common stock of $31.38 to $47.47 when applying multiples of earnings and $30.32 to $42.36 when applying multiples of tangible book value.</w:t>
      </w:r>
    </w:p>
    <w:p>
      <w:pPr>
        <w:spacing w:after="0" w:line="17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u w:val="single" w:color="auto"/>
          <w:color w:val="auto"/>
        </w:rPr>
        <w:t>Earnings Per Share Multiples</w:t>
      </w:r>
    </w:p>
    <w:p>
      <w:pPr>
        <w:spacing w:after="0" w:line="26" w:lineRule="exact"/>
        <w:rPr>
          <w:sz w:val="20"/>
          <w:szCs w:val="20"/>
          <w:color w:val="auto"/>
        </w:rPr>
      </w:pPr>
    </w:p>
    <w:tbl>
      <w:tblPr>
        <w:tblLayout w:type="fixed"/>
        <w:tblInd w:w="1100" w:type="dxa"/>
        <w:tblCellMar>
          <w:top w:w="0" w:type="dxa"/>
          <w:left w:w="0" w:type="dxa"/>
          <w:bottom w:w="0" w:type="dxa"/>
          <w:right w:w="0" w:type="dxa"/>
        </w:tblCellMar>
      </w:tblPr>
      <w:tr>
        <w:trPr>
          <w:trHeight w:val="333"/>
        </w:trPr>
        <w:tc>
          <w:tcPr>
            <w:tcW w:w="1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Discount Rate</w:t>
            </w: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10.0x</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11.0x</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12.0x</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13.0x</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14.0x </w:t>
            </w:r>
            <w:r>
              <w:rPr>
                <w:rFonts w:ascii="Times New Roman" w:cs="Times New Roman" w:eastAsia="Times New Roman" w:hAnsi="Times New Roman"/>
                <w:sz w:val="25"/>
                <w:szCs w:val="25"/>
                <w:b w:val="1"/>
                <w:bCs w:val="1"/>
                <w:color w:val="auto"/>
                <w:vertAlign w:val="subscript"/>
              </w:rPr>
              <w:t>​</w:t>
            </w:r>
          </w:p>
        </w:tc>
      </w:tr>
      <w:tr>
        <w:trPr>
          <w:trHeight w:val="20"/>
        </w:trPr>
        <w:tc>
          <w:tcPr>
            <w:tcW w:w="1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9.0%</w:t>
            </w:r>
          </w:p>
        </w:tc>
        <w:tc>
          <w:tcPr>
            <w:tcW w:w="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2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​​$36.94​​ ​​$39.57​​ ​​$42.20​​ ​​$44.83​​ ​​$47.47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6"/>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10.0%</w:t>
            </w:r>
          </w:p>
        </w:tc>
        <w:tc>
          <w:tcPr>
            <w:tcW w:w="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4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 ​​$35.44​​ ​​$37.96​​ ​​$40.48​​ ​​$43.00​​ ​​$45.52​</w:t>
            </w:r>
          </w:p>
        </w:tc>
      </w:tr>
      <w:tr>
        <w:trPr>
          <w:trHeight w:val="22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11.0%</w:t>
            </w:r>
          </w:p>
        </w:tc>
        <w:tc>
          <w:tcPr>
            <w:tcW w:w="7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22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​​$34.02​​ ​​$36.43​​ ​​$38.85​​ ​​$41.26​​ ​​$43.68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6"/>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12.0%</w:t>
            </w:r>
          </w:p>
        </w:tc>
        <w:tc>
          <w:tcPr>
            <w:tcW w:w="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4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 ​​$32.67​​ ​​$34.98​​ ​​$37.29​​ ​​$39.61​​ ​​$41.92​</w:t>
            </w:r>
          </w:p>
        </w:tc>
      </w:tr>
      <w:tr>
        <w:trPr>
          <w:trHeight w:val="238"/>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13.0%</w:t>
            </w:r>
          </w:p>
        </w:tc>
        <w:tc>
          <w:tcPr>
            <w:tcW w:w="7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322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​​$31.38​​ ​​$33.60​​ ​​$35.82​​ ​​$38.04​​ ​​$40.25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45"/>
        </w:trPr>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Tangible Book Value Per Share Multiples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337"/>
        </w:trPr>
        <w:tc>
          <w:tcPr>
            <w:tcW w:w="1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Discount Rate</w:t>
            </w: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150%</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160%</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170%</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180%</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190% </w:t>
            </w:r>
            <w:r>
              <w:rPr>
                <w:rFonts w:ascii="Times New Roman" w:cs="Times New Roman" w:eastAsia="Times New Roman" w:hAnsi="Times New Roman"/>
                <w:sz w:val="25"/>
                <w:szCs w:val="25"/>
                <w:b w:val="1"/>
                <w:bCs w:val="1"/>
                <w:color w:val="auto"/>
                <w:vertAlign w:val="subscript"/>
              </w:rPr>
              <w:t>​</w:t>
            </w:r>
          </w:p>
        </w:tc>
      </w:tr>
      <w:tr>
        <w:trPr>
          <w:trHeight w:val="20"/>
        </w:trPr>
        <w:tc>
          <w:tcPr>
            <w:tcW w:w="1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9.0%</w:t>
            </w:r>
          </w:p>
        </w:tc>
        <w:tc>
          <w:tcPr>
            <w:tcW w:w="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2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​​$35.68​​ ​​$37.35​​ ​​$39.02​​ ​​$40.69​​ ​​$42.36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6"/>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10.0%</w:t>
            </w:r>
          </w:p>
        </w:tc>
        <w:tc>
          <w:tcPr>
            <w:tcW w:w="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4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 ​​$34.24​​ ​​$35.84​​ ​​$37.44​​ ​​$39.04​​ ​​$40.64​</w:t>
            </w:r>
          </w:p>
        </w:tc>
      </w:tr>
      <w:tr>
        <w:trPr>
          <w:trHeight w:val="22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11.0%</w:t>
            </w:r>
          </w:p>
        </w:tc>
        <w:tc>
          <w:tcPr>
            <w:tcW w:w="7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22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​​$32.87​​ ​​$34.40​​ ​​$35.93​​ ​​$37.46​​ ​​$39.00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6"/>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12.0%</w:t>
            </w:r>
          </w:p>
        </w:tc>
        <w:tc>
          <w:tcPr>
            <w:tcW w:w="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4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 ​​$31.56​​ ​​$33.03​​ ​​$34.50​​ ​​$35.97​​ ​​$37.44​</w:t>
            </w:r>
          </w:p>
        </w:tc>
      </w:tr>
      <w:tr>
        <w:trPr>
          <w:trHeight w:val="238"/>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13.0%</w:t>
            </w:r>
          </w:p>
        </w:tc>
        <w:tc>
          <w:tcPr>
            <w:tcW w:w="7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322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​​$30.32​​ ​​$31.73​​ ​​$33.14​​ ​​$34.55​​ ​​$35.95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4894580</wp:posOffset>
            </wp:positionH>
            <wp:positionV relativeFrom="paragraph">
              <wp:posOffset>-1913255</wp:posOffset>
            </wp:positionV>
            <wp:extent cx="12128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-1913255</wp:posOffset>
            </wp:positionV>
            <wp:extent cx="12128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-1913255</wp:posOffset>
            </wp:positionV>
            <wp:extent cx="12128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-1913255</wp:posOffset>
            </wp:positionV>
            <wp:extent cx="12128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-1913255</wp:posOffset>
            </wp:positionV>
            <wp:extent cx="12128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-733425</wp:posOffset>
            </wp:positionV>
            <wp:extent cx="12128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-733425</wp:posOffset>
            </wp:positionV>
            <wp:extent cx="12128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-733425</wp:posOffset>
            </wp:positionV>
            <wp:extent cx="12128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-733425</wp:posOffset>
            </wp:positionV>
            <wp:extent cx="12128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-733425</wp:posOffset>
            </wp:positionV>
            <wp:extent cx="12128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95" w:lineRule="exact"/>
        <w:rPr>
          <w:sz w:val="20"/>
          <w:szCs w:val="20"/>
          <w:color w:val="auto"/>
        </w:rPr>
      </w:pPr>
    </w:p>
    <w:p>
      <w:pPr>
        <w:ind w:left="1100" w:right="939" w:firstLine="318"/>
        <w:spacing w:after="0" w:line="263" w:lineRule="auto"/>
        <w:rPr>
          <w:sz w:val="20"/>
          <w:szCs w:val="20"/>
          <w:color w:val="auto"/>
        </w:rPr>
      </w:pPr>
      <w:r>
        <w:rPr>
          <w:rFonts w:ascii="Times New Roman" w:cs="Times New Roman" w:eastAsia="Times New Roman" w:hAnsi="Times New Roman"/>
          <w:sz w:val="16"/>
          <w:szCs w:val="16"/>
          <w:color w:val="auto"/>
        </w:rPr>
        <w:t>Piper Sandler also considered and discussed with the Peach State board of directors how this analysis would be affected by changes in the underlying assumptions, including variations with respect to earnings. To illustrate this impact, Piper Sandler performed a similar analysis assuming United’s earnings varied from</w:t>
      </w:r>
    </w:p>
    <w:p>
      <w:pPr>
        <w:spacing w:after="0" w:line="3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100" w:right="1239"/>
        <w:spacing w:after="0" w:line="256" w:lineRule="auto"/>
        <w:rPr>
          <w:sz w:val="20"/>
          <w:szCs w:val="20"/>
          <w:color w:val="auto"/>
        </w:rPr>
      </w:pPr>
      <w:r>
        <w:rPr>
          <w:rFonts w:ascii="Times New Roman" w:cs="Times New Roman" w:eastAsia="Times New Roman" w:hAnsi="Times New Roman"/>
          <w:sz w:val="16"/>
          <w:szCs w:val="16"/>
          <w:color w:val="auto"/>
        </w:rPr>
        <w:t>20% above estimates to 20% below estimates. This analysis resulted in the following range of per share values for United common stock, applying the price to 2030 earnings multiples range of 10.0x to 14.0x referred to above and a discount rate of 10.82%.</w:t>
      </w:r>
    </w:p>
    <w:p>
      <w:pPr>
        <w:spacing w:after="0" w:line="137"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20" w:type="dxa"/>
            <w:vAlign w:val="bottom"/>
            <w:gridSpan w:val="13"/>
          </w:tcPr>
          <w:p>
            <w:pPr>
              <w:jc w:val="right"/>
              <w:ind w:right="2694"/>
              <w:spacing w:after="0"/>
              <w:rPr>
                <w:sz w:val="20"/>
                <w:szCs w:val="20"/>
                <w:color w:val="auto"/>
              </w:rPr>
            </w:pPr>
            <w:r>
              <w:rPr>
                <w:rFonts w:ascii="Times New Roman" w:cs="Times New Roman" w:eastAsia="Times New Roman" w:hAnsi="Times New Roman"/>
                <w:sz w:val="16"/>
                <w:szCs w:val="16"/>
                <w:b w:val="1"/>
                <w:bCs w:val="1"/>
                <w:color w:val="auto"/>
                <w:w w:val="93"/>
              </w:rPr>
              <w:t>Earnings Per Share Multiples</w:t>
            </w:r>
          </w:p>
        </w:tc>
      </w:tr>
      <w:tr>
        <w:trPr>
          <w:trHeight w:val="20"/>
        </w:trPr>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700" w:type="dxa"/>
            <w:vAlign w:val="bottom"/>
            <w:gridSpan w:val="10"/>
          </w:tcPr>
          <w:p>
            <w:pPr>
              <w:spacing w:after="0" w:line="20" w:lineRule="exact"/>
              <w:rPr>
                <w:sz w:val="1"/>
                <w:szCs w:val="1"/>
                <w:color w:val="auto"/>
              </w:rPr>
            </w:pPr>
          </w:p>
        </w:tc>
      </w:tr>
      <w:tr>
        <w:trPr>
          <w:trHeight w:val="349"/>
        </w:trPr>
        <w:tc>
          <w:tcPr>
            <w:tcW w:w="2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Annual Estimate Variance</w:t>
            </w: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40" w:type="dxa"/>
            <w:vAlign w:val="bottom"/>
            <w:gridSpan w:val="12"/>
          </w:tcPr>
          <w:p>
            <w:pPr>
              <w:jc w:val="right"/>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10.0x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11.0x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12.0x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13.0x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14.0x </w:t>
            </w:r>
            <w:r>
              <w:rPr>
                <w:rFonts w:ascii="Times New Roman" w:cs="Times New Roman" w:eastAsia="Times New Roman" w:hAnsi="Times New Roman"/>
                <w:sz w:val="25"/>
                <w:szCs w:val="25"/>
                <w:b w:val="1"/>
                <w:bCs w:val="1"/>
                <w:color w:val="auto"/>
                <w:vertAlign w:val="subscript"/>
              </w:rPr>
              <w:t>​</w:t>
            </w:r>
          </w:p>
        </w:tc>
      </w:tr>
      <w:tr>
        <w:trPr>
          <w:trHeight w:val="20"/>
        </w:trPr>
        <w:tc>
          <w:tcPr>
            <w:tcW w:w="2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w:t>
            </w:r>
          </w:p>
        </w:tc>
        <w:tc>
          <w:tcPr>
            <w:tcW w:w="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2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​​$29.40​​ ​​$31.35​​ ​​$33.30​​ ​​$35.24​​ ​​$37.19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(10.0%)</w:t>
            </w: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4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 ​​$31.84​​ ​​$34.03​​ ​​$36.22​​ ​​$38.41​​ ​​$40.60​</w:t>
            </w:r>
          </w:p>
        </w:tc>
      </w:tr>
      <w:tr>
        <w:trPr>
          <w:trHeight w:val="22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0.0%</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22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​​$34.27​​ ​​$36.70​​ ​​$39.14​​ ​​$41.57​​ ​​$44.00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10.0%</w:t>
            </w: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4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 ​​$36.70​​ ​​$39.38​​ ​​$42.06​​ ​​$44.73​​ ​​$47.41​</w:t>
            </w:r>
          </w:p>
        </w:tc>
      </w:tr>
      <w:tr>
        <w:trPr>
          <w:trHeight w:val="23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w:t>
            </w:r>
          </w:p>
        </w:tc>
        <w:tc>
          <w:tcPr>
            <w:tcW w:w="6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22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​​$39.14​​ ​​$42.06​​ ​​$44.97​​ ​​$47.89​​ ​​$50.81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4894580</wp:posOffset>
            </wp:positionH>
            <wp:positionV relativeFrom="paragraph">
              <wp:posOffset>-733425</wp:posOffset>
            </wp:positionV>
            <wp:extent cx="12128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-733425</wp:posOffset>
            </wp:positionV>
            <wp:extent cx="12128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-733425</wp:posOffset>
            </wp:positionV>
            <wp:extent cx="12128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-733425</wp:posOffset>
            </wp:positionV>
            <wp:extent cx="12128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-733425</wp:posOffset>
            </wp:positionV>
            <wp:extent cx="12128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83" w:lineRule="exact"/>
        <w:rPr>
          <w:sz w:val="20"/>
          <w:szCs w:val="20"/>
          <w:color w:val="auto"/>
        </w:rPr>
      </w:pPr>
    </w:p>
    <w:p>
      <w:pPr>
        <w:jc w:val="both"/>
        <w:ind w:left="1100" w:right="999" w:firstLine="318"/>
        <w:spacing w:after="0" w:line="256" w:lineRule="auto"/>
        <w:rPr>
          <w:sz w:val="20"/>
          <w:szCs w:val="20"/>
          <w:color w:val="auto"/>
        </w:rPr>
      </w:pPr>
      <w:r>
        <w:rPr>
          <w:rFonts w:ascii="Times New Roman" w:cs="Times New Roman" w:eastAsia="Times New Roman" w:hAnsi="Times New Roman"/>
          <w:sz w:val="16"/>
          <w:szCs w:val="16"/>
          <w:color w:val="auto"/>
        </w:rPr>
        <w:t>Piper Sandler noted that the net present value analysis is a widely used valuation methodology, but the results of such methodology are highly dependent upon the numerous assumptions that must be made, and the results thereof are not necessarily indicative of actual values or future results.</w:t>
      </w:r>
    </w:p>
    <w:p>
      <w:pPr>
        <w:spacing w:after="0" w:line="14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Pro Forma Transaction Analysis.</w:t>
      </w:r>
    </w:p>
    <w:p>
      <w:pPr>
        <w:spacing w:after="0" w:line="142" w:lineRule="exact"/>
        <w:rPr>
          <w:sz w:val="20"/>
          <w:szCs w:val="20"/>
          <w:color w:val="auto"/>
        </w:rPr>
      </w:pPr>
    </w:p>
    <w:p>
      <w:pPr>
        <w:ind w:left="1100" w:right="899" w:firstLine="318"/>
        <w:spacing w:after="0"/>
        <w:rPr>
          <w:sz w:val="20"/>
          <w:szCs w:val="20"/>
          <w:color w:val="auto"/>
        </w:rPr>
      </w:pPr>
      <w:r>
        <w:rPr>
          <w:rFonts w:ascii="Times New Roman" w:cs="Times New Roman" w:eastAsia="Times New Roman" w:hAnsi="Times New Roman"/>
          <w:sz w:val="16"/>
          <w:szCs w:val="16"/>
          <w:color w:val="auto"/>
        </w:rPr>
        <w:t>Piper Sandler analyzed certain potential pro forma effects of the merger on United assuming the transaction closes on September 30, 2026. Piper Sandler utilized the following information and assumptions: (a) certain internal financial projections for Peach State for the years ending December 31, 2026 through December 31, 2030, as provided by the senior management of Peach State, (b) 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 and (c) certain assumptions relating to transaction expenses, cost savings and purchase accounting adjustments, as provided by the senior management of United and confirmed for use in Piper Sandler’s analyses by the senior management of Peach State. The analysis indicated that the transaction could be accretive to United’s estimated earnings per share (excluding one-time transaction costs and expenses) in the years ending 2026 through 2029 and dilutive to United’s estimated tangible book value per share at close and through December 31, 2028.</w:t>
      </w:r>
    </w:p>
    <w:p>
      <w:pPr>
        <w:spacing w:after="0" w:line="278" w:lineRule="exact"/>
        <w:rPr>
          <w:sz w:val="20"/>
          <w:szCs w:val="20"/>
          <w:color w:val="auto"/>
        </w:rPr>
      </w:pPr>
    </w:p>
    <w:p>
      <w:pPr>
        <w:ind w:left="1100" w:right="959" w:firstLine="318"/>
        <w:spacing w:after="0" w:line="249" w:lineRule="auto"/>
        <w:rPr>
          <w:sz w:val="20"/>
          <w:szCs w:val="20"/>
          <w:color w:val="auto"/>
        </w:rPr>
      </w:pPr>
      <w:r>
        <w:rPr>
          <w:rFonts w:ascii="Times New Roman" w:cs="Times New Roman" w:eastAsia="Times New Roman" w:hAnsi="Times New Roman"/>
          <w:sz w:val="16"/>
          <w:szCs w:val="16"/>
          <w:color w:val="auto"/>
        </w:rPr>
        <w:t>In connection with this analysis, Piper Sandler considered and discussed with Peach State’s board of directors how the analysis would be affected by changes in the underlying assumptions, including the impact of final purchase accounting adjustments determined at the closing of the transaction, and noted that the actual results achieved by the combined company may vary from projected results and the variations may be material.</w:t>
      </w:r>
    </w:p>
    <w:p>
      <w:pPr>
        <w:spacing w:after="0" w:line="34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Piper Sandler’s Relationship.</w:t>
      </w:r>
    </w:p>
    <w:p>
      <w:pPr>
        <w:spacing w:after="0" w:line="142" w:lineRule="exact"/>
        <w:rPr>
          <w:sz w:val="20"/>
          <w:szCs w:val="20"/>
          <w:color w:val="auto"/>
        </w:rPr>
      </w:pPr>
    </w:p>
    <w:p>
      <w:pPr>
        <w:ind w:left="1100" w:right="1159" w:firstLine="318"/>
        <w:spacing w:after="0" w:line="244" w:lineRule="auto"/>
        <w:rPr>
          <w:sz w:val="20"/>
          <w:szCs w:val="20"/>
          <w:color w:val="auto"/>
        </w:rPr>
      </w:pPr>
      <w:r>
        <w:rPr>
          <w:rFonts w:ascii="Times New Roman" w:cs="Times New Roman" w:eastAsia="Times New Roman" w:hAnsi="Times New Roman"/>
          <w:sz w:val="16"/>
          <w:szCs w:val="16"/>
          <w:color w:val="auto"/>
        </w:rPr>
        <w:t>Piper Sandler is acting as Peach State’s financial advisor in connection with the transaction and will receive a fee for such services in an amount equal to (i) 1.50% of the aggregate purchase price, plus</w:t>
      </w:r>
    </w:p>
    <w:p>
      <w:pPr>
        <w:spacing w:after="0" w:line="1" w:lineRule="exact"/>
        <w:rPr>
          <w:sz w:val="20"/>
          <w:szCs w:val="20"/>
          <w:color w:val="auto"/>
        </w:rPr>
      </w:pPr>
    </w:p>
    <w:p>
      <w:pPr>
        <w:ind w:left="1100" w:right="1059" w:firstLine="3"/>
        <w:spacing w:after="0" w:line="238" w:lineRule="auto"/>
        <w:tabs>
          <w:tab w:leader="none" w:pos="135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 of the amount by which the aggregate purchase price exceeds a threshold amount, subject to a maximum advisory fee of 1.75% of the aggregate purchase price, which fee is contingent upon the closing of the merger. At the time of announcement of the transaction Piper Sandler’s fee was approximately</w:t>
      </w:r>
    </w:p>
    <w:p>
      <w:pPr>
        <w:ind w:left="1100" w:right="899"/>
        <w:spacing w:after="0" w:line="24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 million. Piper Sandler also received a $300,000 fee from Peach State upon rendering its opinion, which opinion fee will be credited in full towards the transaction fee which will become payable to Piper Sandler upon closing of the transaction. Peach State has also agreed to indemnify Piper Sandler against certain claims and liabilities arising out of Piper Sandler’s engagement and to reimburse Piper Sandler for certain of its out-of-pocket expenses incurred in connection with Piper Sandler’s engagement.</w:t>
      </w:r>
    </w:p>
    <w:p>
      <w:pPr>
        <w:spacing w:after="0" w:line="103" w:lineRule="exact"/>
        <w:rPr>
          <w:sz w:val="20"/>
          <w:szCs w:val="20"/>
          <w:color w:val="auto"/>
        </w:rPr>
      </w:pPr>
    </w:p>
    <w:p>
      <w:pPr>
        <w:jc w:val="both"/>
        <w:ind w:left="1100" w:right="1079" w:firstLine="318"/>
        <w:spacing w:after="0" w:line="248" w:lineRule="auto"/>
        <w:rPr>
          <w:sz w:val="20"/>
          <w:szCs w:val="20"/>
          <w:color w:val="auto"/>
        </w:rPr>
      </w:pPr>
      <w:r>
        <w:rPr>
          <w:rFonts w:ascii="Times New Roman" w:cs="Times New Roman" w:eastAsia="Times New Roman" w:hAnsi="Times New Roman"/>
          <w:sz w:val="16"/>
          <w:szCs w:val="16"/>
          <w:color w:val="auto"/>
        </w:rPr>
        <w:t>Piper Sandler has not provided any other investment banking services to Peach State in the two years preceding the date hereof. Piper Sandler did not provide any investment banking services to United in the two years preceding the date hereof. In the ordinary course of Piper Sandler’s business as a broker-dealer,</w:t>
      </w:r>
    </w:p>
    <w:p>
      <w:pPr>
        <w:spacing w:after="0" w:line="3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100" w:right="1139"/>
        <w:spacing w:after="0" w:line="256" w:lineRule="auto"/>
        <w:rPr>
          <w:sz w:val="20"/>
          <w:szCs w:val="20"/>
          <w:color w:val="auto"/>
        </w:rPr>
      </w:pPr>
      <w:r>
        <w:rPr>
          <w:rFonts w:ascii="Times New Roman" w:cs="Times New Roman" w:eastAsia="Times New Roman" w:hAnsi="Times New Roman"/>
          <w:sz w:val="16"/>
          <w:szCs w:val="16"/>
          <w:color w:val="auto"/>
        </w:rPr>
        <w:t>Piper Sandler may purchase securities from and sell securities to Peach State, United and their respective affiliates. Piper Sandler may also actively trade the equity and debt securities of Peach State, United and their respective affiliates for its own account and for the accounts of its customers.</w:t>
      </w:r>
    </w:p>
    <w:p>
      <w:pPr>
        <w:spacing w:after="0" w:line="1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Certain Unaudited Prospective Financial Information</w:t>
      </w:r>
    </w:p>
    <w:p>
      <w:pPr>
        <w:spacing w:after="0" w:line="140" w:lineRule="exact"/>
        <w:rPr>
          <w:sz w:val="20"/>
          <w:szCs w:val="20"/>
          <w:color w:val="auto"/>
        </w:rPr>
      </w:pPr>
    </w:p>
    <w:p>
      <w:pPr>
        <w:ind w:left="1100" w:right="979" w:firstLine="318"/>
        <w:spacing w:after="0" w:line="256" w:lineRule="auto"/>
        <w:rPr>
          <w:sz w:val="20"/>
          <w:szCs w:val="20"/>
          <w:color w:val="auto"/>
        </w:rPr>
      </w:pPr>
      <w:r>
        <w:rPr>
          <w:rFonts w:ascii="Times New Roman" w:cs="Times New Roman" w:eastAsia="Times New Roman" w:hAnsi="Times New Roman"/>
          <w:sz w:val="16"/>
          <w:szCs w:val="16"/>
          <w:color w:val="auto"/>
        </w:rPr>
        <w:t>United and Peach State do not, as a matter of course, publicly disclose forecasts or internal projections as to future performance, revenues, earnings, financial condition or other results due to, among other reasons, the inherent uncertainty of the underlying assumptions and estimates.</w:t>
      </w:r>
    </w:p>
    <w:p>
      <w:pPr>
        <w:spacing w:after="0" w:line="90" w:lineRule="exact"/>
        <w:rPr>
          <w:sz w:val="20"/>
          <w:szCs w:val="20"/>
          <w:color w:val="auto"/>
        </w:rPr>
      </w:pPr>
    </w:p>
    <w:p>
      <w:pPr>
        <w:ind w:left="1100" w:right="919" w:firstLine="318"/>
        <w:spacing w:after="0" w:line="241" w:lineRule="auto"/>
        <w:rPr>
          <w:sz w:val="20"/>
          <w:szCs w:val="20"/>
          <w:color w:val="auto"/>
        </w:rPr>
      </w:pPr>
      <w:r>
        <w:rPr>
          <w:rFonts w:ascii="Times New Roman" w:cs="Times New Roman" w:eastAsia="Times New Roman" w:hAnsi="Times New Roman"/>
          <w:sz w:val="16"/>
          <w:szCs w:val="16"/>
          <w:color w:val="auto"/>
        </w:rPr>
        <w:t>In connection with the merger, however, United and Peach State are including in this proxy statement/​ prospectus certain unaudited prospective financial information for United and Peach State that was made available as described below. We refer to this information collectively as the “prospective financial information.” A summary of certain significant elements of this information is included in this proxy statement/prospectus solely for the purpose of providing Peach State shareholders access to certain information made available to Peach State and its boards of directors, as well as to Peach State’s financial advisor. This prospective financial information includes, among other things, projected net income, earnings per share, dividends per share, tangible book value per share and related valuation analyses (including net present value analyses based on price-to-earnings and price-to-tangible book value multiples using specified discount rates) prepared in connection with the financial analyses described herein.</w:t>
      </w:r>
    </w:p>
    <w:p>
      <w:pPr>
        <w:spacing w:after="0" w:line="106" w:lineRule="exact"/>
        <w:rPr>
          <w:sz w:val="20"/>
          <w:szCs w:val="20"/>
          <w:color w:val="auto"/>
        </w:rPr>
      </w:pPr>
    </w:p>
    <w:p>
      <w:pPr>
        <w:ind w:left="1100" w:right="919" w:firstLine="318"/>
        <w:spacing w:after="0" w:line="249" w:lineRule="auto"/>
        <w:rPr>
          <w:sz w:val="20"/>
          <w:szCs w:val="20"/>
          <w:color w:val="auto"/>
        </w:rPr>
      </w:pPr>
      <w:r>
        <w:rPr>
          <w:rFonts w:ascii="Times New Roman" w:cs="Times New Roman" w:eastAsia="Times New Roman" w:hAnsi="Times New Roman"/>
          <w:sz w:val="16"/>
          <w:szCs w:val="16"/>
          <w:color w:val="auto"/>
        </w:rPr>
        <w:t xml:space="preserve">The prospective financial information was not prepared for the purpose of, or with a view toward,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Neither of United nor Peach State endorses the prospective financial information as necessarily predictive of actual future results. Although presented with numeric specificity, the prospective financial information reflects numerous estimates and assumptions with respect to, among other things,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United and Peach State operate and the risks and uncertainties described under “Risk Factors” beginning on page </w:t>
      </w:r>
      <w:r>
        <w:rPr>
          <w:rFonts w:ascii="Times New Roman" w:cs="Times New Roman" w:eastAsia="Times New Roman" w:hAnsi="Times New Roman"/>
          <w:sz w:val="16"/>
          <w:szCs w:val="16"/>
          <w:u w:val="single" w:color="auto"/>
          <w:color w:val="0000EE"/>
        </w:rPr>
        <w:t>20</w:t>
      </w:r>
      <w:r>
        <w:rPr>
          <w:rFonts w:ascii="Times New Roman" w:cs="Times New Roman" w:eastAsia="Times New Roman" w:hAnsi="Times New Roman"/>
          <w:sz w:val="16"/>
          <w:szCs w:val="16"/>
          <w:color w:val="auto"/>
        </w:rPr>
        <w:t xml:space="preserve">, “Cautionary Statement Regarding Forward-Looking Statements” beginning on page </w:t>
      </w:r>
      <w:r>
        <w:rPr>
          <w:rFonts w:ascii="Times New Roman" w:cs="Times New Roman" w:eastAsia="Times New Roman" w:hAnsi="Times New Roman"/>
          <w:sz w:val="16"/>
          <w:szCs w:val="16"/>
          <w:u w:val="single" w:color="auto"/>
          <w:color w:val="0000EE"/>
        </w:rPr>
        <w:t>17</w:t>
      </w:r>
      <w:r>
        <w:rPr>
          <w:rFonts w:ascii="Times New Roman" w:cs="Times New Roman" w:eastAsia="Times New Roman" w:hAnsi="Times New Roman"/>
          <w:sz w:val="16"/>
          <w:szCs w:val="16"/>
          <w:color w:val="auto"/>
        </w:rPr>
        <w:t xml:space="preserve"> and in the reports that United files with the SEC from time to time, all of which are difficult to predict and many of which are outside the control of United and Peach State and will be beyond the control of the combined company following completion of the merger. There can be no assurance that the underlying assumptions would prove to be accurate or that the projected results would be realized, and actual results could differ materially from those reflected in the prospective financial information, whether or not the merger is completed. Further, these assumptions do not include all potential actions that the senior management of United or Peach State could or might have taken during these time periods. In addition, since the prospective financial information covers multiple years, such information by its nature becomes subject to greater uncertainty with each successive year. The inclusion of this prospective financial information should not be regarded as an indication that any of United, Peach State, their respective affiliates, officers, directors, advisors or other representatives considered, or now considers, this prospective financial information to be material information to any shareholder, particularly in light of the inherent risks and uncertainties associated with such prospective financial information, or that it should be construed as financial guidance, and it should not be relied on as such.</w:t>
      </w:r>
    </w:p>
    <w:p>
      <w:pPr>
        <w:spacing w:after="0" w:line="303" w:lineRule="exact"/>
        <w:rPr>
          <w:sz w:val="20"/>
          <w:szCs w:val="20"/>
          <w:color w:val="auto"/>
        </w:rPr>
      </w:pPr>
    </w:p>
    <w:p>
      <w:pPr>
        <w:ind w:left="1100" w:right="979" w:firstLine="318"/>
        <w:spacing w:after="0" w:line="252" w:lineRule="auto"/>
        <w:rPr>
          <w:sz w:val="20"/>
          <w:szCs w:val="20"/>
          <w:color w:val="auto"/>
        </w:rPr>
      </w:pPr>
      <w:r>
        <w:rPr>
          <w:rFonts w:ascii="Times New Roman" w:cs="Times New Roman" w:eastAsia="Times New Roman" w:hAnsi="Times New Roman"/>
          <w:sz w:val="16"/>
          <w:szCs w:val="16"/>
          <w:color w:val="auto"/>
        </w:rPr>
        <w:t>The prospective financial information is not fact and should not be relied upon as being necessarily indicative of actual future results. The prospective financial information also reflects numerous variables, expectations and assumptions available at the time it was prepared as to certain business decisions that are subject to change and does not take into account any circumstances or events occurring after the date it was prepared, including the transactions contemplated by the merger agreement or the possible financial and other effects on United or Peach State of the merger, or macroeconomic events or market conditions, and does not attempt to predict or suggest actual future results of the combined company or give effect to the merger, including the effect of negotiating or executing the merger agreement, the costs that may be incurred in connection with consummating the merger, the potential synergies that may be achieved by the combined</w:t>
      </w:r>
    </w:p>
    <w:p>
      <w:pPr>
        <w:spacing w:after="0" w:line="200" w:lineRule="exact"/>
        <w:rPr>
          <w:sz w:val="20"/>
          <w:szCs w:val="20"/>
          <w:color w:val="auto"/>
        </w:rPr>
      </w:pPr>
    </w:p>
    <w:p>
      <w:pPr>
        <w:spacing w:after="0" w:line="3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140"/>
        <w:spacing w:after="0" w:line="242" w:lineRule="auto"/>
        <w:rPr>
          <w:sz w:val="20"/>
          <w:szCs w:val="20"/>
          <w:color w:val="auto"/>
        </w:rPr>
      </w:pPr>
      <w:r>
        <w:rPr>
          <w:rFonts w:ascii="Times New Roman" w:cs="Times New Roman" w:eastAsia="Times New Roman" w:hAnsi="Times New Roman"/>
          <w:sz w:val="16"/>
          <w:szCs w:val="16"/>
          <w:color w:val="auto"/>
        </w:rPr>
        <w:t>company as a result of the merger, the effect on United or Peach State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Further, the prospective financial information does not take into account the effect of any possible failure of the merger to occur. No assurances can be given that if the prospective financial information had been prepared as of the date of this proxy statement/prospectus, similar assumptions would be used. In addition, the prospective financial information may not reflect the manner in which the combined company would operate after the merger.</w:t>
      </w:r>
    </w:p>
    <w:p>
      <w:pPr>
        <w:spacing w:after="0" w:line="105" w:lineRule="exact"/>
        <w:rPr>
          <w:sz w:val="20"/>
          <w:szCs w:val="20"/>
          <w:color w:val="auto"/>
        </w:rPr>
      </w:pPr>
    </w:p>
    <w:p>
      <w:pPr>
        <w:ind w:left="1100" w:right="1200" w:firstLine="318"/>
        <w:spacing w:after="0" w:line="241" w:lineRule="auto"/>
        <w:rPr>
          <w:sz w:val="20"/>
          <w:szCs w:val="20"/>
          <w:color w:val="auto"/>
        </w:rPr>
      </w:pPr>
      <w:r>
        <w:rPr>
          <w:rFonts w:ascii="Times New Roman" w:cs="Times New Roman" w:eastAsia="Times New Roman" w:hAnsi="Times New Roman"/>
          <w:sz w:val="16"/>
          <w:szCs w:val="16"/>
          <w:color w:val="auto"/>
        </w:rPr>
        <w:t>PricewaterhouseCoopers LLP (United’s independent registered public accounting firm) and Elliott Davis, LLC (Peach State’s independent public accounting firm) have not audited, reviewed, examined, compiled nor applied agreed-upon procedures with respect to the accompanying prospective financial information and, accordingly, PricewaterhouseCoopers LLP and Elliott Davis, LLC do not express an opinion or any other form of assurance with respect thereto. The PricewaterhouseCoopers LLP report incorporated by reference into this proxy statement/prospectus relates to United’s previously issued financial statements. This report does not extend to the prospective financial information and should not be read to do so.</w:t>
      </w: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Peach State Prospective Financial Information</w:t>
      </w:r>
    </w:p>
    <w:p>
      <w:pPr>
        <w:spacing w:after="0" w:line="128" w:lineRule="exact"/>
        <w:rPr>
          <w:sz w:val="20"/>
          <w:szCs w:val="20"/>
          <w:color w:val="auto"/>
        </w:rPr>
      </w:pPr>
    </w:p>
    <w:p>
      <w:pPr>
        <w:jc w:val="both"/>
        <w:ind w:left="1100" w:right="1120" w:firstLine="318"/>
        <w:spacing w:after="0" w:line="256" w:lineRule="auto"/>
        <w:rPr>
          <w:sz w:val="20"/>
          <w:szCs w:val="20"/>
          <w:color w:val="auto"/>
        </w:rPr>
      </w:pPr>
      <w:r>
        <w:rPr>
          <w:rFonts w:ascii="Times New Roman" w:cs="Times New Roman" w:eastAsia="Times New Roman" w:hAnsi="Times New Roman"/>
          <w:sz w:val="16"/>
          <w:szCs w:val="16"/>
          <w:color w:val="auto"/>
        </w:rPr>
        <w:t>The following prospective financial information was approved by Peach State’s management for use by Piper in connection with Piper performing its financial analyses with respect to Peach State on a standalone basis:</w:t>
      </w:r>
    </w:p>
    <w:p>
      <w:pPr>
        <w:spacing w:after="0" w:line="109" w:lineRule="exact"/>
        <w:rPr>
          <w:sz w:val="20"/>
          <w:szCs w:val="20"/>
          <w:color w:val="auto"/>
        </w:rPr>
      </w:pPr>
    </w:p>
    <w:tbl>
      <w:tblPr>
        <w:tblLayout w:type="fixed"/>
        <w:tblInd w:w="1100" w:type="dxa"/>
        <w:tblCellMar>
          <w:top w:w="0" w:type="dxa"/>
          <w:left w:w="0" w:type="dxa"/>
          <w:bottom w:w="0" w:type="dxa"/>
          <w:right w:w="0" w:type="dxa"/>
        </w:tblCellMar>
      </w:tblPr>
      <w:tr>
        <w:trPr>
          <w:trHeight w:val="201"/>
        </w:trPr>
        <w:tc>
          <w:tcPr>
            <w:tcW w:w="2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 ​</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b w:val="1"/>
                <w:bCs w:val="1"/>
                <w:color w:val="auto"/>
                <w:w w:val="97"/>
              </w:rPr>
              <w:t>Full Year Ended:</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6"/>
        </w:trPr>
        <w:tc>
          <w:tcPr>
            <w:tcW w:w="2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Dollars in thousands ($000)</w:t>
            </w:r>
          </w:p>
        </w:tc>
        <w:tc>
          <w:tcPr>
            <w:tcW w:w="70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12/31/2026</w:t>
            </w:r>
            <w:r>
              <w:rPr>
                <w:rFonts w:ascii="Times New Roman" w:cs="Times New Roman" w:eastAsia="Times New Roman" w:hAnsi="Times New Roman"/>
                <w:sz w:val="14"/>
                <w:szCs w:val="14"/>
                <w:b w:val="1"/>
                <w:bCs w:val="1"/>
                <w:color w:val="auto"/>
                <w:vertAlign w:val="superscript"/>
              </w:rPr>
              <w:t>(1)</w:t>
            </w:r>
          </w:p>
        </w:tc>
        <w:tc>
          <w:tcPr>
            <w:tcW w:w="780" w:type="dxa"/>
            <w:vAlign w:val="bottom"/>
            <w:gridSpan w:val="4"/>
          </w:tcPr>
          <w:p>
            <w:pPr>
              <w:ind w:left="40"/>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12/31/2027</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12/31/2028</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3"/>
          </w:tcPr>
          <w:p>
            <w:pPr>
              <w:spacing w:after="0" w:line="207" w:lineRule="exact"/>
              <w:rPr>
                <w:sz w:val="20"/>
                <w:szCs w:val="20"/>
                <w:color w:val="auto"/>
              </w:rPr>
            </w:pPr>
            <w:r>
              <w:rPr>
                <w:rFonts w:ascii="Times New Roman" w:cs="Times New Roman" w:eastAsia="Times New Roman" w:hAnsi="Times New Roman"/>
                <w:sz w:val="23"/>
                <w:szCs w:val="23"/>
                <w:b w:val="1"/>
                <w:bCs w:val="1"/>
                <w:color w:val="auto"/>
                <w:w w:val="97"/>
                <w:vertAlign w:val="subscript"/>
              </w:rPr>
              <w:t>​</w:t>
            </w:r>
            <w:r>
              <w:rPr>
                <w:rFonts w:ascii="Times New Roman" w:cs="Times New Roman" w:eastAsia="Times New Roman" w:hAnsi="Times New Roman"/>
                <w:sz w:val="12"/>
                <w:szCs w:val="12"/>
                <w:b w:val="1"/>
                <w:bCs w:val="1"/>
                <w:color w:val="auto"/>
                <w:w w:val="97"/>
              </w:rPr>
              <w:t xml:space="preserve"> 12/31/2029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6"/>
          </w:tcPr>
          <w:p>
            <w:pPr>
              <w:ind w:left="20"/>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12/31/2030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right w:val="single" w:sz="8" w:color="CCEEFF"/>
            </w:tcBorders>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​$9,628</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​$11,571</w:t>
            </w:r>
          </w:p>
        </w:tc>
        <w:tc>
          <w:tcPr>
            <w:tcW w:w="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​$13,361</w:t>
            </w:r>
          </w:p>
        </w:tc>
        <w:tc>
          <w:tcPr>
            <w:tcW w:w="1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 ​$14,897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​$16,789</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7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2"/>
              </w:rPr>
              <w:t>2.99</w:t>
            </w: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Per Share</w:t>
            </w:r>
          </w:p>
        </w:tc>
        <w:tc>
          <w:tcPr>
            <w:tcW w:w="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righ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2"/>
              </w:rPr>
              <w:t>0.15</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40" w:type="dxa"/>
            <w:vAlign w:val="bottom"/>
            <w:tcBorders>
              <w:right w:val="single" w:sz="8" w:color="CCEEFF"/>
            </w:tcBorders>
            <w:shd w:val="clear" w:color="auto" w:fill="CCEEFF"/>
          </w:tcPr>
          <w:p>
            <w:pPr>
              <w:spacing w:after="0"/>
              <w:rPr>
                <w:sz w:val="19"/>
                <w:szCs w:val="19"/>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2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Tangible Book Value Per Share</w:t>
            </w:r>
          </w:p>
        </w:tc>
        <w:tc>
          <w:tcPr>
            <w:tcW w:w="7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61"/>
              <w:spacing w:after="0"/>
              <w:rPr>
                <w:sz w:val="20"/>
                <w:szCs w:val="20"/>
                <w:color w:val="auto"/>
              </w:rPr>
            </w:pPr>
            <w:r>
              <w:rPr>
                <w:rFonts w:ascii="Times New Roman" w:cs="Times New Roman" w:eastAsia="Times New Roman" w:hAnsi="Times New Roman"/>
                <w:sz w:val="16"/>
                <w:szCs w:val="16"/>
                <w:color w:val="auto"/>
              </w:rPr>
              <w:t>​$20.79</w:t>
            </w: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2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29.18</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34.12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39.61</w:t>
            </w:r>
          </w:p>
        </w:tc>
        <w:tc>
          <w:tcPr>
            <w:tcW w:w="12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9"/>
        </w:trPr>
        <w:tc>
          <w:tcPr>
            <w:tcW w:w="26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TCE / TA (%)</w:t>
            </w:r>
          </w:p>
        </w:tc>
        <w:tc>
          <w:tcPr>
            <w:tcW w:w="70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7.3%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4"/>
          </w:tcPr>
          <w:p>
            <w:pPr>
              <w:jc w:val="right"/>
              <w:spacing w:after="0" w:line="179" w:lineRule="exact"/>
              <w:rPr>
                <w:sz w:val="20"/>
                <w:szCs w:val="20"/>
                <w:color w:val="auto"/>
              </w:rPr>
            </w:pPr>
            <w:r>
              <w:rPr>
                <w:rFonts w:ascii="Times New Roman" w:cs="Times New Roman" w:eastAsia="Times New Roman" w:hAnsi="Times New Roman"/>
                <w:sz w:val="16"/>
                <w:szCs w:val="16"/>
                <w:color w:val="auto"/>
              </w:rPr>
              <w:t>​   7.9%</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33"/>
              <w:spacing w:after="0" w:line="179" w:lineRule="exact"/>
              <w:rPr>
                <w:sz w:val="20"/>
                <w:szCs w:val="20"/>
                <w:color w:val="auto"/>
              </w:rPr>
            </w:pPr>
            <w:r>
              <w:rPr>
                <w:rFonts w:ascii="Times New Roman" w:cs="Times New Roman" w:eastAsia="Times New Roman" w:hAnsi="Times New Roman"/>
                <w:sz w:val="16"/>
                <w:szCs w:val="16"/>
                <w:color w:val="auto"/>
              </w:rPr>
              <w:t>8.5%</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9.1%</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tcPr>
          <w:p>
            <w:pPr>
              <w:jc w:val="right"/>
              <w:spacing w:after="0" w:line="179" w:lineRule="exact"/>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48"/>
        </w:trPr>
        <w:tc>
          <w:tcPr>
            <w:tcW w:w="26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 ​ ​</w:t>
            </w: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color w:val="auto"/>
              </w:rPr>
              <w:t>​​</w:t>
            </w:r>
          </w:p>
        </w:tc>
        <w:tc>
          <w:tcPr>
            <w:tcW w:w="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jc w:val="right"/>
              <w:ind w:right="33"/>
              <w:spacing w:after="0" w:line="48"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jc w:val="right"/>
              <w:spacing w:after="0" w:line="48" w:lineRule="exact"/>
              <w:rPr>
                <w:sz w:val="20"/>
                <w:szCs w:val="20"/>
                <w:color w:val="auto"/>
              </w:rPr>
            </w:pPr>
            <w:r>
              <w:rPr>
                <w:rFonts w:ascii="Times New Roman" w:cs="Times New Roman" w:eastAsia="Times New Roman" w:hAnsi="Times New Roman"/>
                <w:sz w:val="5"/>
                <w:szCs w:val="5"/>
                <w:color w:val="auto"/>
              </w:rPr>
              <w:t>​​</w:t>
            </w:r>
          </w:p>
        </w:tc>
        <w:tc>
          <w:tcPr>
            <w:tcW w:w="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gridSpan w:val="2"/>
          </w:tcPr>
          <w:p>
            <w:pPr>
              <w:jc w:val="right"/>
              <w:ind w:right="54"/>
              <w:spacing w:after="0" w:line="48"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-142875</wp:posOffset>
            </wp:positionV>
            <wp:extent cx="4599305" cy="143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-725805</wp:posOffset>
            </wp:positionV>
            <wp:extent cx="12128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-725805</wp:posOffset>
            </wp:positionV>
            <wp:extent cx="12128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-725805</wp:posOffset>
            </wp:positionV>
            <wp:extent cx="12128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-725805</wp:posOffset>
            </wp:positionV>
            <wp:extent cx="272351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723515" cy="76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121285</wp:posOffset>
            </wp:positionV>
            <wp:extent cx="108902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297" w:lineRule="exact"/>
        <w:rPr>
          <w:sz w:val="20"/>
          <w:szCs w:val="20"/>
          <w:color w:val="auto"/>
        </w:rPr>
      </w:pPr>
    </w:p>
    <w:p>
      <w:pPr>
        <w:ind w:left="1420" w:right="1460" w:hanging="317"/>
        <w:spacing w:after="0" w:line="279" w:lineRule="auto"/>
        <w:tabs>
          <w:tab w:leader="none" w:pos="1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Displayed dividends per share for the full year ended December 31, 2026 includes portion of 2026 dividends unpaid as of March 31, 2026.</w:t>
      </w:r>
    </w:p>
    <w:p>
      <w:pPr>
        <w:spacing w:after="0" w:line="1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United Prospective Financial Information</w:t>
      </w:r>
    </w:p>
    <w:p>
      <w:pPr>
        <w:spacing w:after="0" w:line="140" w:lineRule="exact"/>
        <w:rPr>
          <w:sz w:val="20"/>
          <w:szCs w:val="20"/>
          <w:color w:val="auto"/>
        </w:rPr>
      </w:pPr>
    </w:p>
    <w:p>
      <w:pPr>
        <w:ind w:left="1100" w:right="1120" w:firstLine="318"/>
        <w:spacing w:after="0"/>
        <w:rPr>
          <w:sz w:val="20"/>
          <w:szCs w:val="20"/>
          <w:color w:val="auto"/>
        </w:rPr>
      </w:pPr>
      <w:r>
        <w:rPr>
          <w:rFonts w:ascii="Times New Roman" w:cs="Times New Roman" w:eastAsia="Times New Roman" w:hAnsi="Times New Roman"/>
          <w:sz w:val="16"/>
          <w:szCs w:val="16"/>
          <w:color w:val="auto"/>
        </w:rPr>
        <w:t>The following prospective financial information was approved by Peach State’s management for use by Piper in connection with Piper performing its financial analyses with respect to United on a standalone basis. This prospective financial information was prepared by Piper Sandler using publicly available mean analyst estimates for United for the years ending December 31, 2026 and December 31, 2027, based on information provided by the senior management of United, as well as estimated long-term annual balance sheet and net income growth rates for the years ending December 31, 2028 through December 31, 2030 and estimated dividends per share for United for the years ending December 31, 2026 through December 31, 2030, based on information provided by the senior management of United and confirmed for use in Piper Sandler’s analyses by the senior management of Peach State.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60" w:type="dxa"/>
            <w:vAlign w:val="bottom"/>
            <w:gridSpan w:val="2"/>
          </w:tcPr>
          <w:p>
            <w:pPr>
              <w:ind w:left="110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 ​</w:t>
            </w: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Full Year Ended:</w:t>
            </w: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80" w:type="dxa"/>
            <w:vAlign w:val="bottom"/>
          </w:tcPr>
          <w:p>
            <w:pPr>
              <w:jc w:val="right"/>
              <w:ind w:right="1054"/>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18"/>
        </w:trPr>
        <w:tc>
          <w:tcPr>
            <w:tcW w:w="11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Dollars in thousands ($000)</w:t>
            </w:r>
          </w:p>
        </w:tc>
        <w:tc>
          <w:tcPr>
            <w:tcW w:w="76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spacing w:after="0" w:line="219" w:lineRule="exact"/>
              <w:rPr>
                <w:sz w:val="20"/>
                <w:szCs w:val="20"/>
                <w:color w:val="auto"/>
              </w:rPr>
            </w:pPr>
            <w:r>
              <w:rPr>
                <w:rFonts w:ascii="Times New Roman" w:cs="Times New Roman" w:eastAsia="Times New Roman" w:hAnsi="Times New Roman"/>
                <w:sz w:val="25"/>
                <w:szCs w:val="25"/>
                <w:b w:val="1"/>
                <w:bCs w:val="1"/>
                <w:color w:val="auto"/>
                <w:w w:val="88"/>
                <w:vertAlign w:val="subscript"/>
              </w:rPr>
              <w:t>​</w:t>
            </w:r>
            <w:r>
              <w:rPr>
                <w:rFonts w:ascii="Times New Roman" w:cs="Times New Roman" w:eastAsia="Times New Roman" w:hAnsi="Times New Roman"/>
                <w:sz w:val="13"/>
                <w:szCs w:val="13"/>
                <w:b w:val="1"/>
                <w:bCs w:val="1"/>
                <w:color w:val="auto"/>
                <w:w w:val="88"/>
              </w:rPr>
              <w:t xml:space="preserve"> 12/31/2026</w:t>
            </w:r>
            <w:r>
              <w:rPr>
                <w:rFonts w:ascii="Times New Roman" w:cs="Times New Roman" w:eastAsia="Times New Roman" w:hAnsi="Times New Roman"/>
                <w:sz w:val="15"/>
                <w:szCs w:val="15"/>
                <w:b w:val="1"/>
                <w:bCs w:val="1"/>
                <w:color w:val="auto"/>
                <w:w w:val="88"/>
                <w:vertAlign w:val="superscript"/>
              </w:rPr>
              <w:t>(1)</w:t>
            </w:r>
          </w:p>
        </w:tc>
        <w:tc>
          <w:tcPr>
            <w:tcW w:w="920" w:type="dxa"/>
            <w:vAlign w:val="bottom"/>
            <w:gridSpan w:val="4"/>
          </w:tcPr>
          <w:p>
            <w:pPr>
              <w:ind w:left="40"/>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12/31/2027 </w:t>
            </w:r>
            <w:r>
              <w:rPr>
                <w:rFonts w:ascii="Times New Roman" w:cs="Times New Roman" w:eastAsia="Times New Roman" w:hAnsi="Times New Roman"/>
                <w:sz w:val="25"/>
                <w:szCs w:val="25"/>
                <w:b w:val="1"/>
                <w:bCs w:val="1"/>
                <w:color w:val="auto"/>
                <w:vertAlign w:val="subscript"/>
              </w:rPr>
              <w:t>​</w:t>
            </w:r>
          </w:p>
        </w:tc>
        <w:tc>
          <w:tcPr>
            <w:tcW w:w="900" w:type="dxa"/>
            <w:vAlign w:val="bottom"/>
            <w:gridSpan w:val="4"/>
          </w:tcPr>
          <w:p>
            <w:pPr>
              <w:ind w:left="40"/>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12/31/2028 </w:t>
            </w:r>
            <w:r>
              <w:rPr>
                <w:rFonts w:ascii="Times New Roman" w:cs="Times New Roman" w:eastAsia="Times New Roman" w:hAnsi="Times New Roman"/>
                <w:sz w:val="25"/>
                <w:szCs w:val="25"/>
                <w:b w:val="1"/>
                <w:bCs w:val="1"/>
                <w:color w:val="auto"/>
                <w:vertAlign w:val="subscript"/>
              </w:rPr>
              <w:t>​</w:t>
            </w:r>
          </w:p>
        </w:tc>
        <w:tc>
          <w:tcPr>
            <w:tcW w:w="720" w:type="dxa"/>
            <w:vAlign w:val="bottom"/>
            <w:gridSpan w:val="3"/>
          </w:tcPr>
          <w:p>
            <w:pPr>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12/31/2029 </w:t>
            </w:r>
            <w:r>
              <w:rPr>
                <w:rFonts w:ascii="Times New Roman" w:cs="Times New Roman" w:eastAsia="Times New Roman" w:hAnsi="Times New Roman"/>
                <w:sz w:val="25"/>
                <w:szCs w:val="25"/>
                <w:b w:val="1"/>
                <w:bCs w:val="1"/>
                <w:color w:val="auto"/>
                <w:vertAlign w:val="subscript"/>
              </w:rPr>
              <w:t>​</w:t>
            </w:r>
          </w:p>
        </w:tc>
        <w:tc>
          <w:tcPr>
            <w:tcW w:w="1880" w:type="dxa"/>
            <w:vAlign w:val="bottom"/>
            <w:gridSpan w:val="5"/>
          </w:tcPr>
          <w:p>
            <w:pPr>
              <w:ind w:left="40"/>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12/31/2030</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w:t>
            </w:r>
          </w:p>
        </w:tc>
      </w:tr>
      <w:tr>
        <w:trPr>
          <w:trHeight w:val="20"/>
        </w:trPr>
        <w:tc>
          <w:tcPr>
            <w:tcW w:w="110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6"/>
        </w:trPr>
        <w:tc>
          <w:tcPr>
            <w:tcW w:w="110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Borders>
              <w:right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​$358,790</w:t>
            </w:r>
          </w:p>
        </w:tc>
        <w:tc>
          <w:tcPr>
            <w:tcW w:w="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 ​​$387,448​​</w:t>
            </w:r>
          </w:p>
        </w:tc>
        <w:tc>
          <w:tcPr>
            <w:tcW w:w="90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​​$414,570​​</w:t>
            </w:r>
          </w:p>
        </w:tc>
        <w:tc>
          <w:tcPr>
            <w:tcW w:w="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​​$443,586​​</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​$474,657</w:t>
            </w:r>
          </w:p>
        </w:tc>
        <w:tc>
          <w:tcPr>
            <w:tcW w:w="40" w:type="dxa"/>
            <w:vAlign w:val="bottom"/>
            <w:tcBorders>
              <w:right w:val="single" w:sz="8" w:color="CCEEFF"/>
            </w:tcBorders>
            <w:shd w:val="clear" w:color="auto" w:fill="CCEEFF"/>
          </w:tcPr>
          <w:p>
            <w:pPr>
              <w:spacing w:after="0"/>
              <w:rPr>
                <w:sz w:val="17"/>
                <w:szCs w:val="17"/>
                <w:color w:val="auto"/>
              </w:rPr>
            </w:pPr>
          </w:p>
        </w:tc>
        <w:tc>
          <w:tcPr>
            <w:tcW w:w="1080" w:type="dxa"/>
            <w:vAlign w:val="bottom"/>
          </w:tcPr>
          <w:p>
            <w:pPr>
              <w:jc w:val="right"/>
              <w:ind w:right="1054"/>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14"/>
        </w:trPr>
        <w:tc>
          <w:tcPr>
            <w:tcW w:w="356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7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3.24​​</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3.46​​</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3.70​​</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120" w:type="dxa"/>
            <w:vAlign w:val="bottom"/>
            <w:gridSpan w:val="2"/>
          </w:tcPr>
          <w:p>
            <w:pPr>
              <w:jc w:val="right"/>
              <w:ind w:right="10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11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Per Share</w:t>
            </w:r>
          </w:p>
        </w:tc>
        <w:tc>
          <w:tcPr>
            <w:tcW w:w="760" w:type="dxa"/>
            <w:vAlign w:val="bottom"/>
            <w:tcBorders>
              <w:right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1.05​​</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1.11​​</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40" w:type="dxa"/>
            <w:vAlign w:val="bottom"/>
            <w:tcBorders>
              <w:right w:val="single" w:sz="8" w:color="CCEEFF"/>
            </w:tcBorders>
            <w:shd w:val="clear" w:color="auto" w:fill="CCEEFF"/>
          </w:tcPr>
          <w:p>
            <w:pPr>
              <w:spacing w:after="0"/>
              <w:rPr>
                <w:sz w:val="18"/>
                <w:szCs w:val="18"/>
                <w:color w:val="auto"/>
              </w:rPr>
            </w:pPr>
          </w:p>
        </w:tc>
        <w:tc>
          <w:tcPr>
            <w:tcW w:w="1080" w:type="dxa"/>
            <w:vAlign w:val="bottom"/>
          </w:tcPr>
          <w:p>
            <w:pPr>
              <w:jc w:val="right"/>
              <w:ind w:right="1054"/>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51"/>
        </w:trPr>
        <w:tc>
          <w:tcPr>
            <w:tcW w:w="356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Special Dividends Per Share</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0.00​​ ​​$</w:t>
            </w: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0.00​​ ​​$</w:t>
            </w:r>
          </w:p>
        </w:tc>
        <w:tc>
          <w:tcPr>
            <w:tcW w:w="8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0.00​​ ​ ​$</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120" w:type="dxa"/>
            <w:vAlign w:val="bottom"/>
            <w:gridSpan w:val="2"/>
          </w:tcPr>
          <w:p>
            <w:pPr>
              <w:jc w:val="right"/>
              <w:ind w:right="10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512"/>
        </w:trPr>
        <w:tc>
          <w:tcPr>
            <w:tcW w:w="1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9"/>
        </w:trPr>
        <w:tc>
          <w:tcPr>
            <w:tcW w:w="11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-1134110</wp:posOffset>
            </wp:positionV>
            <wp:extent cx="12128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4221480</wp:posOffset>
            </wp:positionH>
            <wp:positionV relativeFrom="paragraph">
              <wp:posOffset>-1134110</wp:posOffset>
            </wp:positionV>
            <wp:extent cx="12128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-1134110</wp:posOffset>
            </wp:positionV>
            <wp:extent cx="12128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-1134110</wp:posOffset>
            </wp:positionV>
            <wp:extent cx="260985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609850" cy="7620"/>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-27305</wp:posOffset>
            </wp:positionV>
            <wp:extent cx="33020"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-27305</wp:posOffset>
            </wp:positionV>
            <wp:extent cx="33020"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440"/>
          </w:cols>
          <w:pgMar w:left="1220" w:top="94" w:right="1239" w:bottom="1440" w:gutter="0" w:footer="0" w:header="0"/>
        </w:sectPr>
      </w:pPr>
    </w:p>
    <w:bookmarkStart w:id="63" w:name="page64"/>
    <w:bookmarkEnd w:id="6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100" w:type="dxa"/>
        <w:tblCellMar>
          <w:top w:w="0" w:type="dxa"/>
          <w:left w:w="0" w:type="dxa"/>
          <w:bottom w:w="0" w:type="dxa"/>
          <w:right w:w="0" w:type="dxa"/>
        </w:tblCellMar>
      </w:tblPr>
      <w:tr>
        <w:trPr>
          <w:trHeight w:val="201"/>
        </w:trPr>
        <w:tc>
          <w:tcPr>
            <w:tcW w:w="2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 ​</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3"/>
                <w:szCs w:val="13"/>
                <w:b w:val="1"/>
                <w:bCs w:val="1"/>
                <w:color w:val="auto"/>
              </w:rPr>
              <w:t>Full Year Ended:</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Dollars in thousands ($000)</w:t>
            </w:r>
          </w:p>
        </w:tc>
        <w:tc>
          <w:tcPr>
            <w:tcW w:w="64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660" w:type="dxa"/>
            <w:vAlign w:val="bottom"/>
            <w:gridSpan w:val="8"/>
          </w:tcPr>
          <w:p>
            <w:pPr>
              <w:ind w:left="20"/>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12/31/2026</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12/31/2027 </w:t>
            </w:r>
            <w:r>
              <w:rPr>
                <w:rFonts w:ascii="Times New Roman" w:cs="Times New Roman" w:eastAsia="Times New Roman" w:hAnsi="Times New Roman"/>
                <w:sz w:val="23"/>
                <w:szCs w:val="23"/>
                <w:b w:val="1"/>
                <w:bCs w:val="1"/>
                <w:color w:val="auto"/>
                <w:vertAlign w:val="subscript"/>
              </w:rPr>
              <w:t>​</w:t>
            </w:r>
          </w:p>
        </w:tc>
        <w:tc>
          <w:tcPr>
            <w:tcW w:w="780" w:type="dxa"/>
            <w:vAlign w:val="bottom"/>
            <w:gridSpan w:val="5"/>
          </w:tcPr>
          <w:p>
            <w:pPr>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12/31/2028 </w:t>
            </w:r>
            <w:r>
              <w:rPr>
                <w:rFonts w:ascii="Times New Roman" w:cs="Times New Roman" w:eastAsia="Times New Roman" w:hAnsi="Times New Roman"/>
                <w:sz w:val="23"/>
                <w:szCs w:val="23"/>
                <w:b w:val="1"/>
                <w:bCs w:val="1"/>
                <w:color w:val="auto"/>
                <w:vertAlign w:val="subscript"/>
              </w:rPr>
              <w:t>​</w:t>
            </w:r>
          </w:p>
        </w:tc>
        <w:tc>
          <w:tcPr>
            <w:tcW w:w="800" w:type="dxa"/>
            <w:vAlign w:val="bottom"/>
            <w:gridSpan w:val="5"/>
          </w:tcPr>
          <w:p>
            <w:pPr>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12/31/2029 </w:t>
            </w:r>
            <w:r>
              <w:rPr>
                <w:rFonts w:ascii="Times New Roman" w:cs="Times New Roman" w:eastAsia="Times New Roman" w:hAnsi="Times New Roman"/>
                <w:sz w:val="23"/>
                <w:szCs w:val="23"/>
                <w:b w:val="1"/>
                <w:bCs w:val="1"/>
                <w:color w:val="auto"/>
                <w:vertAlign w:val="subscript"/>
              </w:rPr>
              <w:t>​</w:t>
            </w:r>
          </w:p>
        </w:tc>
        <w:tc>
          <w:tcPr>
            <w:tcW w:w="820" w:type="dxa"/>
            <w:vAlign w:val="bottom"/>
            <w:gridSpan w:val="5"/>
          </w:tcPr>
          <w:p>
            <w:pPr>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12/31/2030</w:t>
            </w:r>
            <w:r>
              <w:rPr>
                <w:rFonts w:ascii="Times New Roman" w:cs="Times New Roman" w:eastAsia="Times New Roman" w:hAnsi="Times New Roman"/>
                <w:sz w:val="14"/>
                <w:szCs w:val="14"/>
                <w:b w:val="1"/>
                <w:bCs w:val="1"/>
                <w:color w:val="auto"/>
                <w:vertAlign w:val="superscript"/>
              </w:rPr>
              <w:t>(2)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Tangible Book Value Per Share</w:t>
            </w:r>
          </w:p>
        </w:tc>
        <w:tc>
          <w:tcPr>
            <w:tcW w:w="920" w:type="dxa"/>
            <w:vAlign w:val="bottom"/>
            <w:gridSpan w:val="4"/>
          </w:tcPr>
          <w:p>
            <w:pPr>
              <w:ind w:left="560"/>
              <w:spacing w:after="0"/>
              <w:rPr>
                <w:sz w:val="20"/>
                <w:szCs w:val="20"/>
                <w:color w:val="auto"/>
              </w:rPr>
            </w:pPr>
            <w:r>
              <w:rPr>
                <w:rFonts w:ascii="Times New Roman" w:cs="Times New Roman" w:eastAsia="Times New Roman" w:hAnsi="Times New Roman"/>
                <w:sz w:val="16"/>
                <w:szCs w:val="16"/>
                <w:color w:val="auto"/>
              </w:rPr>
              <w:t>​ ​ ​$</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24.23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29.34​​</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32.12​​</w:t>
            </w:r>
          </w:p>
        </w:tc>
        <w:tc>
          <w:tcPr>
            <w:tcW w:w="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gridSpan w:val="2"/>
          </w:tcPr>
          <w:p>
            <w:pPr>
              <w:jc w:val="right"/>
              <w:ind w:right="15"/>
              <w:spacing w:after="0"/>
              <w:rPr>
                <w:sz w:val="20"/>
                <w:szCs w:val="20"/>
                <w:color w:val="auto"/>
              </w:rPr>
            </w:pPr>
            <w:r>
              <w:rPr>
                <w:rFonts w:ascii="Times New Roman" w:cs="Times New Roman" w:eastAsia="Times New Roman" w:hAnsi="Times New Roman"/>
                <w:sz w:val="16"/>
                <w:szCs w:val="16"/>
                <w:color w:val="auto"/>
              </w:rPr>
              <w:t>25.16 ​</w:t>
            </w:r>
          </w:p>
        </w:tc>
        <w:tc>
          <w:tcPr>
            <w:tcW w:w="0" w:type="dxa"/>
            <w:vAlign w:val="bottom"/>
          </w:tcPr>
          <w:p>
            <w:pPr>
              <w:spacing w:after="0"/>
              <w:rPr>
                <w:sz w:val="1"/>
                <w:szCs w:val="1"/>
                <w:color w:val="auto"/>
              </w:rPr>
            </w:pPr>
          </w:p>
        </w:tc>
      </w:tr>
      <w:tr>
        <w:trPr>
          <w:trHeight w:val="179"/>
        </w:trPr>
        <w:tc>
          <w:tcPr>
            <w:tcW w:w="26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TCE / TA (%)</w:t>
            </w:r>
          </w:p>
        </w:tc>
        <w:tc>
          <w:tcPr>
            <w:tcW w:w="640" w:type="dxa"/>
            <w:vAlign w:val="bottom"/>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5"/>
                <w:szCs w:val="15"/>
                <w:color w:val="auto"/>
              </w:rPr>
            </w:pPr>
          </w:p>
        </w:tc>
        <w:tc>
          <w:tcPr>
            <w:tcW w:w="64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  10.8%</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11.4%</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11.9%</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7"/>
        </w:trPr>
        <w:tc>
          <w:tcPr>
            <w:tcW w:w="26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-395605</wp:posOffset>
            </wp:positionV>
            <wp:extent cx="4599305" cy="1511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27305</wp:posOffset>
            </wp:positionV>
            <wp:extent cx="108902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149" w:lineRule="exact"/>
        <w:rPr>
          <w:sz w:val="20"/>
          <w:szCs w:val="20"/>
          <w:color w:val="auto"/>
        </w:rPr>
      </w:pPr>
    </w:p>
    <w:p>
      <w:pPr>
        <w:ind w:left="1420" w:hanging="317"/>
        <w:spacing w:after="0"/>
        <w:tabs>
          <w:tab w:leader="none" w:pos="1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Displayed dividends only includes the portion of 2026 dividends that was unpaid as of March 31, 2026.</w:t>
      </w:r>
    </w:p>
    <w:p>
      <w:pPr>
        <w:spacing w:after="0" w:line="78" w:lineRule="exact"/>
        <w:rPr>
          <w:rFonts w:ascii="Times New Roman" w:cs="Times New Roman" w:eastAsia="Times New Roman" w:hAnsi="Times New Roman"/>
          <w:sz w:val="16"/>
          <w:szCs w:val="16"/>
          <w:color w:val="auto"/>
        </w:rPr>
      </w:pPr>
    </w:p>
    <w:p>
      <w:pPr>
        <w:ind w:left="1420" w:right="1119" w:hanging="317"/>
        <w:spacing w:after="0" w:line="263" w:lineRule="auto"/>
        <w:tabs>
          <w:tab w:leader="none" w:pos="1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a special dividend is paid in the terminal period in order to bring terminal period TCE / TA ratio to peer group median TCE / TA ratio of 9.3%. This dividend assumption was not based on information provided by senior management of United.</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General</w:t>
      </w:r>
    </w:p>
    <w:p>
      <w:pPr>
        <w:spacing w:after="0" w:line="126" w:lineRule="exact"/>
        <w:rPr>
          <w:sz w:val="20"/>
          <w:szCs w:val="20"/>
          <w:color w:val="auto"/>
        </w:rPr>
      </w:pPr>
    </w:p>
    <w:p>
      <w:pPr>
        <w:ind w:left="1100" w:right="939" w:firstLine="318"/>
        <w:spacing w:after="0" w:line="256" w:lineRule="auto"/>
        <w:rPr>
          <w:sz w:val="20"/>
          <w:szCs w:val="20"/>
          <w:color w:val="auto"/>
        </w:rPr>
      </w:pPr>
      <w:r>
        <w:rPr>
          <w:rFonts w:ascii="Times New Roman" w:cs="Times New Roman" w:eastAsia="Times New Roman" w:hAnsi="Times New Roman"/>
          <w:sz w:val="16"/>
          <w:szCs w:val="16"/>
          <w:color w:val="auto"/>
        </w:rPr>
        <w:t>The stand-alone prospective financial information for United and Peach State was prepared separately, and the different estimates are not intended to be added together. Adding the prospective financial information together for the two companies is not intended to represent the results the combined company will achieve if the merger is completed, and is not intended to represent forecasted financial information for the combined company if the merger is completed.</w:t>
      </w:r>
    </w:p>
    <w:p>
      <w:pPr>
        <w:spacing w:after="0" w:line="103" w:lineRule="exact"/>
        <w:rPr>
          <w:sz w:val="20"/>
          <w:szCs w:val="20"/>
          <w:color w:val="auto"/>
        </w:rPr>
      </w:pPr>
    </w:p>
    <w:p>
      <w:pPr>
        <w:ind w:left="1100" w:right="919" w:firstLine="318"/>
        <w:spacing w:after="0" w:line="250" w:lineRule="auto"/>
        <w:rPr>
          <w:sz w:val="20"/>
          <w:szCs w:val="20"/>
          <w:color w:val="auto"/>
        </w:rPr>
      </w:pPr>
      <w:r>
        <w:rPr>
          <w:rFonts w:ascii="Times New Roman" w:cs="Times New Roman" w:eastAsia="Times New Roman" w:hAnsi="Times New Roman"/>
          <w:sz w:val="16"/>
          <w:szCs w:val="16"/>
          <w:color w:val="auto"/>
        </w:rPr>
        <w:t>By including in this proxy statement/prospectus a summary of the prospective financial information, neither United nor Peach State, nor any of their respective representatives, has made or makes any representation to any person regarding the ultimate performance of United or Peach State compared to the information contained in the prospective financial information. Neither United, Peach State, nor, after completion of the merger, the combined company, undertakes any obligation to update or otherwise revise the prospective financial information to reflect circumstances existing since their preparation or to reflect the occurrence of subsequent or unanticipated events, even in the event that any or all of the underlying assumptions are shown to be inappropriate, or to reflect changes in general economic or industry conditions. None of United, Peach State or their respective advisors or other representatives has made, makes or is authorized in the future to make any representation to any Peach State shareholder or other person regarding United’s or Peach State’s ultimate performance compared to the information contained in the prospective financial information or that the results reflected in the prospective financial information will be achieved. The prospective financial information included above is provided because it was made available to and considered by Peach State’s board of directors and Peach State’s financial advisor in connection with the merger.</w:t>
      </w:r>
    </w:p>
    <w:p>
      <w:pPr>
        <w:spacing w:after="0" w:line="307" w:lineRule="exact"/>
        <w:rPr>
          <w:sz w:val="20"/>
          <w:szCs w:val="20"/>
          <w:color w:val="auto"/>
        </w:rPr>
      </w:pPr>
    </w:p>
    <w:p>
      <w:pPr>
        <w:ind w:left="1100" w:right="979" w:firstLine="318"/>
        <w:spacing w:after="0" w:line="252" w:lineRule="auto"/>
        <w:rPr>
          <w:sz w:val="20"/>
          <w:szCs w:val="20"/>
          <w:color w:val="auto"/>
        </w:rPr>
      </w:pPr>
      <w:r>
        <w:rPr>
          <w:rFonts w:ascii="Times New Roman" w:cs="Times New Roman" w:eastAsia="Times New Roman" w:hAnsi="Times New Roman"/>
          <w:sz w:val="16"/>
          <w:szCs w:val="16"/>
          <w:color w:val="auto"/>
        </w:rPr>
        <w:t xml:space="preserve">In light of the foregoing, and considering that the Peach State special meeting will be held several months after the prospective financial information was prepared, as well as the uncertainties inherent in any forecasted information, you are cautioned not to place unwarranted reliance on such information, and are urged to review United’s most recent SEC filings for a description of its reported financial results and the financial statements of United incorporated by reference in this proxy statement/prospectus. See the section entitled “Where You Can Find More Information” beginning on page </w:t>
      </w:r>
      <w:r>
        <w:rPr>
          <w:rFonts w:ascii="Times New Roman" w:cs="Times New Roman" w:eastAsia="Times New Roman" w:hAnsi="Times New Roman"/>
          <w:sz w:val="16"/>
          <w:szCs w:val="16"/>
          <w:u w:val="single" w:color="auto"/>
          <w:color w:val="0000EE"/>
        </w:rPr>
        <w:t>99</w:t>
      </w:r>
      <w:r>
        <w:rPr>
          <w:rFonts w:ascii="Times New Roman" w:cs="Times New Roman" w:eastAsia="Times New Roman" w:hAnsi="Times New Roman"/>
          <w:sz w:val="16"/>
          <w:szCs w:val="16"/>
          <w:color w:val="000000"/>
        </w:rPr>
        <w:t>. The prospective financial information summarized in this section is not included in this proxy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statement/prospectus in order to induce any Peach State shareholder to vote in favor of the merger proposal or the adjournment proposal to be voted on at the Peach State special meeting.</w:t>
      </w:r>
    </w:p>
    <w:p>
      <w:pPr>
        <w:spacing w:after="0" w:line="35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Board of Directors and Management of United Following the Merger</w:t>
      </w:r>
    </w:p>
    <w:p>
      <w:pPr>
        <w:spacing w:after="0" w:line="128" w:lineRule="exact"/>
        <w:rPr>
          <w:sz w:val="20"/>
          <w:szCs w:val="20"/>
          <w:color w:val="auto"/>
        </w:rPr>
      </w:pPr>
    </w:p>
    <w:p>
      <w:pPr>
        <w:ind w:left="1100" w:right="959" w:firstLine="318"/>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directors of United immediately prior to the effective time of the merger will be directors of the combined company and will hold office in accordance with United’s bylaws, until the earlier of their resignation or removal or otherwise ceasing to be a director. The officers of United immediately prior to the effective time of the merger will be officers of the combined company and will hold office in accordance with United’s bylaws, until the earlier of their resignation or removal or otherwise ceasing to be an officer. Information regarding the current executive officers and directors of United is contained in documents filed by United with the SEC and incorporated by reference into this proxy statement/prospectus, including United’s </w:t>
      </w:r>
      <w:hyperlink r:id="rId211">
        <w:r>
          <w:rPr>
            <w:rFonts w:ascii="Times New Roman" w:cs="Times New Roman" w:eastAsia="Times New Roman" w:hAnsi="Times New Roman"/>
            <w:sz w:val="16"/>
            <w:szCs w:val="16"/>
            <w:u w:val="single" w:color="auto"/>
            <w:color w:val="0000EE"/>
          </w:rPr>
          <w:t>Annual Report on Form 10-K for the year ended December 31, 2025 filed with the SEC on</w:t>
        </w:r>
      </w:hyperlink>
    </w:p>
    <w:p>
      <w:pPr>
        <w:spacing w:after="0" w:line="3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119"/>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February 17, 2026 and its </w:t>
      </w:r>
      <w:hyperlink r:id="rId213">
        <w:r>
          <w:rPr>
            <w:rFonts w:ascii="Times New Roman" w:cs="Times New Roman" w:eastAsia="Times New Roman" w:hAnsi="Times New Roman"/>
            <w:sz w:val="16"/>
            <w:szCs w:val="16"/>
            <w:u w:val="single" w:color="auto"/>
            <w:color w:val="0000EE"/>
          </w:rPr>
          <w:t>Definitive Proxy Statement on Schedule 14A</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its 2026 annual meeting, filed with the SEC on April 1, 2026. See “Where You Can Find More Information.”</w:t>
      </w:r>
    </w:p>
    <w:p>
      <w:pPr>
        <w:spacing w:after="0" w:line="1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Public Trading Markets</w:t>
      </w:r>
    </w:p>
    <w:p>
      <w:pPr>
        <w:spacing w:after="0" w:line="140" w:lineRule="exact"/>
        <w:rPr>
          <w:sz w:val="20"/>
          <w:szCs w:val="20"/>
          <w:color w:val="auto"/>
        </w:rPr>
      </w:pPr>
    </w:p>
    <w:p>
      <w:pPr>
        <w:ind w:left="1100" w:right="1219" w:firstLine="318"/>
        <w:spacing w:after="0" w:line="263" w:lineRule="auto"/>
        <w:rPr>
          <w:sz w:val="20"/>
          <w:szCs w:val="20"/>
          <w:color w:val="auto"/>
        </w:rPr>
      </w:pPr>
      <w:r>
        <w:rPr>
          <w:rFonts w:ascii="Times New Roman" w:cs="Times New Roman" w:eastAsia="Times New Roman" w:hAnsi="Times New Roman"/>
          <w:sz w:val="16"/>
          <w:szCs w:val="16"/>
          <w:color w:val="auto"/>
        </w:rPr>
        <w:t>United common stock is listed for trading on NYSE under the symbol “UCB,” and Peach State common stock is not quoted or listed on any exchange. Following the merger, shares of United common stock will continue to be traded on NYSE.</w:t>
      </w:r>
    </w:p>
    <w:p>
      <w:pPr>
        <w:spacing w:after="0" w:line="98" w:lineRule="exact"/>
        <w:rPr>
          <w:sz w:val="20"/>
          <w:szCs w:val="20"/>
          <w:color w:val="auto"/>
        </w:rPr>
      </w:pPr>
    </w:p>
    <w:p>
      <w:pPr>
        <w:ind w:left="1100" w:right="1099" w:firstLine="318"/>
        <w:spacing w:after="0" w:line="258" w:lineRule="auto"/>
        <w:rPr>
          <w:sz w:val="20"/>
          <w:szCs w:val="20"/>
          <w:color w:val="auto"/>
        </w:rPr>
      </w:pPr>
      <w:r>
        <w:rPr>
          <w:rFonts w:ascii="Times New Roman" w:cs="Times New Roman" w:eastAsia="Times New Roman" w:hAnsi="Times New Roman"/>
          <w:sz w:val="16"/>
          <w:szCs w:val="16"/>
          <w:color w:val="auto"/>
        </w:rPr>
        <w:t>Under the merger agreement, United will cause the shares of United common stock to be issued or reserved for issuance in the merger and to be approved for listing on NYSE, subject to notice of issuance, and the merger agreement provides that neither United nor Peach State will be required to complete the merger if such shares are not authorized for listing on NYSE.</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Regulatory Approvals Required for the Merger</w:t>
      </w:r>
    </w:p>
    <w:p>
      <w:pPr>
        <w:spacing w:after="0" w:line="128" w:lineRule="exact"/>
        <w:rPr>
          <w:sz w:val="20"/>
          <w:szCs w:val="20"/>
          <w:color w:val="auto"/>
        </w:rPr>
      </w:pPr>
    </w:p>
    <w:p>
      <w:pPr>
        <w:ind w:left="1100" w:right="919" w:firstLine="318"/>
        <w:spacing w:after="0" w:line="252" w:lineRule="auto"/>
        <w:rPr>
          <w:sz w:val="20"/>
          <w:szCs w:val="20"/>
          <w:color w:val="auto"/>
        </w:rPr>
      </w:pPr>
      <w:r>
        <w:rPr>
          <w:rFonts w:ascii="Times New Roman" w:cs="Times New Roman" w:eastAsia="Times New Roman" w:hAnsi="Times New Roman"/>
          <w:sz w:val="16"/>
          <w:szCs w:val="16"/>
          <w:color w:val="auto"/>
        </w:rPr>
        <w:t>Completion of the merger is subject to the receipt of all approvals, consents and waivers required to complete the transactions contemplated by the merger agreement from applicable governmental and regulatory authorities, and the expiration of any applicable statutory waiting periods, in each case, without the imposition of a condition or requirement that would reasonably be expected to have a material adverse effect on the surviving corporation and its subsidiaries, taken as a whole, after giving effect to the merger. Subject to the terms and conditions of the merger agreement, United and Peach State have agreed to use their reasonable best efforts and cooperate to promptly prepare and file, or cause to be prepared and filed, all necessary documentation, to obtain as soon as practicable all regulatory approvals necessary or advisable to complete the transactions contemplated by the merger agreement, and to comply with the terms and conditions of all such approvals.</w:t>
      </w:r>
    </w:p>
    <w:p>
      <w:pPr>
        <w:spacing w:after="0" w:line="1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Federal Reserve Board</w:t>
      </w:r>
    </w:p>
    <w:p>
      <w:pPr>
        <w:spacing w:after="0" w:line="140" w:lineRule="exact"/>
        <w:rPr>
          <w:sz w:val="20"/>
          <w:szCs w:val="20"/>
          <w:color w:val="auto"/>
        </w:rPr>
      </w:pPr>
    </w:p>
    <w:p>
      <w:pPr>
        <w:ind w:left="1100" w:right="919" w:firstLine="318"/>
        <w:spacing w:after="0" w:line="250" w:lineRule="auto"/>
        <w:rPr>
          <w:sz w:val="20"/>
          <w:szCs w:val="20"/>
          <w:color w:val="auto"/>
        </w:rPr>
      </w:pPr>
      <w:r>
        <w:rPr>
          <w:rFonts w:ascii="Times New Roman" w:cs="Times New Roman" w:eastAsia="Times New Roman" w:hAnsi="Times New Roman"/>
          <w:sz w:val="16"/>
          <w:szCs w:val="16"/>
          <w:color w:val="auto"/>
        </w:rPr>
        <w:t>The transactions contemplated by the merger agreement require approval by the Federal Reserve Board pursuant to Section 3 of the Bank Holding Company Act of 1956, as amended, which we refer to as the BHC Act, unless the Federal Reserve Board waives that requirement. United does not intend to request such a waiver. The Federal Reserve Board takes into consideration a number of factors when acting on applications under Section 3 of the BHC Act (12 U.S.C. § 1842(c)) and Section 225.13 of Regulation Y (12 C.F.R. § 225.13). These factors include the financial condition of the holding companies and banks involved and the future prospects of the combined organization (including consideration of the current and projected capital positions and the levels of indebtedness) and its managerial resources (including the competence, experience, and integrity of the officers, directors and principal shareholders, as well as their record of compliance with laws and regulations). The Federal Reserve Board also considers the effectiveness of the applicant in combating money laundering, the convenience and needs of the communities to be served as well as the extent to which the proposal would result in greater or more concentrated risks to the stability of the U.S. banking or financial system. The Federal Reserve Board may not approve a proposal that would have significant adverse effects on competition or on the concentration of resources in any banking market.</w:t>
      </w:r>
    </w:p>
    <w:p>
      <w:pPr>
        <w:spacing w:after="0" w:line="116" w:lineRule="exact"/>
        <w:rPr>
          <w:sz w:val="20"/>
          <w:szCs w:val="20"/>
          <w:color w:val="auto"/>
        </w:rPr>
      </w:pPr>
    </w:p>
    <w:p>
      <w:pPr>
        <w:ind w:left="1100" w:right="899" w:firstLine="318"/>
        <w:spacing w:after="0" w:line="253" w:lineRule="auto"/>
        <w:rPr>
          <w:sz w:val="20"/>
          <w:szCs w:val="20"/>
          <w:color w:val="auto"/>
        </w:rPr>
      </w:pPr>
      <w:r>
        <w:rPr>
          <w:rFonts w:ascii="Times New Roman" w:cs="Times New Roman" w:eastAsia="Times New Roman" w:hAnsi="Times New Roman"/>
          <w:sz w:val="16"/>
          <w:szCs w:val="16"/>
          <w:color w:val="auto"/>
        </w:rPr>
        <w:t>In considering an application under Section 3 of the BHC Act, the Federal Reserve Board also reviews the records of performance of the relevant insured depository institutions under the Community Reinvestment Act, which we refer to as the CRA, pursuant to which the Federal Reserve Board must also take into account the record of performance of each of United and Peach State in meeting the credit needs of the entire community, including low- and moderate-income neighborhoods, served by their depository institution subsidiaries. In their most recent CRA performance evaluation, United’s wholly-owned subsidiary, United Community Bank, and Peach State’s wholly-owned subsidiary, Peach State Bank &amp; Trust, each received an overall regulatory rating of “Satisfactory.”</w:t>
      </w:r>
    </w:p>
    <w:p>
      <w:pPr>
        <w:spacing w:after="0" w:line="92" w:lineRule="exact"/>
        <w:rPr>
          <w:sz w:val="20"/>
          <w:szCs w:val="20"/>
          <w:color w:val="auto"/>
        </w:rPr>
      </w:pPr>
    </w:p>
    <w:p>
      <w:pPr>
        <w:jc w:val="both"/>
        <w:ind w:left="1100" w:right="1099" w:firstLine="318"/>
        <w:spacing w:after="0" w:line="263" w:lineRule="auto"/>
        <w:rPr>
          <w:sz w:val="20"/>
          <w:szCs w:val="20"/>
          <w:color w:val="auto"/>
        </w:rPr>
      </w:pPr>
      <w:r>
        <w:rPr>
          <w:rFonts w:ascii="Times New Roman" w:cs="Times New Roman" w:eastAsia="Times New Roman" w:hAnsi="Times New Roman"/>
          <w:sz w:val="16"/>
          <w:szCs w:val="16"/>
          <w:color w:val="auto"/>
        </w:rPr>
        <w:t>In addition, in connection with an interstate merger transaction, the Federal Reserve Board considers certain additional factors under Section 3(d) of the BHC Act (12 U.S.C. § 1842(d)),, including the capital position of the acquiring bank holding company, state laws regarding the minimum age of the bank to be</w:t>
      </w:r>
    </w:p>
    <w:p>
      <w:pPr>
        <w:spacing w:after="0" w:line="3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379"/>
        <w:spacing w:after="0" w:line="279" w:lineRule="auto"/>
        <w:rPr>
          <w:sz w:val="20"/>
          <w:szCs w:val="20"/>
          <w:color w:val="auto"/>
        </w:rPr>
      </w:pPr>
      <w:r>
        <w:rPr>
          <w:rFonts w:ascii="Times New Roman" w:cs="Times New Roman" w:eastAsia="Times New Roman" w:hAnsi="Times New Roman"/>
          <w:sz w:val="16"/>
          <w:szCs w:val="16"/>
          <w:color w:val="auto"/>
        </w:rPr>
        <w:t>acquired, the concentration of deposits on a nationwide and statewide basis, and compliance with any applicable state community reinvestment and antitrust laws.</w:t>
      </w:r>
    </w:p>
    <w:p>
      <w:pPr>
        <w:spacing w:after="0" w:line="73" w:lineRule="exact"/>
        <w:rPr>
          <w:sz w:val="20"/>
          <w:szCs w:val="20"/>
          <w:color w:val="auto"/>
        </w:rPr>
      </w:pPr>
    </w:p>
    <w:p>
      <w:pPr>
        <w:ind w:left="1100" w:right="919" w:firstLine="318"/>
        <w:spacing w:after="0" w:line="241" w:lineRule="auto"/>
        <w:rPr>
          <w:sz w:val="20"/>
          <w:szCs w:val="20"/>
          <w:color w:val="auto"/>
        </w:rPr>
      </w:pPr>
      <w:r>
        <w:rPr>
          <w:rFonts w:ascii="Times New Roman" w:cs="Times New Roman" w:eastAsia="Times New Roman" w:hAnsi="Times New Roman"/>
          <w:sz w:val="16"/>
          <w:szCs w:val="16"/>
          <w:color w:val="auto"/>
        </w:rPr>
        <w:t>The prior approval of the Federal Reserve Board will also be required under the Bank Merger Act to merge Peach State Bank &amp; Trust with and into United Community Bank. In evaluating an application filed under the Bank Merger Act, the Federal Reserve Board generally considers: (1) the competitive impact of the transaction, (2) financial and managerial resources of the banks party to the bank merger, (3) the convenience and needs of the community to be served and the record of the banks under the CRA, including their CRA ratings, (4) the banks’ effectiveness in combating money-laundering activities and (5) the extent to which the bank merger would result in greater or more concentrated risks to the stability of the U.S. banking or financial system.</w:t>
      </w:r>
    </w:p>
    <w:p>
      <w:pPr>
        <w:spacing w:after="0" w:line="291" w:lineRule="exact"/>
        <w:rPr>
          <w:sz w:val="20"/>
          <w:szCs w:val="20"/>
          <w:color w:val="auto"/>
        </w:rPr>
      </w:pPr>
    </w:p>
    <w:p>
      <w:pPr>
        <w:ind w:left="1100" w:right="899" w:firstLine="318"/>
        <w:spacing w:after="0"/>
        <w:rPr>
          <w:sz w:val="20"/>
          <w:szCs w:val="20"/>
          <w:color w:val="auto"/>
        </w:rPr>
      </w:pPr>
      <w:r>
        <w:rPr>
          <w:rFonts w:ascii="Times New Roman" w:cs="Times New Roman" w:eastAsia="Times New Roman" w:hAnsi="Times New Roman"/>
          <w:sz w:val="16"/>
          <w:szCs w:val="16"/>
          <w:color w:val="auto"/>
        </w:rPr>
        <w:t>Additionally, the Federal Reserve Board considers the capital levels of the resulting bank, the conformity of the transaction to applicable law, the purpose of the merger, the impact of the merger on the safety and soundness of the bank and the effect on the bank’s stockholders, depositors, other creditors and customers. In addition, in connection with an interstate bank merger transaction, such as the bank merger, the Federal Reserve Board considers certain additional factors under the Riegle-Neal Interstate Banking and Branching Efficiency Act of 1994, which we refer to as the Riegle- Neal Act, including the capital position of the acquiring bank, state laws regarding the minimum age of the bank to be acquired, the concentration of deposits on a nationwide and statewide basis and compliance with any applicable state community reinvestment and antitrust laws. Under the Riegle-Neal Act, the Federal Reserve Board may approve an interstate merger transaction only if each constituent bank is adequately capitalized at the time the application for such transaction is filed with the Federal Reserve Board and the Federal Reserve Board determines that the resulting bank will be well capitalized and well managed upon the consummation of the transaction.</w:t>
      </w:r>
    </w:p>
    <w:p>
      <w:pPr>
        <w:spacing w:after="0" w:line="294" w:lineRule="exact"/>
        <w:rPr>
          <w:sz w:val="20"/>
          <w:szCs w:val="20"/>
          <w:color w:val="auto"/>
        </w:rPr>
      </w:pPr>
    </w:p>
    <w:p>
      <w:pPr>
        <w:ind w:left="1100" w:right="1319" w:firstLine="318"/>
        <w:spacing w:after="0" w:line="263" w:lineRule="auto"/>
        <w:rPr>
          <w:sz w:val="20"/>
          <w:szCs w:val="20"/>
          <w:color w:val="auto"/>
        </w:rPr>
      </w:pPr>
      <w:r>
        <w:rPr>
          <w:rFonts w:ascii="Times New Roman" w:cs="Times New Roman" w:eastAsia="Times New Roman" w:hAnsi="Times New Roman"/>
          <w:sz w:val="16"/>
          <w:szCs w:val="16"/>
          <w:color w:val="auto"/>
        </w:rPr>
        <w:t>The initial filing of the application to the Federal Reserve Board, which covered the requirements under Section 3 of the BHC Act and under the Bank Merger Act, occurred on May 20, 2026.</w:t>
      </w:r>
    </w:p>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South Carolina Board of Financial Institutions</w:t>
      </w:r>
    </w:p>
    <w:p>
      <w:pPr>
        <w:spacing w:after="0" w:line="140" w:lineRule="exact"/>
        <w:rPr>
          <w:sz w:val="20"/>
          <w:szCs w:val="20"/>
          <w:color w:val="auto"/>
        </w:rPr>
      </w:pPr>
    </w:p>
    <w:p>
      <w:pPr>
        <w:ind w:left="1100" w:right="1139" w:firstLine="318"/>
        <w:spacing w:after="0" w:line="248" w:lineRule="auto"/>
        <w:rPr>
          <w:sz w:val="20"/>
          <w:szCs w:val="20"/>
          <w:color w:val="auto"/>
        </w:rPr>
      </w:pPr>
      <w:r>
        <w:rPr>
          <w:rFonts w:ascii="Times New Roman" w:cs="Times New Roman" w:eastAsia="Times New Roman" w:hAnsi="Times New Roman"/>
          <w:sz w:val="16"/>
          <w:szCs w:val="16"/>
          <w:color w:val="auto"/>
        </w:rPr>
        <w:t>To complete the bank merger, United Community Bank is required to submit an application to, and receive approval from, the SCBFI. The SCBFI will review the application to determine whether the bank merger complies with South Carolina law. The criteria considered by the SCBFI are similar to those considered by the Federal Reserve Board under the Bank Merger Act.</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The initial filing of the application to the SCBFI occurred on May 20, 2026.</w:t>
      </w:r>
    </w:p>
    <w:p>
      <w:pPr>
        <w:spacing w:after="0" w:line="1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Public Notice and Comments</w:t>
      </w:r>
    </w:p>
    <w:p>
      <w:pPr>
        <w:spacing w:after="0" w:line="140" w:lineRule="exact"/>
        <w:rPr>
          <w:sz w:val="20"/>
          <w:szCs w:val="20"/>
          <w:color w:val="auto"/>
        </w:rPr>
      </w:pPr>
    </w:p>
    <w:p>
      <w:pPr>
        <w:ind w:left="1100" w:right="899" w:firstLine="318"/>
        <w:spacing w:after="0" w:line="243" w:lineRule="auto"/>
        <w:rPr>
          <w:sz w:val="20"/>
          <w:szCs w:val="20"/>
          <w:color w:val="auto"/>
        </w:rPr>
      </w:pPr>
      <w:r>
        <w:rPr>
          <w:rFonts w:ascii="Times New Roman" w:cs="Times New Roman" w:eastAsia="Times New Roman" w:hAnsi="Times New Roman"/>
          <w:sz w:val="16"/>
          <w:szCs w:val="16"/>
          <w:color w:val="auto"/>
        </w:rPr>
        <w:t>The BHC Act, the Bank Merger Act and applicable regulations require published notice of, and the opportunity for public comment on, these applications, and authorize the Federal Reserve Board to hold a public hearing or meeting if the agency determines that a hearing or meeting would be appropriate. The Federal Reserve Board takes into account the views of third-party commenters, particularly on the subject of the merging parties’ CRA performance and record of service to their respective communities, and any hearing, meeting or comments provided by third parties could prolong the period during which the applications are under review by these agencies.</w:t>
      </w:r>
    </w:p>
    <w:p>
      <w:pPr>
        <w:spacing w:after="0" w:line="102" w:lineRule="exact"/>
        <w:rPr>
          <w:sz w:val="20"/>
          <w:szCs w:val="20"/>
          <w:color w:val="auto"/>
        </w:rPr>
      </w:pPr>
    </w:p>
    <w:p>
      <w:pPr>
        <w:ind w:left="1100" w:right="979" w:firstLine="318"/>
        <w:spacing w:after="0" w:line="263" w:lineRule="auto"/>
        <w:rPr>
          <w:sz w:val="20"/>
          <w:szCs w:val="20"/>
          <w:color w:val="auto"/>
        </w:rPr>
      </w:pPr>
      <w:r>
        <w:rPr>
          <w:rFonts w:ascii="Times New Roman" w:cs="Times New Roman" w:eastAsia="Times New Roman" w:hAnsi="Times New Roman"/>
          <w:sz w:val="16"/>
          <w:szCs w:val="16"/>
          <w:color w:val="auto"/>
        </w:rPr>
        <w:t>The Georgia Department of Banking and Finance requires published notice of the merger and the bank merger.</w:t>
      </w:r>
    </w:p>
    <w:p>
      <w:pPr>
        <w:spacing w:after="0" w:line="1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Waiting Periods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Transactions approved under Section 3 of the BHC Act or under the Bank Merger Act that are not</w:t>
      </w:r>
    </w:p>
    <w:p>
      <w:pPr>
        <w:spacing w:after="0" w:line="13" w:lineRule="exact"/>
        <w:rPr>
          <w:sz w:val="20"/>
          <w:szCs w:val="20"/>
          <w:color w:val="auto"/>
        </w:rPr>
      </w:pPr>
    </w:p>
    <w:p>
      <w:pPr>
        <w:jc w:val="both"/>
        <w:ind w:left="1100" w:right="959"/>
        <w:spacing w:after="0" w:line="244" w:lineRule="auto"/>
        <w:rPr>
          <w:sz w:val="20"/>
          <w:szCs w:val="20"/>
          <w:color w:val="auto"/>
        </w:rPr>
      </w:pPr>
      <w:r>
        <w:rPr>
          <w:rFonts w:ascii="Times New Roman" w:cs="Times New Roman" w:eastAsia="Times New Roman" w:hAnsi="Times New Roman"/>
          <w:sz w:val="16"/>
          <w:szCs w:val="16"/>
          <w:color w:val="auto"/>
        </w:rPr>
        <w:t>corporate reorganizations generally may not be completed until 30 days after the approval of the applicable federal agency is received, during which time the Department of Justice, which we refer to as the DOJ, may challenge the transaction on antitrust grounds.</w:t>
      </w:r>
    </w:p>
    <w:p>
      <w:pPr>
        <w:spacing w:after="0" w:line="100" w:lineRule="exact"/>
        <w:rPr>
          <w:sz w:val="20"/>
          <w:szCs w:val="20"/>
          <w:color w:val="auto"/>
        </w:rPr>
      </w:pPr>
    </w:p>
    <w:p>
      <w:pPr>
        <w:ind w:left="1100" w:right="999" w:firstLine="318"/>
        <w:spacing w:after="0" w:line="261" w:lineRule="auto"/>
        <w:rPr>
          <w:sz w:val="20"/>
          <w:szCs w:val="20"/>
          <w:color w:val="auto"/>
        </w:rPr>
      </w:pPr>
      <w:r>
        <w:rPr>
          <w:rFonts w:ascii="Times New Roman" w:cs="Times New Roman" w:eastAsia="Times New Roman" w:hAnsi="Times New Roman"/>
          <w:sz w:val="16"/>
          <w:szCs w:val="16"/>
          <w:color w:val="auto"/>
        </w:rPr>
        <w:t>With the approval of the applicable federal agency and the concurrence of the DOJ, the waiting period may be reduced to no less than 15 days. The commencement of an antitrust action would stay the effectiveness</w:t>
      </w:r>
    </w:p>
    <w:p>
      <w:pPr>
        <w:spacing w:after="0" w:line="200" w:lineRule="exact"/>
        <w:rPr>
          <w:sz w:val="20"/>
          <w:szCs w:val="20"/>
          <w:color w:val="auto"/>
        </w:rPr>
      </w:pPr>
    </w:p>
    <w:p>
      <w:pPr>
        <w:spacing w:after="0" w:line="29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59"/>
        <w:spacing w:after="0" w:line="254" w:lineRule="auto"/>
        <w:rPr>
          <w:sz w:val="20"/>
          <w:szCs w:val="20"/>
          <w:color w:val="auto"/>
        </w:rPr>
      </w:pPr>
      <w:r>
        <w:rPr>
          <w:rFonts w:ascii="Times New Roman" w:cs="Times New Roman" w:eastAsia="Times New Roman" w:hAnsi="Times New Roman"/>
          <w:sz w:val="16"/>
          <w:szCs w:val="16"/>
          <w:color w:val="auto"/>
        </w:rPr>
        <w:t>of such an approval unless a court specifically ordered otherwise. In reviewing the merger, the DOJ could analyze the merger’s effect on competition differently than the Federal Reserve Board, and thus it is possible that the DOJ could reach a different conclusion than the Federal Reserve Board regarding the merger’s effect on competition. A determination by the DOJ not to object to the merger may not prevent the filing of antitrust actions by private persons or state attorneys general. There can be no assurance if and when DOJ clearance will be obtained, or as to the conditions or limitations that such DOJ approval may contain or impose.</w:t>
      </w:r>
    </w:p>
    <w:p>
      <w:pPr>
        <w:spacing w:after="0" w:line="35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Additional Regulatory Approvals and Notices</w:t>
      </w:r>
    </w:p>
    <w:p>
      <w:pPr>
        <w:spacing w:after="0" w:line="140" w:lineRule="exact"/>
        <w:rPr>
          <w:sz w:val="20"/>
          <w:szCs w:val="20"/>
          <w:color w:val="auto"/>
        </w:rPr>
      </w:pPr>
    </w:p>
    <w:p>
      <w:pPr>
        <w:ind w:left="1100" w:right="1299" w:firstLine="318"/>
        <w:spacing w:after="0" w:line="279" w:lineRule="auto"/>
        <w:rPr>
          <w:sz w:val="20"/>
          <w:szCs w:val="20"/>
          <w:color w:val="auto"/>
        </w:rPr>
      </w:pPr>
      <w:r>
        <w:rPr>
          <w:rFonts w:ascii="Times New Roman" w:cs="Times New Roman" w:eastAsia="Times New Roman" w:hAnsi="Times New Roman"/>
          <w:sz w:val="16"/>
          <w:szCs w:val="16"/>
          <w:color w:val="auto"/>
        </w:rPr>
        <w:t>To complete the merger and the bank merger, United and United Community Bank are required to submit notices to the Georgia Department of Banking and Finance.</w:t>
      </w:r>
    </w:p>
    <w:p>
      <w:pPr>
        <w:spacing w:after="0" w:line="84" w:lineRule="exact"/>
        <w:rPr>
          <w:sz w:val="20"/>
          <w:szCs w:val="20"/>
          <w:color w:val="auto"/>
        </w:rPr>
      </w:pPr>
    </w:p>
    <w:p>
      <w:pPr>
        <w:ind w:left="1100" w:right="899" w:firstLine="318"/>
        <w:spacing w:after="0" w:line="251" w:lineRule="auto"/>
        <w:rPr>
          <w:sz w:val="20"/>
          <w:szCs w:val="20"/>
          <w:color w:val="auto"/>
        </w:rPr>
      </w:pPr>
      <w:r>
        <w:rPr>
          <w:rFonts w:ascii="Times New Roman" w:cs="Times New Roman" w:eastAsia="Times New Roman" w:hAnsi="Times New Roman"/>
          <w:sz w:val="16"/>
          <w:szCs w:val="16"/>
          <w:color w:val="auto"/>
        </w:rPr>
        <w:t>Based on information available to United and Peach State as of the date hereof, United and Peach State believe that the merger does not raise substantial antitrust or other significant regulatory concerns and that United and Peach State will be able to obtain all requisite regulatory approvals. However, neither United nor Peach State can assure you that all of the regulatory approvals described above will be obtained and, if obtained, we cannot assure you as to the timing of any such approvals, United’s ability to obtain the approvals on satisfactory terms, or the absence of any litigation challenging such approvals. In addition, there can be no assurance that such approvals will not impose conditions or requirements that would reasonably be expected to have a material adverse effect on the financial condition, results of operations, assets, or business of the surviving corporation and its subsidiaries, taken as a whole, after giving effect to the merger. There can likewise be no assurances that U.S. federal or state regulatory authorities will not attempt to challenge the merger on antitrust grounds or for other reasons, or if such a challenge is made, as to the result of such challenge.</w:t>
      </w:r>
    </w:p>
    <w:p>
      <w:pPr>
        <w:spacing w:after="0" w:line="290" w:lineRule="exact"/>
        <w:rPr>
          <w:sz w:val="20"/>
          <w:szCs w:val="20"/>
          <w:color w:val="auto"/>
        </w:rPr>
      </w:pPr>
    </w:p>
    <w:p>
      <w:pPr>
        <w:ind w:left="1100" w:right="1019" w:firstLine="318"/>
        <w:spacing w:after="0" w:line="253" w:lineRule="auto"/>
        <w:rPr>
          <w:sz w:val="20"/>
          <w:szCs w:val="20"/>
          <w:color w:val="auto"/>
        </w:rPr>
      </w:pPr>
      <w:r>
        <w:rPr>
          <w:rFonts w:ascii="Times New Roman" w:cs="Times New Roman" w:eastAsia="Times New Roman" w:hAnsi="Times New Roman"/>
          <w:sz w:val="16"/>
          <w:szCs w:val="16"/>
          <w:color w:val="auto"/>
        </w:rPr>
        <w:t>Neither United nor Peach State is aware of any material governmental approvals or actions that are required for completion of the merger other than those described above. It is presently contemplated that if any such additional governmental approvals or actions are required, those approvals or actions will be sought. There can be no assurance, however, that any additional approvals or actions will be obtained. Further, if there is an adverse development in either party’s regulatory standing, United may be required to withdraw some or all of the applications for approval of the proposed merger and, if possible, resubmit it after the applicable supervisory concerns have been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THE MERGER AGREEMENT</w:t>
      </w:r>
    </w:p>
    <w:p>
      <w:pPr>
        <w:spacing w:after="0" w:line="126" w:lineRule="exact"/>
        <w:rPr>
          <w:sz w:val="20"/>
          <w:szCs w:val="20"/>
          <w:color w:val="auto"/>
        </w:rPr>
      </w:pPr>
    </w:p>
    <w:p>
      <w:pPr>
        <w:jc w:val="both"/>
        <w:ind w:left="1100" w:right="1259" w:firstLine="318"/>
        <w:spacing w:after="0" w:line="238" w:lineRule="auto"/>
        <w:rPr>
          <w:sz w:val="20"/>
          <w:szCs w:val="20"/>
          <w:color w:val="auto"/>
        </w:rPr>
      </w:pPr>
      <w:r>
        <w:rPr>
          <w:rFonts w:ascii="Times New Roman" w:cs="Times New Roman" w:eastAsia="Times New Roman" w:hAnsi="Times New Roman"/>
          <w:sz w:val="16"/>
          <w:szCs w:val="16"/>
          <w:i w:val="1"/>
          <w:iCs w:val="1"/>
          <w:color w:val="auto"/>
        </w:rPr>
        <w:t>The following describes certain aspects of the merger, including certain material provisions of the merger agreement. The following description of the merger agreement is subject to, and qualified in its entirety by reference to, the merger agreement, which is attached to this proxy statement/prospectus as Annex A and is incorporated by reference into this proxy statement/prospectus. We urge you to read the merger agreement carefully and in its entirety, as it is the legal document governing the merger.</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Explanatory Note Regarding the Merger Agreement</w:t>
      </w:r>
    </w:p>
    <w:p>
      <w:pPr>
        <w:spacing w:after="0" w:line="128" w:lineRule="exact"/>
        <w:rPr>
          <w:sz w:val="20"/>
          <w:szCs w:val="20"/>
          <w:color w:val="auto"/>
        </w:rPr>
      </w:pPr>
    </w:p>
    <w:p>
      <w:pPr>
        <w:ind w:left="1100" w:right="899" w:firstLine="318"/>
        <w:spacing w:after="0"/>
        <w:rPr>
          <w:sz w:val="20"/>
          <w:szCs w:val="20"/>
          <w:color w:val="auto"/>
        </w:rPr>
      </w:pPr>
      <w:r>
        <w:rPr>
          <w:rFonts w:ascii="Times New Roman" w:cs="Times New Roman" w:eastAsia="Times New Roman" w:hAnsi="Times New Roman"/>
          <w:sz w:val="16"/>
          <w:szCs w:val="16"/>
          <w:color w:val="auto"/>
        </w:rPr>
        <w:t xml:space="preserve">The merger agreement is included to provide you with information regarding its terms. Neither the merger agreement nor the summary of its material terms included in this section is intended to provide any factual information about United or Peach State. Factual disclosures about United and Peach State contained in this proxy statement/prospectus and/or in the public reports of United filed with the SEC (as described in the section entitled “Where You Can Find More Information” beginning on page </w:t>
      </w:r>
      <w:r>
        <w:rPr>
          <w:rFonts w:ascii="Times New Roman" w:cs="Times New Roman" w:eastAsia="Times New Roman" w:hAnsi="Times New Roman"/>
          <w:sz w:val="16"/>
          <w:szCs w:val="16"/>
          <w:u w:val="single" w:color="auto"/>
          <w:color w:val="0000EE"/>
        </w:rPr>
        <w:t>99</w:t>
      </w:r>
      <w:r>
        <w:rPr>
          <w:rFonts w:ascii="Times New Roman" w:cs="Times New Roman" w:eastAsia="Times New Roman" w:hAnsi="Times New Roman"/>
          <w:sz w:val="16"/>
          <w:szCs w:val="16"/>
          <w:color w:val="auto"/>
        </w:rPr>
        <w:t>) may supplement, update or modify the disclosures about United contained in the merger agreement. The merger agreement contains representations and warranties and covenants of the parties customary for transactions of this nature. The representations and warranties contained in the merger agreement were made only for purposes of the merger agreement as of the specific dates therein;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and warranties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United’s public disclosures. Accordingly, the representations and warranties in the merger agreement should not be relied on by any person as characterizations of the actual state of facts about United or Peach State at the time they were made or otherwise.</w:t>
      </w:r>
    </w:p>
    <w:p>
      <w:pPr>
        <w:spacing w:after="0" w:line="19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Structure of the Merger</w:t>
      </w:r>
    </w:p>
    <w:p>
      <w:pPr>
        <w:spacing w:after="0" w:line="116" w:lineRule="exact"/>
        <w:rPr>
          <w:sz w:val="20"/>
          <w:szCs w:val="20"/>
          <w:color w:val="auto"/>
        </w:rPr>
      </w:pPr>
    </w:p>
    <w:p>
      <w:pPr>
        <w:ind w:left="1100" w:right="959" w:firstLine="318"/>
        <w:spacing w:after="0" w:line="234" w:lineRule="auto"/>
        <w:rPr>
          <w:sz w:val="20"/>
          <w:szCs w:val="20"/>
          <w:color w:val="auto"/>
        </w:rPr>
      </w:pPr>
      <w:r>
        <w:rPr>
          <w:rFonts w:ascii="Times New Roman" w:cs="Times New Roman" w:eastAsia="Times New Roman" w:hAnsi="Times New Roman"/>
          <w:sz w:val="16"/>
          <w:szCs w:val="16"/>
          <w:color w:val="auto"/>
        </w:rPr>
        <w:t>Each of the United board of directors and the Peach State board of directors has unanimously approved the merger agreement. Under the merger agreement, Peach State will be merged with and into United, with United continuing as the surviving corporation, in a transaction we refer to as the merger. Immediately following the completion of the merger, Peach State Bank &amp; Trust, a state-chartered bank organized under the laws of the State of Georgia and wholly -owned subsidiary of Peach State, will merge with and into United Community Bank, a South Carolina state -chartered bank and wholly-owned subsidiary of United, with United Community Bank continuing as the surviving entity.</w:t>
      </w:r>
    </w:p>
    <w:p>
      <w:pPr>
        <w:spacing w:after="0" w:line="1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Merger Consideration</w:t>
      </w:r>
    </w:p>
    <w:p>
      <w:pPr>
        <w:spacing w:after="0" w:line="128" w:lineRule="exact"/>
        <w:rPr>
          <w:sz w:val="20"/>
          <w:szCs w:val="20"/>
          <w:color w:val="auto"/>
        </w:rPr>
      </w:pPr>
    </w:p>
    <w:p>
      <w:pPr>
        <w:ind w:left="1100" w:right="1199" w:firstLine="318"/>
        <w:spacing w:after="0" w:line="234" w:lineRule="auto"/>
        <w:rPr>
          <w:sz w:val="20"/>
          <w:szCs w:val="20"/>
          <w:color w:val="auto"/>
        </w:rPr>
      </w:pPr>
      <w:r>
        <w:rPr>
          <w:rFonts w:ascii="Times New Roman" w:cs="Times New Roman" w:eastAsia="Times New Roman" w:hAnsi="Times New Roman"/>
          <w:sz w:val="16"/>
          <w:szCs w:val="16"/>
          <w:color w:val="auto"/>
        </w:rPr>
        <w:t>At the effective time, subject to the payment of cash in lieu of fractional shares of United common stock as described below under “— No Fractional Shares” and proration as described below under “— Proration and Allocation of Merger Consideration,” each share of Peach State common stock issued and outstanding immediately prior to the effective time, other than cancelled shares and dissenting shares as described below under “— Cancellation of Certain Peach State Common Stock” and “— Shares of Dissenting Stockholders,” respectively, will be converted into the right to receive, less any applicable withholding tax and without interest:</w:t>
      </w:r>
    </w:p>
    <w:p>
      <w:pPr>
        <w:spacing w:after="0" w:line="55" w:lineRule="exact"/>
        <w:rPr>
          <w:sz w:val="20"/>
          <w:szCs w:val="20"/>
          <w:color w:val="auto"/>
        </w:rPr>
      </w:pPr>
    </w:p>
    <w:p>
      <w:pPr>
        <w:ind w:left="1580" w:right="1319" w:hanging="160"/>
        <w:spacing w:after="0" w:line="263" w:lineRule="auto"/>
        <w:tabs>
          <w:tab w:leader="none" w:pos="15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share of Peach State common stock with respect to which an election to receive cash (referred to as a cash election) has been effectively made and not revoked (referred to as a cash election share), $31.75 in cash (referred to as the cash consideration);</w:t>
      </w:r>
    </w:p>
    <w:p>
      <w:pPr>
        <w:spacing w:after="0" w:line="62" w:lineRule="exact"/>
        <w:rPr>
          <w:rFonts w:ascii="Times New Roman" w:cs="Times New Roman" w:eastAsia="Times New Roman" w:hAnsi="Times New Roman"/>
          <w:sz w:val="16"/>
          <w:szCs w:val="16"/>
          <w:color w:val="auto"/>
        </w:rPr>
      </w:pPr>
    </w:p>
    <w:p>
      <w:pPr>
        <w:ind w:left="1580" w:right="1059" w:hanging="160"/>
        <w:spacing w:after="0" w:line="258" w:lineRule="auto"/>
        <w:tabs>
          <w:tab w:leader="none" w:pos="15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share of Peach State common stock with respect to which an election to receive United common stock (referred to as a stock election) has been effectively made and not revoked (referred to as a stock election share), 0.8978 of a share of United common stock (referred to as the stock consideration); and</w:t>
      </w:r>
    </w:p>
    <w:p>
      <w:pPr>
        <w:spacing w:after="0" w:line="3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80" w:right="939" w:hanging="160"/>
        <w:spacing w:after="0" w:line="258" w:lineRule="auto"/>
        <w:tabs>
          <w:tab w:leader="none" w:pos="15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share of Peach State common stock that is not a cash election share or a stock election share (referred to as a non-election share), the right to receive cash consideration or stock consideration as determined in accordance with the proration methodology described below under “— Proration and Allocation of Merger Consideration.”</w:t>
      </w:r>
    </w:p>
    <w:p>
      <w:pPr>
        <w:spacing w:after="0" w:line="102" w:lineRule="exact"/>
        <w:rPr>
          <w:sz w:val="20"/>
          <w:szCs w:val="20"/>
          <w:color w:val="auto"/>
        </w:rPr>
      </w:pPr>
    </w:p>
    <w:p>
      <w:pPr>
        <w:jc w:val="both"/>
        <w:ind w:left="1100" w:right="959" w:firstLine="318"/>
        <w:spacing w:after="0" w:line="248" w:lineRule="auto"/>
        <w:rPr>
          <w:sz w:val="20"/>
          <w:szCs w:val="20"/>
          <w:color w:val="auto"/>
        </w:rPr>
      </w:pPr>
      <w:r>
        <w:rPr>
          <w:rFonts w:ascii="Times New Roman" w:cs="Times New Roman" w:eastAsia="Times New Roman" w:hAnsi="Times New Roman"/>
          <w:sz w:val="16"/>
          <w:szCs w:val="16"/>
          <w:color w:val="auto"/>
        </w:rPr>
        <w:t>The stock consideration will be equitably and proportionally adjusted to reflect the effect of any stock dividend, subdivision, reclassification, stock split, reverse stock split, combination or exchange of shares or any similar event with respect to the outstanding shares of United common stock or of Peach State common stock that occurs prior to the effective time.</w:t>
      </w:r>
    </w:p>
    <w:p>
      <w:pPr>
        <w:spacing w:after="0" w:line="15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No Fractional Shares</w:t>
      </w:r>
    </w:p>
    <w:p>
      <w:pPr>
        <w:spacing w:after="0" w:line="140" w:lineRule="exact"/>
        <w:rPr>
          <w:sz w:val="20"/>
          <w:szCs w:val="20"/>
          <w:color w:val="auto"/>
        </w:rPr>
      </w:pPr>
    </w:p>
    <w:p>
      <w:pPr>
        <w:ind w:left="1100" w:right="919" w:firstLine="318"/>
        <w:spacing w:after="0" w:line="241" w:lineRule="auto"/>
        <w:rPr>
          <w:sz w:val="20"/>
          <w:szCs w:val="20"/>
          <w:color w:val="auto"/>
        </w:rPr>
      </w:pPr>
      <w:r>
        <w:rPr>
          <w:rFonts w:ascii="Times New Roman" w:cs="Times New Roman" w:eastAsia="Times New Roman" w:hAnsi="Times New Roman"/>
          <w:sz w:val="16"/>
          <w:szCs w:val="16"/>
          <w:color w:val="auto"/>
        </w:rPr>
        <w:t>Cash will be paid in lieu of fractional shares of United common stock as described in the next sentence. Each holder of Peach State common stock that would otherwise have been entitled to receive a fractional share of United common stock in the merger will instead receive a cash payment equal to the product obtained by multiplying (i) the fraction of a share of United common stock to which such holder would otherwise be entitled (accounting for all shares of Peach State common stock held by such holder at the effective time), rounded to the nearest one-thousandth of one share, by (ii) the average closing sale price of United common stock on the twenty (20) consecutive full trading days immediately preceding the closing date as reported on the New York Stock Exchange (“NYSE”).</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Proration and Allocation of Merger Consideration</w:t>
      </w:r>
    </w:p>
    <w:p>
      <w:pPr>
        <w:spacing w:after="0" w:line="128" w:lineRule="exact"/>
        <w:rPr>
          <w:sz w:val="20"/>
          <w:szCs w:val="20"/>
          <w:color w:val="auto"/>
        </w:rPr>
      </w:pPr>
    </w:p>
    <w:p>
      <w:pPr>
        <w:ind w:left="1100" w:right="1059" w:firstLine="318"/>
        <w:spacing w:after="0" w:line="245" w:lineRule="auto"/>
        <w:rPr>
          <w:sz w:val="20"/>
          <w:szCs w:val="20"/>
          <w:color w:val="auto"/>
        </w:rPr>
      </w:pPr>
      <w:r>
        <w:rPr>
          <w:rFonts w:ascii="Times New Roman" w:cs="Times New Roman" w:eastAsia="Times New Roman" w:hAnsi="Times New Roman"/>
          <w:sz w:val="16"/>
          <w:szCs w:val="16"/>
          <w:color w:val="auto"/>
        </w:rPr>
        <w:t>The total number of shares of Peach State common stock to be entitled to receive the cash consideration, referred to in this proxy statement/prospectus as the maximum cash share number, will be equal to 50% of the aggregate number of shares of Peach State common stock issued and outstanding immediately prior to the effective time (other than any cancelled shares). Accordingly, depending on the elections made by other holders of Peach State common stock, a holder of Peach State common stock may receive a portion of the merger consideration in the form such holder did not elect.</w:t>
      </w:r>
    </w:p>
    <w:p>
      <w:pPr>
        <w:spacing w:after="0" w:line="100" w:lineRule="exact"/>
        <w:rPr>
          <w:sz w:val="20"/>
          <w:szCs w:val="20"/>
          <w:color w:val="auto"/>
        </w:rPr>
      </w:pPr>
    </w:p>
    <w:p>
      <w:pPr>
        <w:ind w:left="1100" w:right="979" w:firstLine="318"/>
        <w:spacing w:after="0" w:line="242" w:lineRule="auto"/>
        <w:rPr>
          <w:sz w:val="20"/>
          <w:szCs w:val="20"/>
          <w:color w:val="auto"/>
        </w:rPr>
      </w:pPr>
      <w:r>
        <w:rPr>
          <w:rFonts w:ascii="Times New Roman" w:cs="Times New Roman" w:eastAsia="Times New Roman" w:hAnsi="Times New Roman"/>
          <w:sz w:val="16"/>
          <w:szCs w:val="16"/>
          <w:color w:val="auto"/>
        </w:rPr>
        <w:t>Within five business days after the effective time, United will cause the exchange agent for the payment of the merger consideration, referred to in this proxy statement/prospectus as the exchange agent, to effect the allocation among holders of Peach State common stock of rights to receive the cash consideration and the stock consideration as follows (with the exchange agent to determine, consistent with the immediately preceding paragraph, whether fractions of cash election shares, stock election shares and non-election shares, as applicable, will be rounded up or down):</w:t>
      </w:r>
    </w:p>
    <w:p>
      <w:pPr>
        <w:spacing w:after="0" w:line="76" w:lineRule="exact"/>
        <w:rPr>
          <w:sz w:val="20"/>
          <w:szCs w:val="20"/>
          <w:color w:val="auto"/>
        </w:rPr>
      </w:pPr>
    </w:p>
    <w:p>
      <w:pPr>
        <w:ind w:left="1580" w:right="1179" w:hanging="160"/>
        <w:spacing w:after="0" w:line="265" w:lineRule="auto"/>
        <w:tabs>
          <w:tab w:leader="none" w:pos="1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Oversubscription of Cash Election Option. </w:t>
      </w:r>
      <w:r>
        <w:rPr>
          <w:rFonts w:ascii="Times New Roman" w:cs="Times New Roman" w:eastAsia="Times New Roman" w:hAnsi="Times New Roman"/>
          <w:sz w:val="16"/>
          <w:szCs w:val="16"/>
          <w:color w:val="auto"/>
        </w:rPr>
        <w:t>If the aggregate number of cash election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for this purpose, dissenting shares as of the effective time), referred to in this proxy statement/​prospectus as the cash election number, exceeds the maximum cash share number, then</w:t>
      </w:r>
    </w:p>
    <w:p>
      <w:pPr>
        <w:spacing w:after="0" w:line="47" w:lineRule="exact"/>
        <w:rPr>
          <w:rFonts w:ascii="Times New Roman" w:cs="Times New Roman" w:eastAsia="Times New Roman" w:hAnsi="Times New Roman"/>
          <w:sz w:val="16"/>
          <w:szCs w:val="16"/>
          <w:color w:val="auto"/>
        </w:rPr>
      </w:pPr>
    </w:p>
    <w:p>
      <w:pPr>
        <w:ind w:left="1900" w:right="979" w:hanging="162"/>
        <w:spacing w:after="0" w:line="254" w:lineRule="auto"/>
        <w:tabs>
          <w:tab w:leader="none" w:pos="19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election shares of each holder of such cash election shares will be converted into the right to receive the cash consideration in respect of that number of cash election shares equal to the product obtained by multiplying (i) the number of cash election shares held by such holder by (ii) a fraction, the numerator of which is the maximum cash share number and the denominator of which is the cash election number, with the remaining number of such holder’s cash election shares being converted into the right to receive the stock consideration;</w:t>
      </w:r>
    </w:p>
    <w:p>
      <w:pPr>
        <w:spacing w:after="0" w:line="70" w:lineRule="exact"/>
        <w:rPr>
          <w:rFonts w:ascii="Times New Roman" w:cs="Times New Roman" w:eastAsia="Times New Roman" w:hAnsi="Times New Roman"/>
          <w:sz w:val="16"/>
          <w:szCs w:val="16"/>
          <w:color w:val="auto"/>
        </w:rPr>
      </w:pPr>
    </w:p>
    <w:p>
      <w:pPr>
        <w:ind w:left="1900" w:hanging="162"/>
        <w:spacing w:after="0"/>
        <w:tabs>
          <w:tab w:leader="none" w:pos="19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stock election shares will be converted into the right to receive the stock consideration; and</w:t>
      </w:r>
    </w:p>
    <w:p>
      <w:pPr>
        <w:spacing w:after="0" w:line="101" w:lineRule="exact"/>
        <w:rPr>
          <w:rFonts w:ascii="Times New Roman" w:cs="Times New Roman" w:eastAsia="Times New Roman" w:hAnsi="Times New Roman"/>
          <w:sz w:val="16"/>
          <w:szCs w:val="16"/>
          <w:color w:val="auto"/>
        </w:rPr>
      </w:pPr>
    </w:p>
    <w:p>
      <w:pPr>
        <w:ind w:left="1900" w:hanging="162"/>
        <w:spacing w:after="0"/>
        <w:tabs>
          <w:tab w:leader="none" w:pos="19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non-election shares will be converted into the right to receive the stock consideration.</w:t>
      </w:r>
    </w:p>
    <w:p>
      <w:pPr>
        <w:spacing w:after="0" w:line="88" w:lineRule="exact"/>
        <w:rPr>
          <w:rFonts w:ascii="Times New Roman" w:cs="Times New Roman" w:eastAsia="Times New Roman" w:hAnsi="Times New Roman"/>
          <w:sz w:val="16"/>
          <w:szCs w:val="16"/>
          <w:color w:val="auto"/>
        </w:rPr>
      </w:pPr>
    </w:p>
    <w:p>
      <w:pPr>
        <w:ind w:left="1580" w:right="979" w:hanging="160"/>
        <w:spacing w:after="0" w:line="265" w:lineRule="auto"/>
        <w:tabs>
          <w:tab w:leader="none" w:pos="1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Undersubscription of Cash Election Option. </w:t>
      </w:r>
      <w:r>
        <w:rPr>
          <w:rFonts w:ascii="Times New Roman" w:cs="Times New Roman" w:eastAsia="Times New Roman" w:hAnsi="Times New Roman"/>
          <w:sz w:val="16"/>
          <w:szCs w:val="16"/>
          <w:color w:val="auto"/>
        </w:rPr>
        <w:t>If the cash election number is less than the maximum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share number (the amount by which the maximum cash share number exceeds the cash election number referred to in this proxy statement/prospectus as the shortfall number), then</w:t>
      </w:r>
    </w:p>
    <w:p>
      <w:pPr>
        <w:spacing w:after="0" w:line="59" w:lineRule="exact"/>
        <w:rPr>
          <w:rFonts w:ascii="Times New Roman" w:cs="Times New Roman" w:eastAsia="Times New Roman" w:hAnsi="Times New Roman"/>
          <w:sz w:val="16"/>
          <w:szCs w:val="16"/>
          <w:color w:val="auto"/>
        </w:rPr>
      </w:pPr>
    </w:p>
    <w:p>
      <w:pPr>
        <w:ind w:left="1900" w:hanging="162"/>
        <w:spacing w:after="0"/>
        <w:tabs>
          <w:tab w:leader="none" w:pos="19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cash election shares will be converted into the right to receive the cash consideration;</w:t>
      </w:r>
    </w:p>
    <w:p>
      <w:pPr>
        <w:spacing w:after="0" w:line="101" w:lineRule="exact"/>
        <w:rPr>
          <w:rFonts w:ascii="Times New Roman" w:cs="Times New Roman" w:eastAsia="Times New Roman" w:hAnsi="Times New Roman"/>
          <w:sz w:val="16"/>
          <w:szCs w:val="16"/>
          <w:color w:val="auto"/>
        </w:rPr>
      </w:pPr>
    </w:p>
    <w:p>
      <w:pPr>
        <w:jc w:val="both"/>
        <w:ind w:left="1900" w:right="1019" w:hanging="162"/>
        <w:spacing w:after="0" w:line="263" w:lineRule="auto"/>
        <w:tabs>
          <w:tab w:leader="none" w:pos="19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shortfall number is less than or equal to the number of non-election shares, then all stock election shares will be converted into the right to receive the stock consideration, and the non-election shares of each holder of such non-election shares will be converted into the right to</w:t>
      </w:r>
    </w:p>
    <w:p>
      <w:pPr>
        <w:spacing w:after="0" w:line="3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900" w:right="1119"/>
        <w:spacing w:after="0" w:line="259" w:lineRule="auto"/>
        <w:rPr>
          <w:sz w:val="20"/>
          <w:szCs w:val="20"/>
          <w:color w:val="auto"/>
        </w:rPr>
      </w:pPr>
      <w:r>
        <w:rPr>
          <w:rFonts w:ascii="Times New Roman" w:cs="Times New Roman" w:eastAsia="Times New Roman" w:hAnsi="Times New Roman"/>
          <w:sz w:val="16"/>
          <w:szCs w:val="16"/>
          <w:color w:val="auto"/>
        </w:rPr>
        <w:t>receive the cash consideration in respect of that number of non-election shares equal to the product obtained by multiplying (i) the number of non-election shares held by such holder by</w:t>
      </w:r>
    </w:p>
    <w:p>
      <w:pPr>
        <w:spacing w:after="0" w:line="1" w:lineRule="exact"/>
        <w:rPr>
          <w:sz w:val="20"/>
          <w:szCs w:val="20"/>
          <w:color w:val="auto"/>
        </w:rPr>
      </w:pPr>
    </w:p>
    <w:p>
      <w:pPr>
        <w:ind w:left="1900" w:right="1079"/>
        <w:spacing w:after="0" w:line="252" w:lineRule="auto"/>
        <w:rPr>
          <w:sz w:val="20"/>
          <w:szCs w:val="20"/>
          <w:color w:val="auto"/>
        </w:rPr>
      </w:pPr>
      <w:r>
        <w:rPr>
          <w:rFonts w:ascii="Times New Roman" w:cs="Times New Roman" w:eastAsia="Times New Roman" w:hAnsi="Times New Roman"/>
          <w:sz w:val="16"/>
          <w:szCs w:val="16"/>
          <w:color w:val="auto"/>
        </w:rPr>
        <w:t>(ii) a fraction, the numerator of which is the shortfall number and the denominator of which is the total number of non-election shares, with the remaining number of such holder’s non-election shares being converted into the right to receive the stock consideration; and</w:t>
      </w:r>
    </w:p>
    <w:p>
      <w:pPr>
        <w:spacing w:after="0" w:line="82" w:lineRule="exact"/>
        <w:rPr>
          <w:sz w:val="20"/>
          <w:szCs w:val="20"/>
          <w:color w:val="auto"/>
        </w:rPr>
      </w:pPr>
    </w:p>
    <w:p>
      <w:pPr>
        <w:ind w:left="1900" w:right="939" w:hanging="162"/>
        <w:spacing w:after="0" w:line="252" w:lineRule="auto"/>
        <w:tabs>
          <w:tab w:leader="none" w:pos="19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shortfall number exceeds the number of non-election shares, then all non-election shares will be converted into the right to receive the cash consideration, and stock election shares of each holder of such stock election shares will be converted into the right to receive the cash consideration in respect of that number of stock election shares equal to the product obtained by multiplying (i) the number of stock election shares held by such holder by (ii) a fraction, the numerator of which is the amount by which the shortfall number exceeds the total number of non-election shares, and the denominator of which is the total number of stock election shares, with the remaining number of such holder’s stock election shares being converted into the right to receive the stock consideration.</w:t>
      </w:r>
    </w:p>
    <w:p>
      <w:pPr>
        <w:spacing w:after="0" w:line="16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Cancellation of Certain Peach State Common Stock</w:t>
      </w:r>
    </w:p>
    <w:p>
      <w:pPr>
        <w:spacing w:after="0" w:line="128" w:lineRule="exact"/>
        <w:rPr>
          <w:sz w:val="20"/>
          <w:szCs w:val="20"/>
          <w:color w:val="auto"/>
        </w:rPr>
      </w:pPr>
    </w:p>
    <w:p>
      <w:pPr>
        <w:ind w:left="1100" w:right="979" w:firstLine="318"/>
        <w:spacing w:after="0" w:line="253" w:lineRule="auto"/>
        <w:rPr>
          <w:sz w:val="20"/>
          <w:szCs w:val="20"/>
          <w:color w:val="auto"/>
        </w:rPr>
      </w:pPr>
      <w:r>
        <w:rPr>
          <w:rFonts w:ascii="Times New Roman" w:cs="Times New Roman" w:eastAsia="Times New Roman" w:hAnsi="Times New Roman"/>
          <w:sz w:val="16"/>
          <w:szCs w:val="16"/>
          <w:color w:val="auto"/>
        </w:rPr>
        <w:t>At the effective time, each share of Peach State common stock issued and outstanding immediately prior to the effective time that is owned or held in treasury by Peach State or United (in each case other shares in trust accounts, managed accounts and the like for the benefit of employees or customers or otherwise held in a fiduciary or agency capacity or as a result of debts previously contracted, or shares held as collateral for outstanding debt previously contracted), referred to in this proxy statement/prospectus as cancelled shares, will automatically be cancelled and will cease to exist. No consideration will be delivered in exchange for any cancelled shares.</w:t>
      </w:r>
    </w:p>
    <w:p>
      <w:pPr>
        <w:spacing w:after="0" w:line="108" w:lineRule="exact"/>
        <w:rPr>
          <w:sz w:val="20"/>
          <w:szCs w:val="20"/>
          <w:color w:val="auto"/>
        </w:rPr>
      </w:pPr>
    </w:p>
    <w:p>
      <w:pPr>
        <w:ind w:left="1100" w:right="1059" w:firstLine="318"/>
        <w:spacing w:after="0" w:line="256" w:lineRule="auto"/>
        <w:rPr>
          <w:sz w:val="20"/>
          <w:szCs w:val="20"/>
          <w:color w:val="auto"/>
        </w:rPr>
      </w:pPr>
      <w:r>
        <w:rPr>
          <w:rFonts w:ascii="Times New Roman" w:cs="Times New Roman" w:eastAsia="Times New Roman" w:hAnsi="Times New Roman"/>
          <w:sz w:val="16"/>
          <w:szCs w:val="16"/>
          <w:color w:val="auto"/>
        </w:rPr>
        <w:t>Based on the exchange ratio of 0.8978, and on the closing stock price of United common stock of $33.34 as of June 5, 2026, the latest practicable trading day before the date of this proxy statement/​ prospectus, the value of the per share stock consideration payable to holders of Peach State common stock was approximately $29.93 as of such date. The trading price of United common stock will continue to fluctuate until the date the merger is consummated.</w:t>
      </w:r>
    </w:p>
    <w:p>
      <w:pPr>
        <w:spacing w:after="0" w:line="103" w:lineRule="exact"/>
        <w:rPr>
          <w:sz w:val="20"/>
          <w:szCs w:val="20"/>
          <w:color w:val="auto"/>
        </w:rPr>
      </w:pPr>
    </w:p>
    <w:p>
      <w:pPr>
        <w:ind w:left="1100" w:right="959" w:firstLine="318"/>
        <w:spacing w:after="0" w:line="256" w:lineRule="auto"/>
        <w:rPr>
          <w:sz w:val="20"/>
          <w:szCs w:val="20"/>
          <w:color w:val="auto"/>
        </w:rPr>
      </w:pPr>
      <w:r>
        <w:rPr>
          <w:rFonts w:ascii="Times New Roman" w:cs="Times New Roman" w:eastAsia="Times New Roman" w:hAnsi="Times New Roman"/>
          <w:sz w:val="16"/>
          <w:szCs w:val="16"/>
          <w:color w:val="auto"/>
        </w:rPr>
        <w:t>If the number of outstanding shares of United common stock or Peach State common stock is increased, decreased, changed into or exchanged for a different number or kind of shares or securities as a result of a reorganization, recapitalization, reclassification, stock dividend, stock split, reverse stock split or other similar change in capitalization, or there is any extraordinary dividend or distribution, an appropriate and proportionate adjustment will be made to the exchange ratio.</w:t>
      </w:r>
    </w:p>
    <w:p>
      <w:pPr>
        <w:spacing w:after="0" w:line="91" w:lineRule="exact"/>
        <w:rPr>
          <w:sz w:val="20"/>
          <w:szCs w:val="20"/>
          <w:color w:val="auto"/>
        </w:rPr>
      </w:pPr>
    </w:p>
    <w:p>
      <w:pPr>
        <w:ind w:left="1100" w:right="1199" w:firstLine="318"/>
        <w:spacing w:after="0" w:line="279" w:lineRule="auto"/>
        <w:rPr>
          <w:sz w:val="20"/>
          <w:szCs w:val="20"/>
          <w:color w:val="auto"/>
        </w:rPr>
      </w:pPr>
      <w:r>
        <w:rPr>
          <w:rFonts w:ascii="Times New Roman" w:cs="Times New Roman" w:eastAsia="Times New Roman" w:hAnsi="Times New Roman"/>
          <w:sz w:val="16"/>
          <w:szCs w:val="16"/>
          <w:color w:val="auto"/>
        </w:rPr>
        <w:t xml:space="preserve">The trading price of United common stock will continue to fluctuate until the date the merger is consummated. For further information, see “The Merger — Terms of the Merger” beginning on page </w:t>
      </w:r>
      <w:r>
        <w:rPr>
          <w:rFonts w:ascii="Times New Roman" w:cs="Times New Roman" w:eastAsia="Times New Roman" w:hAnsi="Times New Roman"/>
          <w:sz w:val="16"/>
          <w:szCs w:val="16"/>
          <w:u w:val="single" w:color="auto"/>
          <w:color w:val="0000EE"/>
        </w:rPr>
        <w:t>35</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Treatment of Peach State Stock Options</w:t>
      </w:r>
    </w:p>
    <w:p>
      <w:pPr>
        <w:spacing w:after="0" w:line="140" w:lineRule="exact"/>
        <w:rPr>
          <w:sz w:val="20"/>
          <w:szCs w:val="20"/>
          <w:color w:val="auto"/>
        </w:rPr>
      </w:pPr>
    </w:p>
    <w:p>
      <w:pPr>
        <w:ind w:left="1100" w:right="959" w:firstLine="318"/>
        <w:spacing w:after="0" w:line="253" w:lineRule="auto"/>
        <w:rPr>
          <w:sz w:val="20"/>
          <w:szCs w:val="20"/>
          <w:color w:val="auto"/>
        </w:rPr>
      </w:pPr>
      <w:r>
        <w:rPr>
          <w:rFonts w:ascii="Times New Roman" w:cs="Times New Roman" w:eastAsia="Times New Roman" w:hAnsi="Times New Roman"/>
          <w:sz w:val="16"/>
          <w:szCs w:val="16"/>
          <w:color w:val="auto"/>
        </w:rPr>
        <w:t>At the effective time, each outstanding option to purchase shares of Peach State common stock granted under a Peach State equity plan, whether vested or unvested, will be converted into the right to receive an amount in cash equal to the product of (i) 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Governing Documents; Directors and Officers; Governance Matters</w:t>
      </w:r>
    </w:p>
    <w:p>
      <w:pPr>
        <w:spacing w:after="0" w:line="140" w:lineRule="exact"/>
        <w:rPr>
          <w:sz w:val="20"/>
          <w:szCs w:val="20"/>
          <w:color w:val="auto"/>
        </w:rPr>
      </w:pPr>
    </w:p>
    <w:p>
      <w:pPr>
        <w:ind w:left="1100" w:right="1019" w:firstLine="318"/>
        <w:spacing w:after="0" w:line="261" w:lineRule="auto"/>
        <w:rPr>
          <w:sz w:val="20"/>
          <w:szCs w:val="20"/>
          <w:color w:val="auto"/>
        </w:rPr>
      </w:pPr>
      <w:r>
        <w:rPr>
          <w:rFonts w:ascii="Times New Roman" w:cs="Times New Roman" w:eastAsia="Times New Roman" w:hAnsi="Times New Roman"/>
          <w:sz w:val="16"/>
          <w:szCs w:val="16"/>
          <w:color w:val="auto"/>
        </w:rPr>
        <w:t>At the effective time of the merger, the United articles of incorporation and bylaws in effect immediately prior to the effective time of the merger will be the articles of incorporation and bylaws of the surviving corporation until thereafter amended in accordance with applicable law, and the directors and officers of</w:t>
      </w:r>
    </w:p>
    <w:p>
      <w:pPr>
        <w:spacing w:after="0" w:line="200" w:lineRule="exact"/>
        <w:rPr>
          <w:sz w:val="20"/>
          <w:szCs w:val="20"/>
          <w:color w:val="auto"/>
        </w:rPr>
      </w:pPr>
    </w:p>
    <w:p>
      <w:pPr>
        <w:spacing w:after="0" w:line="30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39"/>
        <w:spacing w:after="0" w:line="256" w:lineRule="auto"/>
        <w:rPr>
          <w:sz w:val="20"/>
          <w:szCs w:val="20"/>
          <w:color w:val="auto"/>
        </w:rPr>
      </w:pPr>
      <w:r>
        <w:rPr>
          <w:rFonts w:ascii="Times New Roman" w:cs="Times New Roman" w:eastAsia="Times New Roman" w:hAnsi="Times New Roman"/>
          <w:sz w:val="16"/>
          <w:szCs w:val="16"/>
          <w:color w:val="auto"/>
        </w:rPr>
        <w:t>United as of immediately prior to the effective time of the merger will continue to serve as the directors and officers of the surviving entity after the completion of the merger from and after the effective time of the merger.</w:t>
      </w:r>
    </w:p>
    <w:p>
      <w:pPr>
        <w:spacing w:after="0" w:line="90" w:lineRule="exact"/>
        <w:rPr>
          <w:sz w:val="20"/>
          <w:szCs w:val="20"/>
          <w:color w:val="auto"/>
        </w:rPr>
      </w:pPr>
    </w:p>
    <w:p>
      <w:pPr>
        <w:ind w:left="1100" w:right="1019" w:firstLine="318"/>
        <w:spacing w:after="0" w:line="245" w:lineRule="auto"/>
        <w:rPr>
          <w:sz w:val="20"/>
          <w:szCs w:val="20"/>
          <w:color w:val="auto"/>
        </w:rPr>
      </w:pPr>
      <w:r>
        <w:rPr>
          <w:rFonts w:ascii="Times New Roman" w:cs="Times New Roman" w:eastAsia="Times New Roman" w:hAnsi="Times New Roman"/>
          <w:sz w:val="16"/>
          <w:szCs w:val="16"/>
          <w:color w:val="auto"/>
        </w:rPr>
        <w:t>At the effective time of the bank merger, the United Community Bank charter and bylaws in effect immediately prior to the effective time of the bank merger will be the charter and bylaws of the surviving bank until thereafter amended in accordance with applicable law, and the directors and officers of United Community Bank as of immediately prior to the effective time of the bank merger will continue to serve as the directors and officers of the surviving bank after the completion of the bank merger from and after the effective time of the bank merger.</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Closing and Effective Time of the Merger</w:t>
      </w:r>
    </w:p>
    <w:p>
      <w:pPr>
        <w:spacing w:after="0" w:line="140" w:lineRule="exact"/>
        <w:rPr>
          <w:sz w:val="20"/>
          <w:szCs w:val="20"/>
          <w:color w:val="auto"/>
        </w:rPr>
      </w:pPr>
    </w:p>
    <w:p>
      <w:pPr>
        <w:jc w:val="both"/>
        <w:ind w:left="1100" w:right="1059" w:firstLine="318"/>
        <w:spacing w:after="0" w:line="248" w:lineRule="auto"/>
        <w:rPr>
          <w:sz w:val="20"/>
          <w:szCs w:val="20"/>
          <w:color w:val="auto"/>
        </w:rPr>
      </w:pPr>
      <w:r>
        <w:rPr>
          <w:rFonts w:ascii="Times New Roman" w:cs="Times New Roman" w:eastAsia="Times New Roman" w:hAnsi="Times New Roman"/>
          <w:sz w:val="16"/>
          <w:szCs w:val="16"/>
          <w:color w:val="auto"/>
        </w:rPr>
        <w:t>The merger will be completed only if all conditions to the merger discussed in this proxy statement/​ prospectus and set forth in the merger agreement are either satisfied or waived (subject to applicable law). See “— Conditions to Complete the Merger.”</w:t>
      </w:r>
    </w:p>
    <w:p>
      <w:pPr>
        <w:spacing w:after="0" w:line="97" w:lineRule="exact"/>
        <w:rPr>
          <w:sz w:val="20"/>
          <w:szCs w:val="20"/>
          <w:color w:val="auto"/>
        </w:rPr>
      </w:pPr>
    </w:p>
    <w:p>
      <w:pPr>
        <w:ind w:left="1100" w:right="939" w:firstLine="318"/>
        <w:spacing w:after="0" w:line="244" w:lineRule="auto"/>
        <w:rPr>
          <w:sz w:val="20"/>
          <w:szCs w:val="20"/>
          <w:color w:val="auto"/>
        </w:rPr>
      </w:pPr>
      <w:r>
        <w:rPr>
          <w:rFonts w:ascii="Times New Roman" w:cs="Times New Roman" w:eastAsia="Times New Roman" w:hAnsi="Times New Roman"/>
          <w:sz w:val="16"/>
          <w:szCs w:val="16"/>
          <w:color w:val="auto"/>
        </w:rPr>
        <w:t>The merger will become effective as set forth in the articles of merger to be filed with the Secretary of State of the State of Georgia. The closing of the merger will occur at 9:00 a.m. Eastern Time on the date which shall be the first business day of the first calendar month following the satisfaction or waiver (subject to applicable law) of the last to occur of the conditions set forth in the merger agreement, unless another date, time or place is agreed to in writing by Peach State and United. It currently is anticipated that the completion of the merger will occur in the third quarter of 2026 subject to the receipt of Peach State shareholder approval, regulatory approvals and other customary closing conditions, but neither United nor Peach State can guarantee when or if the merger will be completed.</w:t>
      </w:r>
    </w:p>
    <w:p>
      <w:pPr>
        <w:spacing w:after="0" w:line="15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Election Procedures</w:t>
      </w:r>
    </w:p>
    <w:p>
      <w:pPr>
        <w:spacing w:after="0" w:line="140" w:lineRule="exact"/>
        <w:rPr>
          <w:sz w:val="20"/>
          <w:szCs w:val="20"/>
          <w:color w:val="auto"/>
        </w:rPr>
      </w:pPr>
    </w:p>
    <w:p>
      <w:pPr>
        <w:ind w:left="1100" w:right="959" w:firstLine="318"/>
        <w:spacing w:after="0"/>
        <w:rPr>
          <w:sz w:val="20"/>
          <w:szCs w:val="20"/>
          <w:color w:val="auto"/>
        </w:rPr>
      </w:pPr>
      <w:r>
        <w:rPr>
          <w:rFonts w:ascii="Times New Roman" w:cs="Times New Roman" w:eastAsia="Times New Roman" w:hAnsi="Times New Roman"/>
          <w:sz w:val="16"/>
          <w:szCs w:val="16"/>
          <w:color w:val="auto"/>
        </w:rPr>
        <w:t>Each holder of shares of Peach State common stock to be converted into the right to receive the merger consideration, referred to in this proxy statement/prospectus as a holder, may specify in a request made in accordance with the procedures described in this “— Election Procedures” section (i) the number of shares of Peach State common stock owned by such holder with respect to which such holder desires to make a stock election and (ii) the number of shares of Peach State common stock owned by such holder with respect to which such holder desires to make a cash election. Any such request is referred to in this proxy statement/prospectus as an election.</w:t>
      </w:r>
    </w:p>
    <w:p>
      <w:pPr>
        <w:spacing w:after="0" w:line="106" w:lineRule="exact"/>
        <w:rPr>
          <w:sz w:val="20"/>
          <w:szCs w:val="20"/>
          <w:color w:val="auto"/>
        </w:rPr>
      </w:pPr>
    </w:p>
    <w:p>
      <w:pPr>
        <w:jc w:val="both"/>
        <w:ind w:left="1100" w:right="999" w:firstLine="318"/>
        <w:spacing w:after="0" w:line="256" w:lineRule="auto"/>
        <w:rPr>
          <w:sz w:val="20"/>
          <w:szCs w:val="20"/>
          <w:color w:val="auto"/>
        </w:rPr>
      </w:pPr>
      <w:r>
        <w:rPr>
          <w:rFonts w:ascii="Times New Roman" w:cs="Times New Roman" w:eastAsia="Times New Roman" w:hAnsi="Times New Roman"/>
          <w:sz w:val="16"/>
          <w:szCs w:val="16"/>
          <w:color w:val="auto"/>
        </w:rPr>
        <w:t>The merger agreement provides that United will prepare a form reasonably acceptable to Peach State, including appropriate and customary transmittal materials, referred to in this proxy statement/prospectus as the form of election, so as to permit holders to exercise their right to make an election.</w:t>
      </w:r>
    </w:p>
    <w:p>
      <w:pPr>
        <w:spacing w:after="0" w:line="90" w:lineRule="exact"/>
        <w:rPr>
          <w:sz w:val="20"/>
          <w:szCs w:val="20"/>
          <w:color w:val="auto"/>
        </w:rPr>
      </w:pPr>
    </w:p>
    <w:p>
      <w:pPr>
        <w:ind w:left="1100" w:right="939" w:firstLine="318"/>
        <w:spacing w:after="0" w:line="243" w:lineRule="auto"/>
        <w:rPr>
          <w:sz w:val="20"/>
          <w:szCs w:val="20"/>
          <w:color w:val="auto"/>
        </w:rPr>
      </w:pPr>
      <w:r>
        <w:rPr>
          <w:rFonts w:ascii="Times New Roman" w:cs="Times New Roman" w:eastAsia="Times New Roman" w:hAnsi="Times New Roman"/>
          <w:sz w:val="16"/>
          <w:szCs w:val="16"/>
          <w:color w:val="auto"/>
        </w:rPr>
        <w:t>United (i) will initially make available and mail the form of election not less than 20 business days prior to the anticipated election deadline (as defined below) to holders of record of Peach State common stock as of the business day prior to such mailing date, and (ii) following such mailing date, will use all reasonable efforts to make available as promptly as possible a form of election to any Peach State shareholder who requests such form of election prior to the election deadline. The time period between such mailing date and the election deadline is referred to in this proxy statement/prospectus as the election period.</w:t>
      </w:r>
    </w:p>
    <w:p>
      <w:pPr>
        <w:spacing w:after="0" w:line="288" w:lineRule="exact"/>
        <w:rPr>
          <w:sz w:val="20"/>
          <w:szCs w:val="20"/>
          <w:color w:val="auto"/>
        </w:rPr>
      </w:pPr>
    </w:p>
    <w:p>
      <w:pPr>
        <w:ind w:left="1100" w:right="979" w:firstLine="318"/>
        <w:spacing w:after="0" w:line="245" w:lineRule="auto"/>
        <w:rPr>
          <w:sz w:val="20"/>
          <w:szCs w:val="20"/>
          <w:color w:val="auto"/>
        </w:rPr>
      </w:pPr>
      <w:r>
        <w:rPr>
          <w:rFonts w:ascii="Times New Roman" w:cs="Times New Roman" w:eastAsia="Times New Roman" w:hAnsi="Times New Roman"/>
          <w:sz w:val="16"/>
          <w:szCs w:val="16"/>
          <w:color w:val="auto"/>
        </w:rPr>
        <w:t>Any election will have been made properly only if the exchange agent will have received, during the election period, a form of election properly completed and executed (including duly executed transmittal materials included in the form of election) and accompanied by any certificates representing all certificated shares to which such form of election relates or by an appropriate customary guarantee of delivery of such certificates, as set forth in such form of election, from a member of any registered national securities exchange or a commercial bank or trust company in the United States.</w:t>
      </w:r>
    </w:p>
    <w:p>
      <w:pPr>
        <w:spacing w:after="0" w:line="100" w:lineRule="exact"/>
        <w:rPr>
          <w:sz w:val="20"/>
          <w:szCs w:val="20"/>
          <w:color w:val="auto"/>
        </w:rPr>
      </w:pPr>
    </w:p>
    <w:p>
      <w:pPr>
        <w:jc w:val="both"/>
        <w:ind w:left="1100" w:right="999" w:firstLine="318"/>
        <w:spacing w:after="0" w:line="244" w:lineRule="auto"/>
        <w:rPr>
          <w:sz w:val="20"/>
          <w:szCs w:val="20"/>
          <w:color w:val="auto"/>
        </w:rPr>
      </w:pPr>
      <w:r>
        <w:rPr>
          <w:rFonts w:ascii="Times New Roman" w:cs="Times New Roman" w:eastAsia="Times New Roman" w:hAnsi="Times New Roman"/>
          <w:sz w:val="16"/>
          <w:szCs w:val="16"/>
          <w:color w:val="auto"/>
        </w:rPr>
        <w:t>Unless otherwise agreed in advance by the parties to the merger agreement, election deadline means 5:00 p.m. local time (in the city in which the principal office of the exchange agent is located) on the date which the last business day prior to the Peach State special meeting. United and Peach State will cooperate to issue a press release reasonably satisfactory to each of them announcing the date of the election deadline not more than 15 business days before, and at least five business days prior to, the election deadline.</w:t>
      </w:r>
    </w:p>
    <w:p>
      <w:pPr>
        <w:spacing w:after="0" w:line="3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firstLine="318"/>
        <w:spacing w:after="0" w:line="243" w:lineRule="auto"/>
        <w:rPr>
          <w:sz w:val="20"/>
          <w:szCs w:val="20"/>
          <w:color w:val="auto"/>
        </w:rPr>
      </w:pPr>
      <w:r>
        <w:rPr>
          <w:rFonts w:ascii="Times New Roman" w:cs="Times New Roman" w:eastAsia="Times New Roman" w:hAnsi="Times New Roman"/>
          <w:sz w:val="16"/>
          <w:szCs w:val="16"/>
          <w:color w:val="auto"/>
        </w:rPr>
        <w:t>Any holder may, at any time during the election period, change or revoke his, her or its election by written notice to the exchange agent prior to the election deadline accompanied by a properly completed and executed revised form of election. If any election is not properly made with respect to any shares of Peach State common stock (none of United, Peach State or the exchange agent being under any duty to notify any holder of any such defect), such election will be deemed to be not in effect, and the shares of Peach State common stock covered by such election will be deemed to be non-election shares, unless a proper election is thereafter timely made.</w:t>
      </w:r>
    </w:p>
    <w:p>
      <w:pPr>
        <w:spacing w:after="0" w:line="288" w:lineRule="exact"/>
        <w:rPr>
          <w:sz w:val="20"/>
          <w:szCs w:val="20"/>
          <w:color w:val="auto"/>
        </w:rPr>
      </w:pPr>
    </w:p>
    <w:p>
      <w:pPr>
        <w:ind w:left="1100" w:right="939" w:firstLine="318"/>
        <w:spacing w:after="0" w:line="248" w:lineRule="auto"/>
        <w:rPr>
          <w:sz w:val="20"/>
          <w:szCs w:val="20"/>
          <w:color w:val="auto"/>
        </w:rPr>
      </w:pPr>
      <w:r>
        <w:rPr>
          <w:rFonts w:ascii="Times New Roman" w:cs="Times New Roman" w:eastAsia="Times New Roman" w:hAnsi="Times New Roman"/>
          <w:sz w:val="16"/>
          <w:szCs w:val="16"/>
          <w:color w:val="auto"/>
        </w:rPr>
        <w:t>Any holder may, at any time during the election period, revoke his, her or its election by written notice received by the exchange agent prior to the election deadline or by withdrawal prior to the election deadline of his, her or its certificates, or of the guarantee of delivery of such certificates, previously deposited with the exchange agent. All elections will be automatically deemed revoked upon receipt by the exchange agent of written notification from United and Peach State that the merger agreement has been terminated.</w:t>
      </w:r>
    </w:p>
    <w:p>
      <w:pPr>
        <w:spacing w:after="0" w:line="98" w:lineRule="exact"/>
        <w:rPr>
          <w:sz w:val="20"/>
          <w:szCs w:val="20"/>
          <w:color w:val="auto"/>
        </w:rPr>
      </w:pPr>
    </w:p>
    <w:p>
      <w:pPr>
        <w:ind w:left="1100" w:right="1019" w:firstLine="318"/>
        <w:spacing w:after="0" w:line="243" w:lineRule="auto"/>
        <w:rPr>
          <w:sz w:val="20"/>
          <w:szCs w:val="20"/>
          <w:color w:val="auto"/>
        </w:rPr>
      </w:pPr>
      <w:r>
        <w:rPr>
          <w:rFonts w:ascii="Times New Roman" w:cs="Times New Roman" w:eastAsia="Times New Roman" w:hAnsi="Times New Roman"/>
          <w:sz w:val="16"/>
          <w:szCs w:val="16"/>
          <w:color w:val="auto"/>
        </w:rPr>
        <w:t>Subject to the form of election, United, in the exercise of its reasonable, good faith discretion, will have the right to make all determinations, not inconsistent with the terms of the merger agreement, governing (i) the validity of the forms of election and compliance by any holder with the election procedures described in this “— Election Procedures” section, (ii) the method of issuance of shares of United common stock into which shares of Peach State common stock are converted in the initial merger and (iii) the method of payment of cash for shares of Peach State common stock converted into the right to receive the cash consideration and cash in lieu of fractional shares of United common stock.</w:t>
      </w:r>
    </w:p>
    <w:p>
      <w:pPr>
        <w:spacing w:after="0" w:line="15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Exchange and Payment Procedures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Prior to the effective time, United will enter into an exchange agent agreement with its exchange agent.</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At or prior to the effective time, United will deposit, or cause to be deposited, with the exchange agent</w:t>
      </w:r>
    </w:p>
    <w:p>
      <w:pPr>
        <w:ind w:left="1100" w:right="1019" w:firstLine="3"/>
        <w:spacing w:after="0"/>
        <w:tabs>
          <w:tab w:leader="none" w:pos="1302"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sufficient to pay the aggregate cash consideration and all fractional share cash amounts as is necessary for the payment to holders of Peach State common stock and (ii) evidence of United common stock in book-entry form (and/or certificates representing such United common stock, at United’s election) representing the number of shares of United common stock sufficient to deliver the aggregate stock consideration. Such cash, book-entry shares and/or certificates, together with any dividends or other distributions with respect to such book-entry shares and/or certificates, are referred to in this proxy statement/prospectus as the exchange fund.</w:t>
      </w:r>
    </w:p>
    <w:p>
      <w:pPr>
        <w:spacing w:after="0" w:line="3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Exchange of Peach State Share Certificates and Book-Entry Peach State Shares</w:t>
      </w:r>
    </w:p>
    <w:p>
      <w:pPr>
        <w:spacing w:after="0" w:line="140" w:lineRule="exact"/>
        <w:rPr>
          <w:sz w:val="20"/>
          <w:szCs w:val="20"/>
          <w:color w:val="auto"/>
        </w:rPr>
      </w:pPr>
    </w:p>
    <w:p>
      <w:pPr>
        <w:ind w:left="1100" w:right="919" w:firstLine="318"/>
        <w:spacing w:after="0" w:line="241" w:lineRule="auto"/>
        <w:rPr>
          <w:sz w:val="20"/>
          <w:szCs w:val="20"/>
          <w:color w:val="auto"/>
        </w:rPr>
      </w:pPr>
      <w:r>
        <w:rPr>
          <w:rFonts w:ascii="Times New Roman" w:cs="Times New Roman" w:eastAsia="Times New Roman" w:hAnsi="Times New Roman"/>
          <w:sz w:val="16"/>
          <w:szCs w:val="16"/>
          <w:color w:val="auto"/>
        </w:rPr>
        <w:t>Within five business days after the effective time, the exchange agent will mail to each record holder of shares of Peach State common stock whose shares of Peach State common stock were converted in the merger into the right to receive the merger consideration, and who has not previously submitted an election notice with duly executed transmittal materials, a letter of transmittal and instructions for surrendering Peach State share certificates or book-entry shares in exchange for the merger consideration. Upon surrender of Peach State share certificates or book-entry shares and a duly executed letter of transmittal to the exchange agent in compliance with the instructions for surrender, United will, in exchange for such certificates or book-entry shares, cause the exchange agent to pay and deliver the merger consideration and any fractional share cash amounts. United will instruct the exchange agent to pay the merger consideration and any fractional share cash amounts within five business days following the effective time.</w:t>
      </w:r>
    </w:p>
    <w:p>
      <w:pPr>
        <w:spacing w:after="0" w:line="106" w:lineRule="exact"/>
        <w:rPr>
          <w:sz w:val="20"/>
          <w:szCs w:val="20"/>
          <w:color w:val="auto"/>
        </w:rPr>
      </w:pPr>
    </w:p>
    <w:p>
      <w:pPr>
        <w:ind w:left="1100" w:right="919" w:firstLine="318"/>
        <w:spacing w:after="0" w:line="245" w:lineRule="auto"/>
        <w:rPr>
          <w:sz w:val="20"/>
          <w:szCs w:val="20"/>
          <w:color w:val="auto"/>
        </w:rPr>
      </w:pPr>
      <w:r>
        <w:rPr>
          <w:rFonts w:ascii="Times New Roman" w:cs="Times New Roman" w:eastAsia="Times New Roman" w:hAnsi="Times New Roman"/>
          <w:sz w:val="16"/>
          <w:szCs w:val="16"/>
          <w:color w:val="auto"/>
        </w:rPr>
        <w:t>In the event of a transfer of ownership of shares of Peach State common stock that is not registered in Peach State’s transfer or stock records, cash may be paid and/or shares may be issued to a person other than the person in whose name the surrendered Peach State share certificate or book-entry share is registered if such certificate or book-entry share is presented to the exchange agent accompanied by all documents reasonably required to evidence and effect such transfer and to evidence to the reasonable satisfaction of the exchange agent and United that any applicable stock transfer or other similar taxes have been paid.</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Lost, Stolen or Destroyed Certificates</w:t>
      </w:r>
    </w:p>
    <w:p>
      <w:pPr>
        <w:spacing w:after="0" w:line="140" w:lineRule="exact"/>
        <w:rPr>
          <w:sz w:val="20"/>
          <w:szCs w:val="20"/>
          <w:color w:val="auto"/>
        </w:rPr>
      </w:pPr>
    </w:p>
    <w:p>
      <w:pPr>
        <w:ind w:left="1100" w:right="979" w:firstLine="318"/>
        <w:spacing w:after="0" w:line="263" w:lineRule="auto"/>
        <w:rPr>
          <w:sz w:val="20"/>
          <w:szCs w:val="20"/>
          <w:color w:val="auto"/>
        </w:rPr>
      </w:pPr>
      <w:r>
        <w:rPr>
          <w:rFonts w:ascii="Times New Roman" w:cs="Times New Roman" w:eastAsia="Times New Roman" w:hAnsi="Times New Roman"/>
          <w:sz w:val="16"/>
          <w:szCs w:val="16"/>
          <w:color w:val="auto"/>
        </w:rPr>
        <w:t>In the event that a Peach State share certificate is lost, stolen or destroyed, the previous holder of the Peach State share certificate may obtain the merger consideration and the amount of any owed dividends or</w:t>
      </w:r>
    </w:p>
    <w:p>
      <w:pPr>
        <w:spacing w:after="0" w:line="3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100" w:right="979"/>
        <w:spacing w:after="0" w:line="258" w:lineRule="auto"/>
        <w:rPr>
          <w:sz w:val="20"/>
          <w:szCs w:val="20"/>
          <w:color w:val="auto"/>
        </w:rPr>
      </w:pPr>
      <w:r>
        <w:rPr>
          <w:rFonts w:ascii="Times New Roman" w:cs="Times New Roman" w:eastAsia="Times New Roman" w:hAnsi="Times New Roman"/>
          <w:sz w:val="16"/>
          <w:szCs w:val="16"/>
          <w:color w:val="auto"/>
        </w:rPr>
        <w:t>distributions in respect of such certificate by (i) making an affidavit regarding the loss, theft or destruction of the Peach State share certificate and (ii) if required by United, posting a bond (in a reasonable amount as determined by United) as indemnity against any claim that may be made against United with respect to the lost, stolen or destroyed Peach State share certificate.</w:t>
      </w:r>
    </w:p>
    <w:p>
      <w:pPr>
        <w:spacing w:after="0" w:line="102" w:lineRule="exact"/>
        <w:rPr>
          <w:sz w:val="20"/>
          <w:szCs w:val="20"/>
          <w:color w:val="auto"/>
        </w:rPr>
      </w:pPr>
    </w:p>
    <w:p>
      <w:pPr>
        <w:ind w:left="1100" w:right="939" w:firstLine="318"/>
        <w:spacing w:after="0" w:line="253" w:lineRule="auto"/>
        <w:rPr>
          <w:sz w:val="20"/>
          <w:szCs w:val="20"/>
          <w:color w:val="auto"/>
        </w:rPr>
      </w:pPr>
      <w:r>
        <w:rPr>
          <w:rFonts w:ascii="Times New Roman" w:cs="Times New Roman" w:eastAsia="Times New Roman" w:hAnsi="Times New Roman"/>
          <w:sz w:val="16"/>
          <w:szCs w:val="16"/>
          <w:color w:val="auto"/>
        </w:rPr>
        <w:t>Peach State share certificates or book-entry shares should not be surrendered by Peach State shareholders except pursuant to the instructions set forth in the election notice or in the letter of transmittal that will be mailed to Peach State shareholders as soon as reasonably practicable following the effective time. In all cases with respect to Peach State shares certificates and book-entry shares, the merger consideration will be provided only in accordance with the procedures set forth in such letter of transmittal. After the effective time of the merger, there will be no further transfers on the stock transfer books of Peach State of shares of Peach State common stock that were issued and outstanding immediately prior to the effective time.</w:t>
      </w:r>
    </w:p>
    <w:p>
      <w:pPr>
        <w:spacing w:after="0" w:line="298" w:lineRule="exact"/>
        <w:rPr>
          <w:sz w:val="20"/>
          <w:szCs w:val="20"/>
          <w:color w:val="auto"/>
        </w:rPr>
      </w:pPr>
    </w:p>
    <w:p>
      <w:pPr>
        <w:ind w:left="1100" w:right="1499" w:firstLine="318"/>
        <w:spacing w:after="0" w:line="279" w:lineRule="auto"/>
        <w:rPr>
          <w:sz w:val="20"/>
          <w:szCs w:val="20"/>
          <w:color w:val="auto"/>
        </w:rPr>
      </w:pPr>
      <w:r>
        <w:rPr>
          <w:rFonts w:ascii="Times New Roman" w:cs="Times New Roman" w:eastAsia="Times New Roman" w:hAnsi="Times New Roman"/>
          <w:sz w:val="16"/>
          <w:szCs w:val="16"/>
          <w:color w:val="auto"/>
        </w:rPr>
        <w:t>No interest will be paid or accrue on any cash payable upon surrender of any Peach State share certificates or book-entry shares.</w:t>
      </w:r>
    </w:p>
    <w:p>
      <w:pPr>
        <w:spacing w:after="0" w:line="1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Dividends and Distributions</w:t>
      </w:r>
    </w:p>
    <w:p>
      <w:pPr>
        <w:spacing w:after="0" w:line="128" w:lineRule="exact"/>
        <w:rPr>
          <w:sz w:val="20"/>
          <w:szCs w:val="20"/>
          <w:color w:val="auto"/>
        </w:rPr>
      </w:pPr>
    </w:p>
    <w:p>
      <w:pPr>
        <w:ind w:left="1100" w:right="999" w:firstLine="318"/>
        <w:spacing w:after="0" w:line="253" w:lineRule="auto"/>
        <w:rPr>
          <w:sz w:val="20"/>
          <w:szCs w:val="20"/>
          <w:color w:val="auto"/>
        </w:rPr>
      </w:pPr>
      <w:r>
        <w:rPr>
          <w:rFonts w:ascii="Times New Roman" w:cs="Times New Roman" w:eastAsia="Times New Roman" w:hAnsi="Times New Roman"/>
          <w:sz w:val="16"/>
          <w:szCs w:val="16"/>
          <w:color w:val="auto"/>
        </w:rPr>
        <w:t>No dividends or other distributions with a record date after the effective time with respect to United common stock will be paid to the holder of any shares of Peach State common stock until such holder properly surrenders its shares in accordance with the procedures described in this “— Exchange and Payment Procedures” section. After the surrender of a certificate in accordance with the merger agreement, the record holder thereof will be entitled to receive any such dividends or other distributions, without any interest, which had previously become payable with respect to the whole shares of United common stock that the shares of Peach State common stock represented by such certificate have been converted into the right to receive under the merger agreement.</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Withholding Rights</w:t>
      </w:r>
    </w:p>
    <w:p>
      <w:pPr>
        <w:spacing w:after="0" w:line="140" w:lineRule="exact"/>
        <w:rPr>
          <w:sz w:val="20"/>
          <w:szCs w:val="20"/>
          <w:color w:val="auto"/>
        </w:rPr>
      </w:pPr>
    </w:p>
    <w:p>
      <w:pPr>
        <w:ind w:left="1100" w:right="979" w:firstLine="318"/>
        <w:spacing w:after="0" w:line="256" w:lineRule="auto"/>
        <w:rPr>
          <w:sz w:val="20"/>
          <w:szCs w:val="20"/>
          <w:color w:val="auto"/>
        </w:rPr>
      </w:pPr>
      <w:r>
        <w:rPr>
          <w:rFonts w:ascii="Times New Roman" w:cs="Times New Roman" w:eastAsia="Times New Roman" w:hAnsi="Times New Roman"/>
          <w:sz w:val="16"/>
          <w:szCs w:val="16"/>
          <w:color w:val="auto"/>
        </w:rPr>
        <w:t>United and the exchange agent will each be entitled to deduct and withhold, from any amounts otherwise payable pursuant to the merger agreement, amounts required to be deducted or withheld with respect to the making of such payment under any applicable tax law. Any amounts so deducted or withheld and, if required by applicable law, paid to the applicable governmental entity will be treated as having been paid to the person in respect of which such deduction or withholding was made.</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Dissenters’ Rights</w:t>
      </w:r>
    </w:p>
    <w:p>
      <w:pPr>
        <w:spacing w:after="0" w:line="140" w:lineRule="exact"/>
        <w:rPr>
          <w:sz w:val="20"/>
          <w:szCs w:val="20"/>
          <w:color w:val="auto"/>
        </w:rPr>
      </w:pPr>
    </w:p>
    <w:p>
      <w:pPr>
        <w:ind w:left="1100" w:right="979" w:firstLine="318"/>
        <w:spacing w:after="0" w:line="251" w:lineRule="auto"/>
        <w:rPr>
          <w:sz w:val="20"/>
          <w:szCs w:val="20"/>
          <w:color w:val="auto"/>
        </w:rPr>
      </w:pPr>
      <w:r>
        <w:rPr>
          <w:rFonts w:ascii="Times New Roman" w:cs="Times New Roman" w:eastAsia="Times New Roman" w:hAnsi="Times New Roman"/>
          <w:sz w:val="16"/>
          <w:szCs w:val="16"/>
          <w:color w:val="auto"/>
        </w:rPr>
        <w:t>To the extent that Peach State shareholders are entitled to appraisal rights under Title 14, Chapter 2, Article 13 of the GBCC, dissenting shares will not be converted into the right to receive the merger consideration, but the holders of such dissenting shares shall be entitled to receive such consideration as will be determined pursuant to Title 14, Chapter 2, Article 13 of the GBCC (it being understood and acknowledged that at the effective time of the merger, such dissenting shares will no longer be outstanding, will automatically be canceled and shall cease to exist and such holder will cease to have any rights with respect thereto other than the right to receive the “fair value” of such dissenting shares as determined in accordance with Title 14, Chapter 2, Article 13 of the GBCC); provided that, if any such holder will have failed to perfect or shall have effectively withdrawn or lost his, her or its right to appraisal and payment under the GBCC (whether occurring before, at or after the effective time of the merger), such holder’s shares of Peach State common stock will be deemed to have been converted as of the effective time of the merger into the right to receive the merger consideration, without any interest thereon, and such shares will not be deemed to be dissenting shares.</w:t>
      </w:r>
    </w:p>
    <w:p>
      <w:pPr>
        <w:spacing w:after="0" w:line="288" w:lineRule="exact"/>
        <w:rPr>
          <w:sz w:val="20"/>
          <w:szCs w:val="20"/>
          <w:color w:val="auto"/>
        </w:rPr>
      </w:pPr>
    </w:p>
    <w:p>
      <w:pPr>
        <w:ind w:left="1100" w:right="899" w:firstLine="318"/>
        <w:spacing w:after="0" w:line="258" w:lineRule="auto"/>
        <w:rPr>
          <w:sz w:val="20"/>
          <w:szCs w:val="20"/>
          <w:color w:val="auto"/>
        </w:rPr>
      </w:pPr>
      <w:r>
        <w:rPr>
          <w:rFonts w:ascii="Times New Roman" w:cs="Times New Roman" w:eastAsia="Times New Roman" w:hAnsi="Times New Roman"/>
          <w:sz w:val="16"/>
          <w:szCs w:val="16"/>
          <w:color w:val="auto"/>
        </w:rPr>
        <w:t>Under the terms of the merger agreement, if more than 5% of the aggregate outstanding shares of Peach State common stock have properly notified Peach State of their intent to exercise appraisal rights under applicable law, and have not withdrawn or lose their appraisal rights, then United will not be obligated to complete the merger.</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See “Dissenters’ Rights” and Annex D to this proxy statement/prospectus.</w:t>
      </w:r>
    </w:p>
    <w:p>
      <w:pPr>
        <w:spacing w:after="0" w:line="35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Representations and Warranties</w:t>
      </w:r>
    </w:p>
    <w:p>
      <w:pPr>
        <w:spacing w:after="0" w:line="140" w:lineRule="exact"/>
        <w:rPr>
          <w:sz w:val="20"/>
          <w:szCs w:val="20"/>
          <w:color w:val="auto"/>
        </w:rPr>
      </w:pPr>
    </w:p>
    <w:p>
      <w:pPr>
        <w:ind w:left="1100" w:right="939" w:firstLine="318"/>
        <w:spacing w:after="0" w:line="248" w:lineRule="auto"/>
        <w:rPr>
          <w:sz w:val="20"/>
          <w:szCs w:val="20"/>
          <w:color w:val="auto"/>
        </w:rPr>
      </w:pPr>
      <w:r>
        <w:rPr>
          <w:rFonts w:ascii="Times New Roman" w:cs="Times New Roman" w:eastAsia="Times New Roman" w:hAnsi="Times New Roman"/>
          <w:sz w:val="16"/>
          <w:szCs w:val="16"/>
          <w:color w:val="auto"/>
        </w:rPr>
        <w:t>The merger agreement contains customary representations and warranties of each of United and Peach State relating to their respective businesses. The representations and warranties of each of United and Peach State have been made solely for the benefit of the other party, and these representations and warranties should not be relied on by any other person. In addition, these representations and warranties:</w:t>
      </w:r>
    </w:p>
    <w:p>
      <w:pPr>
        <w:spacing w:after="0" w:line="61" w:lineRule="exact"/>
        <w:rPr>
          <w:sz w:val="20"/>
          <w:szCs w:val="20"/>
          <w:color w:val="auto"/>
        </w:rPr>
      </w:pPr>
    </w:p>
    <w:p>
      <w:pPr>
        <w:jc w:val="both"/>
        <w:ind w:left="1580" w:right="1019" w:hanging="160"/>
        <w:spacing w:after="0" w:line="263" w:lineRule="auto"/>
        <w:tabs>
          <w:tab w:leader="none" w:pos="15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been qualified by information set forth in confidential disclosure schedules in connection with signing the merger agreement, which information modifies, qualifies, and creates exceptions to the representations and warranties in the merger agreement;</w:t>
      </w:r>
    </w:p>
    <w:p>
      <w:pPr>
        <w:spacing w:after="0" w:line="50"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not survive consummation of the merger;</w:t>
      </w:r>
    </w:p>
    <w:p>
      <w:pPr>
        <w:spacing w:after="0" w:line="101" w:lineRule="exact"/>
        <w:rPr>
          <w:rFonts w:ascii="Times New Roman" w:cs="Times New Roman" w:eastAsia="Times New Roman" w:hAnsi="Times New Roman"/>
          <w:sz w:val="16"/>
          <w:szCs w:val="16"/>
          <w:color w:val="auto"/>
        </w:rPr>
      </w:pPr>
    </w:p>
    <w:p>
      <w:pPr>
        <w:ind w:left="1580" w:right="1259" w:hanging="160"/>
        <w:spacing w:after="0" w:line="279" w:lineRule="auto"/>
        <w:tabs>
          <w:tab w:leader="none" w:pos="15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be intended not as statements of fact, but rather as a way of allocating the risk to one of the parties to the merger agreement if those statements turn out to be inaccurate;</w:t>
      </w:r>
    </w:p>
    <w:p>
      <w:pPr>
        <w:spacing w:after="0" w:line="48" w:lineRule="exact"/>
        <w:rPr>
          <w:rFonts w:ascii="Times New Roman" w:cs="Times New Roman" w:eastAsia="Times New Roman" w:hAnsi="Times New Roman"/>
          <w:sz w:val="16"/>
          <w:szCs w:val="16"/>
          <w:color w:val="auto"/>
        </w:rPr>
      </w:pPr>
    </w:p>
    <w:p>
      <w:pPr>
        <w:ind w:left="1580" w:right="1219" w:hanging="160"/>
        <w:spacing w:after="0" w:line="279" w:lineRule="auto"/>
        <w:tabs>
          <w:tab w:leader="none" w:pos="15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in some cases subject to a materiality standard described in the merger agreement which may differ from what may be viewed as material by you; and</w:t>
      </w:r>
    </w:p>
    <w:p>
      <w:pPr>
        <w:spacing w:after="0" w:line="36" w:lineRule="exact"/>
        <w:rPr>
          <w:rFonts w:ascii="Times New Roman" w:cs="Times New Roman" w:eastAsia="Times New Roman" w:hAnsi="Times New Roman"/>
          <w:sz w:val="16"/>
          <w:szCs w:val="16"/>
          <w:color w:val="auto"/>
        </w:rPr>
      </w:pPr>
    </w:p>
    <w:p>
      <w:pPr>
        <w:ind w:left="1580" w:right="1379" w:hanging="160"/>
        <w:spacing w:after="0" w:line="279" w:lineRule="auto"/>
        <w:tabs>
          <w:tab w:leader="none" w:pos="15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were made only as of the date of the merger agreement or such other date as is specified in the merger agreement.</w:t>
      </w:r>
    </w:p>
    <w:p>
      <w:pPr>
        <w:spacing w:after="0" w:line="84" w:lineRule="exact"/>
        <w:rPr>
          <w:sz w:val="20"/>
          <w:szCs w:val="20"/>
          <w:color w:val="auto"/>
        </w:rPr>
      </w:pPr>
    </w:p>
    <w:p>
      <w:pPr>
        <w:ind w:left="1100" w:right="939" w:firstLine="318"/>
        <w:spacing w:after="0" w:line="256" w:lineRule="auto"/>
        <w:rPr>
          <w:sz w:val="20"/>
          <w:szCs w:val="20"/>
          <w:color w:val="auto"/>
        </w:rPr>
      </w:pPr>
      <w:r>
        <w:rPr>
          <w:rFonts w:ascii="Times New Roman" w:cs="Times New Roman" w:eastAsia="Times New Roman" w:hAnsi="Times New Roman"/>
          <w:sz w:val="16"/>
          <w:szCs w:val="16"/>
          <w:color w:val="auto"/>
        </w:rPr>
        <w:t>The merger agreement contains representations and warranties made by each of United and Peach State relating to a number of matters. With respect to Peach State, these representations and warranties include the following:</w:t>
      </w:r>
    </w:p>
    <w:p>
      <w:pPr>
        <w:spacing w:after="0" w:line="43" w:lineRule="exact"/>
        <w:rPr>
          <w:sz w:val="20"/>
          <w:szCs w:val="20"/>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matters, including due organization and qualification and subsidiaries;</w:t>
      </w:r>
    </w:p>
    <w:p>
      <w:pPr>
        <w:spacing w:after="0" w:line="101" w:lineRule="exact"/>
        <w:rPr>
          <w:rFonts w:ascii="Times New Roman" w:cs="Times New Roman" w:eastAsia="Times New Roman" w:hAnsi="Times New Roman"/>
          <w:sz w:val="16"/>
          <w:szCs w:val="16"/>
          <w:color w:val="auto"/>
        </w:rPr>
      </w:pPr>
    </w:p>
    <w:p>
      <w:pPr>
        <w:ind w:left="1580" w:right="1219" w:hanging="160"/>
        <w:spacing w:after="0" w:line="279" w:lineRule="auto"/>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authority relative to execution and delivery of the merger agreement and the absence of conflicts with, or violations of, organizational documents or other obligations as a result of the merger;</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capitalization;</w:t>
      </w:r>
    </w:p>
    <w:p>
      <w:pPr>
        <w:spacing w:after="0" w:line="90"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statements, internal controls, and books and records;</w:t>
      </w:r>
    </w:p>
    <w:p>
      <w:pPr>
        <w:spacing w:after="0" w:line="101" w:lineRule="exact"/>
        <w:rPr>
          <w:rFonts w:ascii="Times New Roman" w:cs="Times New Roman" w:eastAsia="Times New Roman" w:hAnsi="Times New Roman"/>
          <w:sz w:val="16"/>
          <w:szCs w:val="16"/>
          <w:color w:val="auto"/>
        </w:rPr>
      </w:pPr>
    </w:p>
    <w:p>
      <w:pPr>
        <w:ind w:left="1580" w:right="1439" w:hanging="160"/>
        <w:spacing w:after="0" w:line="279" w:lineRule="auto"/>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absence of business activities or operations with respect to 332 Spring, LLC, a wholly-owned inactive subsidiary of Peach State;</w:t>
      </w:r>
    </w:p>
    <w:p>
      <w:pPr>
        <w:spacing w:after="0" w:line="36"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absence of undisclosed liabilities;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absence of certain changes or events;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applicable laws;</w:t>
      </w:r>
    </w:p>
    <w:p>
      <w:pPr>
        <w:spacing w:after="0" w:line="90"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proceedings;</w:t>
      </w:r>
    </w:p>
    <w:p>
      <w:pPr>
        <w:spacing w:after="0" w:line="101" w:lineRule="exact"/>
        <w:rPr>
          <w:rFonts w:ascii="Times New Roman" w:cs="Times New Roman" w:eastAsia="Times New Roman" w:hAnsi="Times New Roman"/>
          <w:sz w:val="16"/>
          <w:szCs w:val="16"/>
          <w:color w:val="auto"/>
        </w:rPr>
      </w:pPr>
    </w:p>
    <w:p>
      <w:pPr>
        <w:ind w:left="1580" w:right="1139" w:hanging="160"/>
        <w:spacing w:after="0" w:line="279" w:lineRule="auto"/>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required governmental and other regulatory filings and consents and approvals in connection with the merger;</w:t>
      </w:r>
    </w:p>
    <w:p>
      <w:pPr>
        <w:spacing w:after="0" w:line="36"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reports to regulatory authorities;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matters;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and employee benefit plan matters;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material contracts;</w:t>
      </w:r>
    </w:p>
    <w:p>
      <w:pPr>
        <w:spacing w:after="0" w:line="90"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property and title to assets;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environmental matters;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intellectual property;</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related-party transactions;</w:t>
      </w:r>
    </w:p>
    <w:p>
      <w:pPr>
        <w:spacing w:after="0" w:line="90"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matters;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mortgage banking business matters;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allowance for loan and credit losses;</w:t>
      </w:r>
    </w:p>
    <w:p>
      <w:pPr>
        <w:spacing w:after="0" w:line="35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80" w:hanging="160"/>
        <w:spacing w:after="0"/>
        <w:tabs>
          <w:tab w:leader="none" w:pos="1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risk management instruments;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deposits;</w:t>
      </w:r>
    </w:p>
    <w:p>
      <w:pPr>
        <w:spacing w:after="0" w:line="113"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securities;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BSA, AML, OFAC and CRA compliance;</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matters;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trust and wealth management, investment advisory, insurance, and broker-dealer activities;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broker’s fees payable in connection with the merger and fairness opinion;</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inapplicability of takeover statutes;</w:t>
      </w:r>
    </w:p>
    <w:p>
      <w:pPr>
        <w:spacing w:after="0" w:line="101" w:lineRule="exact"/>
        <w:rPr>
          <w:rFonts w:ascii="Times New Roman" w:cs="Times New Roman" w:eastAsia="Times New Roman" w:hAnsi="Times New Roman"/>
          <w:sz w:val="16"/>
          <w:szCs w:val="16"/>
          <w:color w:val="auto"/>
        </w:rPr>
      </w:pPr>
    </w:p>
    <w:p>
      <w:pPr>
        <w:ind w:left="1580" w:right="1979" w:hanging="160"/>
        <w:spacing w:after="0" w:line="279" w:lineRule="auto"/>
        <w:tabs>
          <w:tab w:leader="none" w:pos="1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absence of action or circumstance that would prevent the merger from qualifying as a “reorganization” under Section 368(a) of the Code; and</w:t>
      </w:r>
    </w:p>
    <w:p>
      <w:pPr>
        <w:spacing w:after="0" w:line="48" w:lineRule="exact"/>
        <w:rPr>
          <w:rFonts w:ascii="Times New Roman" w:cs="Times New Roman" w:eastAsia="Times New Roman" w:hAnsi="Times New Roman"/>
          <w:sz w:val="16"/>
          <w:szCs w:val="16"/>
          <w:color w:val="auto"/>
        </w:rPr>
      </w:pPr>
    </w:p>
    <w:p>
      <w:pPr>
        <w:ind w:left="1580" w:right="1339" w:hanging="160"/>
        <w:spacing w:after="0" w:line="279" w:lineRule="auto"/>
        <w:tabs>
          <w:tab w:leader="none" w:pos="1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accuracy of information supplied for inclusion in this proxy statement/prospectus and other similar documents.</w:t>
      </w:r>
    </w:p>
    <w:p>
      <w:pPr>
        <w:spacing w:after="0" w:line="8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United’s representations and warranties in the merger agreement include the following:</w:t>
      </w:r>
    </w:p>
    <w:p>
      <w:pPr>
        <w:spacing w:after="0" w:line="102" w:lineRule="exact"/>
        <w:rPr>
          <w:sz w:val="20"/>
          <w:szCs w:val="20"/>
          <w:color w:val="auto"/>
        </w:rPr>
      </w:pPr>
    </w:p>
    <w:p>
      <w:pPr>
        <w:ind w:left="1580" w:hanging="160"/>
        <w:spacing w:after="0"/>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matters, including due organization and qualification and subsidiaries;</w:t>
      </w:r>
    </w:p>
    <w:p>
      <w:pPr>
        <w:spacing w:after="0" w:line="101" w:lineRule="exact"/>
        <w:rPr>
          <w:rFonts w:ascii="Times New Roman" w:cs="Times New Roman" w:eastAsia="Times New Roman" w:hAnsi="Times New Roman"/>
          <w:sz w:val="16"/>
          <w:szCs w:val="16"/>
          <w:color w:val="auto"/>
        </w:rPr>
      </w:pPr>
    </w:p>
    <w:p>
      <w:pPr>
        <w:ind w:left="1580" w:right="1219" w:hanging="160"/>
        <w:spacing w:after="0" w:line="279" w:lineRule="auto"/>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authority relative to execution and delivery of the merger agreement and the absence of conflicts with, or violations of, organizational documents or other obligations as a result of the merger;</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capitalization;</w:t>
      </w:r>
    </w:p>
    <w:p>
      <w:pPr>
        <w:spacing w:after="0" w:line="101" w:lineRule="exact"/>
        <w:rPr>
          <w:rFonts w:ascii="Times New Roman" w:cs="Times New Roman" w:eastAsia="Times New Roman" w:hAnsi="Times New Roman"/>
          <w:sz w:val="16"/>
          <w:szCs w:val="16"/>
          <w:color w:val="auto"/>
        </w:rPr>
      </w:pPr>
    </w:p>
    <w:p>
      <w:pPr>
        <w:ind w:left="1580" w:right="1139" w:hanging="160"/>
        <w:spacing w:after="0" w:line="279" w:lineRule="auto"/>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required governmental and other regulatory filings and consents and approvals in connection with the merger;</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reports to regulatory authorities;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proceedings;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statements, internal controls, books and records and SEC filings;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ownership of Peach State common stock;</w:t>
      </w:r>
    </w:p>
    <w:p>
      <w:pPr>
        <w:spacing w:after="0" w:line="101" w:lineRule="exact"/>
        <w:rPr>
          <w:rFonts w:ascii="Times New Roman" w:cs="Times New Roman" w:eastAsia="Times New Roman" w:hAnsi="Times New Roman"/>
          <w:sz w:val="16"/>
          <w:szCs w:val="16"/>
          <w:color w:val="auto"/>
        </w:rPr>
      </w:pPr>
    </w:p>
    <w:p>
      <w:pPr>
        <w:ind w:left="1580" w:right="1979" w:hanging="160"/>
        <w:spacing w:after="0" w:line="279" w:lineRule="auto"/>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absence of action or circumstance that would prevent the merger from qualifying as a “reorganization” under Section 368(a) of the Code;</w:t>
      </w:r>
    </w:p>
    <w:p>
      <w:pPr>
        <w:spacing w:after="0" w:line="48"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broker’s fees payable in connection with the merger;</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applicable laws;</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absence of certain changes or events; and</w:t>
      </w:r>
    </w:p>
    <w:p>
      <w:pPr>
        <w:spacing w:after="0" w:line="101" w:lineRule="exact"/>
        <w:rPr>
          <w:rFonts w:ascii="Times New Roman" w:cs="Times New Roman" w:eastAsia="Times New Roman" w:hAnsi="Times New Roman"/>
          <w:sz w:val="16"/>
          <w:szCs w:val="16"/>
          <w:color w:val="auto"/>
        </w:rPr>
      </w:pPr>
    </w:p>
    <w:p>
      <w:pPr>
        <w:ind w:left="1580" w:right="1339" w:hanging="160"/>
        <w:spacing w:after="0" w:line="279" w:lineRule="auto"/>
        <w:tabs>
          <w:tab w:leader="none" w:pos="1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accuracy of information supplied for inclusion in this proxy statement/prospectus and other similar documents.</w:t>
      </w:r>
    </w:p>
    <w:p>
      <w:pPr>
        <w:spacing w:after="0" w:line="84" w:lineRule="exact"/>
        <w:rPr>
          <w:sz w:val="20"/>
          <w:szCs w:val="20"/>
          <w:color w:val="auto"/>
        </w:rPr>
      </w:pPr>
    </w:p>
    <w:p>
      <w:pPr>
        <w:ind w:left="1100" w:right="899" w:firstLine="318"/>
        <w:spacing w:after="0" w:line="251" w:lineRule="auto"/>
        <w:rPr>
          <w:sz w:val="20"/>
          <w:szCs w:val="20"/>
          <w:color w:val="auto"/>
        </w:rPr>
      </w:pPr>
      <w:r>
        <w:rPr>
          <w:rFonts w:ascii="Times New Roman" w:cs="Times New Roman" w:eastAsia="Times New Roman" w:hAnsi="Times New Roman"/>
          <w:sz w:val="16"/>
          <w:szCs w:val="16"/>
          <w:color w:val="auto"/>
        </w:rPr>
        <w:t>Certain representations and warranties of United and Peach State are qualified as to knowledge, “materiality” or “material adverse effect.” For purposes of the merger agreement, a “material adverse effect,” when used in reference to United or Peach State, means any effect, change, event, circumstance, condition, occurrence or development that, either individually or in the aggregate, has had or would reasonably be expected to have a material adverse effect on (i) the business, assets, liabilities, properties, results of operations or financial condition of such party and its subsidiaries taken as a whole (provided that for purposes of clause (i), “material adverse effect” does not include the impact of (A) changes, after the date hereof, in U.S. generally accepted accounting principles or applicable regulatory accounting requirements, (B) changes, after the date of the merger agreement, in laws, rules or regulations of general applicability to companies in the industries in which such party and its subsidiaries operate, or interpretations thereof by courts or governmental authorities, (C) changes, after the date of the merger agreement, in global, national or regional political conditions (including the outbreak of war or acts of terrorism) or in economic or market (including equity, credit and debt markets, as well as changes in interest rates) conditions affecting the</w:t>
      </w:r>
    </w:p>
    <w:p>
      <w:pPr>
        <w:spacing w:after="0" w:line="200" w:lineRule="exact"/>
        <w:rPr>
          <w:sz w:val="20"/>
          <w:szCs w:val="20"/>
          <w:color w:val="auto"/>
        </w:rPr>
      </w:pPr>
    </w:p>
    <w:p>
      <w:pPr>
        <w:spacing w:after="0" w:line="3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spacing w:after="0" w:line="246" w:lineRule="auto"/>
        <w:rPr>
          <w:sz w:val="20"/>
          <w:szCs w:val="20"/>
          <w:color w:val="auto"/>
        </w:rPr>
      </w:pPr>
      <w:r>
        <w:rPr>
          <w:rFonts w:ascii="Times New Roman" w:cs="Times New Roman" w:eastAsia="Times New Roman" w:hAnsi="Times New Roman"/>
          <w:sz w:val="16"/>
          <w:szCs w:val="16"/>
          <w:color w:val="auto"/>
        </w:rPr>
        <w:t>financial services industry generally and not specifically relating to such party or its subsidiaries, (D) public disclosure of the transactions contemplated by the merger agreement or actions expressly required by the merger agreement or actions or omissions that are taken with the prior written consent of the other party,</w:t>
      </w:r>
    </w:p>
    <w:p>
      <w:pPr>
        <w:ind w:left="1100" w:right="899" w:firstLine="3"/>
        <w:spacing w:after="0" w:line="239" w:lineRule="auto"/>
        <w:tabs>
          <w:tab w:leader="none" w:pos="135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decline in the trading price of a party’s common stock or the failure, in and of itself, to meet earnings projections or internal financial forecasts (it being understood that the underlying cause of such decline or failure may be taken into account in determining whether a Material Adverse Effect has occurred), (F) the impact of the public disclosure of the merger agreement and the transactions contemplated thereby on relationships with customers or employees (including the loss of personnel subsequent to April 20, 2026), or</w:t>
      </w:r>
    </w:p>
    <w:p>
      <w:pPr>
        <w:spacing w:after="0" w:line="1" w:lineRule="exact"/>
        <w:rPr>
          <w:rFonts w:ascii="Times New Roman" w:cs="Times New Roman" w:eastAsia="Times New Roman" w:hAnsi="Times New Roman"/>
          <w:sz w:val="16"/>
          <w:szCs w:val="16"/>
          <w:color w:val="auto"/>
        </w:rPr>
      </w:pPr>
    </w:p>
    <w:p>
      <w:pPr>
        <w:ind w:left="1100" w:right="979" w:firstLine="3"/>
        <w:spacing w:after="0"/>
        <w:tabs>
          <w:tab w:leader="none" w:pos="137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natural disaster or any outbreak of any disease or other public health event; except, with respect to subclauses (A), (B), (C) and (G), to the extent that the effects of such change are materially disproportionately adverse to the business, properties, assets, liabilities, results of operations or financial condition of such party and its subsidiaries, taken as a whole, as compared to other companies in the industry in which such party and its subsidiaries operate) or (ii) the ability of such party to consummate the transactions contemplated by the merger agreement by January 22, 2027.</w:t>
      </w:r>
    </w:p>
    <w:p>
      <w:pPr>
        <w:spacing w:after="0" w:line="1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Covenants and Agreements</w:t>
      </w:r>
    </w:p>
    <w:p>
      <w:pPr>
        <w:spacing w:after="0" w:line="1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Conduct of Peach State’s Business Prior to the Completion of the Merger</w:t>
      </w:r>
    </w:p>
    <w:p>
      <w:pPr>
        <w:spacing w:after="0" w:line="140" w:lineRule="exact"/>
        <w:rPr>
          <w:sz w:val="20"/>
          <w:szCs w:val="20"/>
          <w:color w:val="auto"/>
        </w:rPr>
      </w:pPr>
    </w:p>
    <w:p>
      <w:pPr>
        <w:ind w:left="1100" w:right="939" w:firstLine="318"/>
        <w:spacing w:after="0" w:line="242" w:lineRule="auto"/>
        <w:rPr>
          <w:sz w:val="20"/>
          <w:szCs w:val="20"/>
          <w:color w:val="auto"/>
        </w:rPr>
      </w:pPr>
      <w:r>
        <w:rPr>
          <w:rFonts w:ascii="Times New Roman" w:cs="Times New Roman" w:eastAsia="Times New Roman" w:hAnsi="Times New Roman"/>
          <w:sz w:val="16"/>
          <w:szCs w:val="16"/>
          <w:color w:val="auto"/>
        </w:rPr>
        <w:t>Peach State has agreed that, prior to the effective time (or earlier termination of the merger agreement), subject to specified exceptions, it will, and will cause each of its subsidiaries to, (a) maintain its existence under applicable law, (b) conduct its business and operations in the ordinary and usual course of business and in a manner consistent with prior practice in all material respects and in accordance with applicable law and (c) use reasonable best efforts to maintain and preserve intact its business organization, employees, and business relationships.</w:t>
      </w:r>
    </w:p>
    <w:p>
      <w:pPr>
        <w:spacing w:after="0" w:line="102" w:lineRule="exact"/>
        <w:rPr>
          <w:sz w:val="20"/>
          <w:szCs w:val="20"/>
          <w:color w:val="auto"/>
        </w:rPr>
      </w:pPr>
    </w:p>
    <w:p>
      <w:pPr>
        <w:ind w:left="1100" w:right="939" w:firstLine="318"/>
        <w:spacing w:after="0" w:line="248" w:lineRule="auto"/>
        <w:rPr>
          <w:sz w:val="20"/>
          <w:szCs w:val="20"/>
          <w:color w:val="auto"/>
        </w:rPr>
      </w:pPr>
      <w:r>
        <w:rPr>
          <w:rFonts w:ascii="Times New Roman" w:cs="Times New Roman" w:eastAsia="Times New Roman" w:hAnsi="Times New Roman"/>
          <w:sz w:val="16"/>
          <w:szCs w:val="16"/>
          <w:color w:val="auto"/>
        </w:rPr>
        <w:t>Additionally, Peach State has undertaken further covenants. Prior to the effective time (or earlier termination of the merger agreement), subject to specified exceptions or as required by the merger agreement, Peach State may not, and Peach State may not permit any of its subsidiaries to, without the prior written consent of United, undertake the following:</w:t>
      </w:r>
    </w:p>
    <w:p>
      <w:pPr>
        <w:spacing w:after="0" w:line="61" w:lineRule="exact"/>
        <w:rPr>
          <w:sz w:val="20"/>
          <w:szCs w:val="20"/>
          <w:color w:val="auto"/>
        </w:rPr>
      </w:pPr>
    </w:p>
    <w:p>
      <w:pPr>
        <w:ind w:left="1580" w:hanging="160"/>
        <w:spacing w:after="0"/>
        <w:tabs>
          <w:tab w:leader="none" w:pos="1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its articles of incorporation or bylaws or comparable governing documents of its subsidiaries;</w:t>
      </w:r>
    </w:p>
    <w:p>
      <w:pPr>
        <w:spacing w:after="0" w:line="101" w:lineRule="exact"/>
        <w:rPr>
          <w:rFonts w:ascii="Times New Roman" w:cs="Times New Roman" w:eastAsia="Times New Roman" w:hAnsi="Times New Roman"/>
          <w:sz w:val="16"/>
          <w:szCs w:val="16"/>
          <w:color w:val="auto"/>
        </w:rPr>
      </w:pPr>
    </w:p>
    <w:p>
      <w:pPr>
        <w:ind w:left="1580" w:right="939" w:hanging="160"/>
        <w:spacing w:after="0" w:line="256" w:lineRule="auto"/>
        <w:tabs>
          <w:tab w:leader="none" w:pos="1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 split, combine or reclassify any capital stock, or make, declare, or pay any dividend, or make any other distribution on, or directly or indirectly redeem, purchase, or otherwise acquire, any shares of its capital stock, except that wholly-owned subsidiaries of Peach State may make dividends to Peach State and Peach State may declare a regular quarterly cash dividend on Peach State common stock not in excess of $0.05 per share;</w:t>
      </w:r>
    </w:p>
    <w:p>
      <w:pPr>
        <w:spacing w:after="0" w:line="67" w:lineRule="exact"/>
        <w:rPr>
          <w:rFonts w:ascii="Times New Roman" w:cs="Times New Roman" w:eastAsia="Times New Roman" w:hAnsi="Times New Roman"/>
          <w:sz w:val="16"/>
          <w:szCs w:val="16"/>
          <w:color w:val="auto"/>
        </w:rPr>
      </w:pPr>
    </w:p>
    <w:p>
      <w:pPr>
        <w:ind w:left="1580" w:right="979" w:hanging="160"/>
        <w:spacing w:after="0" w:line="263" w:lineRule="auto"/>
        <w:tabs>
          <w:tab w:leader="none" w:pos="1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lease, transfer, mortgage, encumber or otherwise dispose of any of its deposits, properties or assets or any business, other than assets that are not material, individually or in the aggregate, in the ordinary course of business consistent with past practice;</w:t>
      </w:r>
    </w:p>
    <w:p>
      <w:pPr>
        <w:spacing w:after="0" w:line="62" w:lineRule="exact"/>
        <w:rPr>
          <w:rFonts w:ascii="Times New Roman" w:cs="Times New Roman" w:eastAsia="Times New Roman" w:hAnsi="Times New Roman"/>
          <w:sz w:val="16"/>
          <w:szCs w:val="16"/>
          <w:color w:val="auto"/>
        </w:rPr>
      </w:pPr>
    </w:p>
    <w:p>
      <w:pPr>
        <w:ind w:left="1580" w:right="1279" w:hanging="160"/>
        <w:spacing w:after="0" w:line="263" w:lineRule="auto"/>
        <w:tabs>
          <w:tab w:leader="none" w:pos="1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announce an intention to acquire or enter into any agreements providing for any acquisitions of, direct or indirect control over any other business or entity or otherwise make an investment in any other business, entity or assets, with certain exceptions;</w:t>
      </w:r>
    </w:p>
    <w:p>
      <w:pPr>
        <w:spacing w:after="0" w:line="62" w:lineRule="exact"/>
        <w:rPr>
          <w:rFonts w:ascii="Times New Roman" w:cs="Times New Roman" w:eastAsia="Times New Roman" w:hAnsi="Times New Roman"/>
          <w:sz w:val="16"/>
          <w:szCs w:val="16"/>
          <w:color w:val="auto"/>
        </w:rPr>
      </w:pPr>
    </w:p>
    <w:p>
      <w:pPr>
        <w:ind w:left="1580" w:right="919" w:hanging="160"/>
        <w:spacing w:after="0" w:line="279" w:lineRule="auto"/>
        <w:tabs>
          <w:tab w:leader="none" w:pos="1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any indebtedness for borrowed money, other than in the ordinary course of business in respect of deposit liabilities, federal funds, borrowings from the Federal Reserve and repurchase agreements;</w:t>
      </w:r>
    </w:p>
    <w:p>
      <w:pPr>
        <w:spacing w:after="0" w:line="48" w:lineRule="exact"/>
        <w:rPr>
          <w:rFonts w:ascii="Times New Roman" w:cs="Times New Roman" w:eastAsia="Times New Roman" w:hAnsi="Times New Roman"/>
          <w:sz w:val="16"/>
          <w:szCs w:val="16"/>
          <w:color w:val="auto"/>
        </w:rPr>
      </w:pPr>
    </w:p>
    <w:p>
      <w:pPr>
        <w:ind w:left="1580" w:right="999" w:hanging="160"/>
        <w:spacing w:after="0" w:line="258" w:lineRule="auto"/>
        <w:tabs>
          <w:tab w:leader="none" w:pos="1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commit to make any capital expenditures in excess of $100,000 in the aggregate other than as contemplated by the merger agreement, provided that United will grant or deny its consent to emergency repairs of replacements necessary to prevent substantial deterioration of the condition of a property within two business days of its receipt of a written request from Peach State;</w:t>
      </w:r>
    </w:p>
    <w:p>
      <w:pPr>
        <w:spacing w:after="0" w:line="66" w:lineRule="exact"/>
        <w:rPr>
          <w:rFonts w:ascii="Times New Roman" w:cs="Times New Roman" w:eastAsia="Times New Roman" w:hAnsi="Times New Roman"/>
          <w:sz w:val="16"/>
          <w:szCs w:val="16"/>
          <w:color w:val="auto"/>
        </w:rPr>
      </w:pPr>
    </w:p>
    <w:p>
      <w:pPr>
        <w:ind w:left="1580" w:right="959" w:hanging="160"/>
        <w:spacing w:after="0" w:line="256" w:lineRule="auto"/>
        <w:tabs>
          <w:tab w:leader="none" w:pos="1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or settle any material legal proceedings, other than in the ordinary course of business, or settlements which (i) solely involve monetary remedies in an amount not to exceed $50,000 individually or $150,000 in the aggregate, (ii) reasonably would not be expected to prohibit or restrict Peach State or its subsidiaries from operating its respective businesses in the ordinary course and (iii) does not involve any admission of wrongdoing by Peach State or its subsidiaries;</w:t>
      </w:r>
    </w:p>
    <w:p>
      <w:pPr>
        <w:spacing w:after="0" w:line="3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80" w:right="919" w:hanging="160"/>
        <w:spacing w:after="0" w:line="258" w:lineRule="auto"/>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to its accounting methods, principles or practices, except as required by accounting standards, law or applicable accounting requirements of any governmental authority, in each case, including changes in the interpretation or enforcement thereof, other than as contemplated by the merger agreement;</w:t>
      </w:r>
    </w:p>
    <w:p>
      <w:pPr>
        <w:spacing w:after="0" w:line="66" w:lineRule="exact"/>
        <w:rPr>
          <w:rFonts w:ascii="Times New Roman" w:cs="Times New Roman" w:eastAsia="Times New Roman" w:hAnsi="Times New Roman"/>
          <w:sz w:val="16"/>
          <w:szCs w:val="16"/>
          <w:color w:val="auto"/>
        </w:rPr>
      </w:pPr>
    </w:p>
    <w:p>
      <w:pPr>
        <w:ind w:left="1580" w:right="899" w:hanging="160"/>
        <w:spacing w:after="0" w:line="253" w:lineRule="auto"/>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required under any Peach State benefit plan in effect as of the date of the merger agreement or as may be required by law, (i) increase the compensation or benefits payable to any current or former employee, officer, director or individual independent contractor, except for nonmaterial increases made in the ordinary course of business consistent with past practice (ii) pay or award, or commit to pay or award, any bonuses or incentive compensation, (iii) establish, amend or terminate any employee benefit plan or collective bargaining agreement (other than ordinary course amendments) or (iv) take any action to accelerate any employee payment or benefit, or the funding thereof;</w:t>
      </w:r>
    </w:p>
    <w:p>
      <w:pPr>
        <w:spacing w:after="0" w:line="262" w:lineRule="exact"/>
        <w:rPr>
          <w:rFonts w:ascii="Times New Roman" w:cs="Times New Roman" w:eastAsia="Times New Roman" w:hAnsi="Times New Roman"/>
          <w:sz w:val="16"/>
          <w:szCs w:val="16"/>
          <w:color w:val="auto"/>
        </w:rPr>
      </w:pPr>
    </w:p>
    <w:p>
      <w:pPr>
        <w:ind w:left="1580" w:right="959" w:hanging="160"/>
        <w:spacing w:after="0" w:line="258" w:lineRule="auto"/>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transfer or promote any employees or other service provider of Peach State or any of its subsidiaries, who has or will have a target annual compensation opportunity of $100,000 or more, or terminate the employment of any employee or other service provider of Peach State or any of its subsidiaries other than for cause;</w:t>
      </w:r>
    </w:p>
    <w:p>
      <w:pPr>
        <w:spacing w:after="0" w:line="54" w:lineRule="exact"/>
        <w:rPr>
          <w:rFonts w:ascii="Times New Roman" w:cs="Times New Roman" w:eastAsia="Times New Roman" w:hAnsi="Times New Roman"/>
          <w:sz w:val="16"/>
          <w:szCs w:val="16"/>
          <w:color w:val="auto"/>
        </w:rPr>
      </w:pPr>
    </w:p>
    <w:p>
      <w:pPr>
        <w:ind w:left="1580" w:right="959" w:hanging="160"/>
        <w:spacing w:after="0" w:line="256" w:lineRule="auto"/>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any equity interests or awards, issue, sell, transfer, encumber or otherwise permit to become outstanding any capital stock or voting securities or equity interests or securities convertible into capital stock or other equity or voting security, issue, transfer or otherwise dispose of any capital stock of Peach State or its subsidiaries, or enter into any agreement with respect to the sale or voting of its capital stock;</w:t>
      </w:r>
    </w:p>
    <w:p>
      <w:pPr>
        <w:spacing w:after="0" w:line="67" w:lineRule="exact"/>
        <w:rPr>
          <w:rFonts w:ascii="Times New Roman" w:cs="Times New Roman" w:eastAsia="Times New Roman" w:hAnsi="Times New Roman"/>
          <w:sz w:val="16"/>
          <w:szCs w:val="16"/>
          <w:color w:val="auto"/>
        </w:rPr>
      </w:pPr>
    </w:p>
    <w:p>
      <w:pPr>
        <w:ind w:left="1580" w:right="919" w:hanging="160"/>
        <w:spacing w:after="0" w:line="256" w:lineRule="auto"/>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change any material tax election different from its prior course of practice, settle or compromise any material tax liability, fail to file any material tax return when due (taking extensions into account), enter into any closing agreement with respect to taxes, file any amended tax return (other than with respect to employee retention tax credits) or surrender any right to claim a material tax refund, offset or other reduction in material tax liability;</w:t>
      </w:r>
    </w:p>
    <w:p>
      <w:pPr>
        <w:spacing w:after="0" w:line="55" w:lineRule="exact"/>
        <w:rPr>
          <w:rFonts w:ascii="Times New Roman" w:cs="Times New Roman" w:eastAsia="Times New Roman" w:hAnsi="Times New Roman"/>
          <w:sz w:val="16"/>
          <w:szCs w:val="16"/>
          <w:color w:val="auto"/>
        </w:rPr>
      </w:pPr>
    </w:p>
    <w:p>
      <w:pPr>
        <w:ind w:left="1580" w:right="1219" w:hanging="160"/>
        <w:spacing w:after="0" w:line="279" w:lineRule="auto"/>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 to use commercially reasonable efforts to maintain existing insurance policies or comparable replacement policies;</w:t>
      </w:r>
    </w:p>
    <w:p>
      <w:pPr>
        <w:spacing w:after="0" w:line="48" w:lineRule="exact"/>
        <w:rPr>
          <w:rFonts w:ascii="Times New Roman" w:cs="Times New Roman" w:eastAsia="Times New Roman" w:hAnsi="Times New Roman"/>
          <w:sz w:val="16"/>
          <w:szCs w:val="16"/>
          <w:color w:val="auto"/>
        </w:rPr>
      </w:pPr>
    </w:p>
    <w:p>
      <w:pPr>
        <w:jc w:val="both"/>
        <w:ind w:left="1580" w:right="1499" w:hanging="160"/>
        <w:spacing w:after="0" w:line="263" w:lineRule="auto"/>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new line of business or change in any material respect its lending, investment, underwriting, risk and asset liability management, interest rate or fee pricing with respect to depository accounts, hedging and other material banking and operating policies or practices;</w:t>
      </w:r>
    </w:p>
    <w:p>
      <w:pPr>
        <w:spacing w:after="0" w:line="62" w:lineRule="exact"/>
        <w:rPr>
          <w:rFonts w:ascii="Times New Roman" w:cs="Times New Roman" w:eastAsia="Times New Roman" w:hAnsi="Times New Roman"/>
          <w:sz w:val="16"/>
          <w:szCs w:val="16"/>
          <w:color w:val="auto"/>
        </w:rPr>
      </w:pPr>
    </w:p>
    <w:p>
      <w:pPr>
        <w:ind w:left="1580" w:right="939" w:hanging="160"/>
        <w:spacing w:after="0" w:line="256" w:lineRule="auto"/>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sell or transfer any securities or investment assets, other than ordinary course reinvestment of dividends and interest generated by its investment securities portfolio (other than obligations of the government of the United States or agencies of the United States or state or local governments having maturities of not more than five years and which municipal obligations have been assigned a rating of A2 or better by Moody’s Investors Service or A or better by Standard and Poor’s);</w:t>
      </w:r>
    </w:p>
    <w:p>
      <w:pPr>
        <w:spacing w:after="0" w:line="55" w:lineRule="exact"/>
        <w:rPr>
          <w:rFonts w:ascii="Times New Roman" w:cs="Times New Roman" w:eastAsia="Times New Roman" w:hAnsi="Times New Roman"/>
          <w:sz w:val="16"/>
          <w:szCs w:val="16"/>
          <w:color w:val="auto"/>
        </w:rPr>
      </w:pPr>
    </w:p>
    <w:p>
      <w:pPr>
        <w:ind w:left="1580" w:right="919" w:hanging="160"/>
        <w:spacing w:after="0" w:line="279" w:lineRule="auto"/>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accept any brokered deposit having a maturity longer than one year, except in the ordinary course of business;</w:t>
      </w:r>
    </w:p>
    <w:p>
      <w:pPr>
        <w:spacing w:after="0" w:line="48" w:lineRule="exact"/>
        <w:rPr>
          <w:rFonts w:ascii="Times New Roman" w:cs="Times New Roman" w:eastAsia="Times New Roman" w:hAnsi="Times New Roman"/>
          <w:sz w:val="16"/>
          <w:szCs w:val="16"/>
          <w:color w:val="auto"/>
        </w:rPr>
      </w:pPr>
    </w:p>
    <w:p>
      <w:pPr>
        <w:ind w:left="1580" w:right="919" w:hanging="160"/>
        <w:spacing w:after="0" w:line="279" w:lineRule="auto"/>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any application to establish, relocate or terminate the operations of, any banking office, except as required by law or for any change that may be requested by United;</w:t>
      </w:r>
    </w:p>
    <w:p>
      <w:pPr>
        <w:spacing w:after="0" w:line="48" w:lineRule="exact"/>
        <w:rPr>
          <w:rFonts w:ascii="Times New Roman" w:cs="Times New Roman" w:eastAsia="Times New Roman" w:hAnsi="Times New Roman"/>
          <w:sz w:val="16"/>
          <w:szCs w:val="16"/>
          <w:color w:val="auto"/>
        </w:rPr>
      </w:pPr>
    </w:p>
    <w:p>
      <w:pPr>
        <w:ind w:left="1580" w:right="1139" w:hanging="160"/>
        <w:spacing w:after="0" w:line="263" w:lineRule="auto"/>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restructure or change its investment securities portfolio or the manner in which the portfolio is classified or reported other than in the ordinary course of business and consistent with past practices;</w:t>
      </w:r>
    </w:p>
    <w:p>
      <w:pPr>
        <w:spacing w:after="0" w:line="62"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any material respect its credit policies and collateral eligibility requirements and standards;</w:t>
      </w:r>
    </w:p>
    <w:p>
      <w:pPr>
        <w:spacing w:after="0" w:line="90" w:lineRule="exact"/>
        <w:rPr>
          <w:rFonts w:ascii="Times New Roman" w:cs="Times New Roman" w:eastAsia="Times New Roman" w:hAnsi="Times New Roman"/>
          <w:sz w:val="16"/>
          <w:szCs w:val="16"/>
          <w:color w:val="auto"/>
        </w:rPr>
      </w:pPr>
    </w:p>
    <w:p>
      <w:pPr>
        <w:ind w:left="1580" w:right="1099" w:hanging="160"/>
        <w:spacing w:after="0" w:line="255" w:lineRule="auto"/>
        <w:tabs>
          <w:tab w:leader="none" w:pos="1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certain exceptions, without prior consultation with United, make, acquire, or issue a commitment for (i) any commercial real estate loan in a principal amount greater than $7,000,000, (ii) any residential loan to be retained in its loan portfolio in a principal amount greater than</w:t>
      </w:r>
    </w:p>
    <w:p>
      <w:pPr>
        <w:spacing w:after="0" w:line="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$1,500,000 or (iii) any commercial or industrial loan in a principal amount in excess of $2,000,000;</w:t>
      </w:r>
    </w:p>
    <w:p>
      <w:pPr>
        <w:spacing w:after="0" w:line="85" w:lineRule="exact"/>
        <w:rPr>
          <w:sz w:val="20"/>
          <w:szCs w:val="20"/>
          <w:color w:val="auto"/>
        </w:rPr>
      </w:pPr>
    </w:p>
    <w:p>
      <w:pPr>
        <w:ind w:left="1580" w:right="1159" w:hanging="160"/>
        <w:spacing w:after="0" w:line="279" w:lineRule="auto"/>
        <w:tabs>
          <w:tab w:leader="none" w:pos="15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prior consultation with United, extend additional funds to a loan qualified as “criticized,” except for protective advances and extensions of credit of up to $500,000;</w:t>
      </w:r>
    </w:p>
    <w:p>
      <w:pPr>
        <w:spacing w:after="0" w:line="2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80" w:hanging="160"/>
        <w:spacing w:after="0"/>
        <w:tabs>
          <w:tab w:leader="none" w:pos="15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renew, amend or terminate any material contract, with certain exceptions;</w:t>
      </w:r>
    </w:p>
    <w:p>
      <w:pPr>
        <w:spacing w:after="0" w:line="101" w:lineRule="exact"/>
        <w:rPr>
          <w:rFonts w:ascii="Times New Roman" w:cs="Times New Roman" w:eastAsia="Times New Roman" w:hAnsi="Times New Roman"/>
          <w:sz w:val="16"/>
          <w:szCs w:val="16"/>
          <w:color w:val="auto"/>
        </w:rPr>
      </w:pPr>
    </w:p>
    <w:p>
      <w:pPr>
        <w:ind w:left="1580" w:right="939" w:hanging="160"/>
        <w:spacing w:after="0" w:line="263" w:lineRule="auto"/>
        <w:tabs>
          <w:tab w:leader="none" w:pos="15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a plan of complete or partial liquidation or dissolution or enter into any restructuring or reorganization, except for the dissolution of 332 Spring, LLC, a wholly-owned inactive subsidiary of Peach State, pursuant to the terms of the merger agreement;</w:t>
      </w:r>
    </w:p>
    <w:p>
      <w:pPr>
        <w:spacing w:after="0" w:line="62" w:lineRule="exact"/>
        <w:rPr>
          <w:rFonts w:ascii="Times New Roman" w:cs="Times New Roman" w:eastAsia="Times New Roman" w:hAnsi="Times New Roman"/>
          <w:sz w:val="16"/>
          <w:szCs w:val="16"/>
          <w:color w:val="auto"/>
        </w:rPr>
      </w:pPr>
    </w:p>
    <w:p>
      <w:pPr>
        <w:ind w:left="1580" w:right="899" w:hanging="160"/>
        <w:spacing w:after="0" w:line="258" w:lineRule="auto"/>
        <w:tabs>
          <w:tab w:leader="none" w:pos="15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or otherwise acquire any assets or incur any liabilities other than assets or liabilities that are not material, individually or in the aggregate, and that are acquired or incurred in the ordinary course of business, consistent with past practices and policies, and such actions are subject to certain other restrictions;</w:t>
      </w:r>
    </w:p>
    <w:p>
      <w:pPr>
        <w:spacing w:after="0" w:line="66" w:lineRule="exact"/>
        <w:rPr>
          <w:rFonts w:ascii="Times New Roman" w:cs="Times New Roman" w:eastAsia="Times New Roman" w:hAnsi="Times New Roman"/>
          <w:sz w:val="16"/>
          <w:szCs w:val="16"/>
          <w:color w:val="auto"/>
        </w:rPr>
      </w:pPr>
    </w:p>
    <w:p>
      <w:pPr>
        <w:ind w:left="1580" w:right="1199" w:hanging="160"/>
        <w:spacing w:after="0" w:line="279" w:lineRule="auto"/>
        <w:tabs>
          <w:tab w:leader="none" w:pos="15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or knowingly fail to take any action that could reasonably be expected to prevent the merger from qualifying as a “reorganization” within the meaning of Section 368(a) of the Code;</w:t>
      </w:r>
    </w:p>
    <w:p>
      <w:pPr>
        <w:spacing w:after="0" w:line="36" w:lineRule="exact"/>
        <w:rPr>
          <w:rFonts w:ascii="Times New Roman" w:cs="Times New Roman" w:eastAsia="Times New Roman" w:hAnsi="Times New Roman"/>
          <w:sz w:val="16"/>
          <w:szCs w:val="16"/>
          <w:color w:val="auto"/>
        </w:rPr>
      </w:pPr>
    </w:p>
    <w:p>
      <w:pPr>
        <w:jc w:val="both"/>
        <w:ind w:left="1580" w:right="1179" w:hanging="160"/>
        <w:spacing w:after="0" w:line="263" w:lineRule="auto"/>
        <w:tabs>
          <w:tab w:leader="none" w:pos="15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that is intended or likely to (i) result in the failure of any closing condition of the merger or to otherwise delay the consummation of the merger, or (ii) delay or affect the ability of Peach State to obtain any regulatory approvals required to complete the merger;</w:t>
      </w:r>
    </w:p>
    <w:p>
      <w:pPr>
        <w:spacing w:after="0" w:line="62" w:lineRule="exact"/>
        <w:rPr>
          <w:rFonts w:ascii="Times New Roman" w:cs="Times New Roman" w:eastAsia="Times New Roman" w:hAnsi="Times New Roman"/>
          <w:sz w:val="16"/>
          <w:szCs w:val="16"/>
          <w:color w:val="auto"/>
        </w:rPr>
      </w:pPr>
    </w:p>
    <w:p>
      <w:pPr>
        <w:ind w:left="1580" w:right="1139" w:hanging="160"/>
        <w:spacing w:after="0" w:line="279" w:lineRule="auto"/>
        <w:tabs>
          <w:tab w:leader="none" w:pos="15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or fail to take any action that would cause Peach State’s representations and warranties in the merger agreement to be inaccurate in any material respect; or</w:t>
      </w:r>
    </w:p>
    <w:p>
      <w:pPr>
        <w:spacing w:after="0" w:line="48" w:lineRule="exact"/>
        <w:rPr>
          <w:rFonts w:ascii="Times New Roman" w:cs="Times New Roman" w:eastAsia="Times New Roman" w:hAnsi="Times New Roman"/>
          <w:sz w:val="16"/>
          <w:szCs w:val="16"/>
          <w:color w:val="auto"/>
        </w:rPr>
      </w:pPr>
    </w:p>
    <w:p>
      <w:pPr>
        <w:ind w:left="1580" w:right="1199" w:hanging="160"/>
        <w:spacing w:after="0" w:line="263" w:lineRule="auto"/>
        <w:tabs>
          <w:tab w:leader="none" w:pos="15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to take, make any commitment to take, or adopt any resolutions of the Peach State, or its subsidiaries, board of directors or shareholders in support of, any of the actions prohibited by the merger agreement.</w:t>
      </w:r>
    </w:p>
    <w:p>
      <w:pPr>
        <w:spacing w:after="0" w:line="1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Conduct of United’s Business Prior to the Completion of the Merger</w:t>
      </w:r>
    </w:p>
    <w:p>
      <w:pPr>
        <w:spacing w:after="0" w:line="140" w:lineRule="exact"/>
        <w:rPr>
          <w:sz w:val="20"/>
          <w:szCs w:val="20"/>
          <w:color w:val="auto"/>
        </w:rPr>
      </w:pPr>
    </w:p>
    <w:p>
      <w:pPr>
        <w:ind w:left="1100" w:right="1259" w:firstLine="318"/>
        <w:spacing w:after="0" w:line="263" w:lineRule="auto"/>
        <w:rPr>
          <w:sz w:val="20"/>
          <w:szCs w:val="20"/>
          <w:color w:val="auto"/>
        </w:rPr>
      </w:pPr>
      <w:r>
        <w:rPr>
          <w:rFonts w:ascii="Times New Roman" w:cs="Times New Roman" w:eastAsia="Times New Roman" w:hAnsi="Times New Roman"/>
          <w:sz w:val="16"/>
          <w:szCs w:val="16"/>
          <w:color w:val="auto"/>
        </w:rPr>
        <w:t>United has agreed that, prior to the effective time (or earlier termination of the merger agreement), subject to specified exceptions, it will not, and will cause each of its subsidiaries not to:</w:t>
      </w:r>
    </w:p>
    <w:p>
      <w:pPr>
        <w:spacing w:after="0" w:line="49" w:lineRule="exact"/>
        <w:rPr>
          <w:sz w:val="20"/>
          <w:szCs w:val="20"/>
          <w:color w:val="auto"/>
        </w:rPr>
      </w:pPr>
    </w:p>
    <w:p>
      <w:pPr>
        <w:ind w:left="1580" w:right="1299" w:hanging="160"/>
        <w:spacing w:after="0" w:line="263" w:lineRule="auto"/>
        <w:tabs>
          <w:tab w:leader="none" w:pos="15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knowingly take any action or fail to take any action that is intended to or is reasonably likely to result in either the merger or the bank merger failing to qualify as a “reorganization” under Section 368(a) of the Code;</w:t>
      </w:r>
    </w:p>
    <w:p>
      <w:pPr>
        <w:spacing w:after="0" w:line="62" w:lineRule="exact"/>
        <w:rPr>
          <w:rFonts w:ascii="Times New Roman" w:cs="Times New Roman" w:eastAsia="Times New Roman" w:hAnsi="Times New Roman"/>
          <w:sz w:val="16"/>
          <w:szCs w:val="16"/>
          <w:color w:val="auto"/>
        </w:rPr>
      </w:pPr>
    </w:p>
    <w:p>
      <w:pPr>
        <w:ind w:left="1580" w:right="939" w:hanging="160"/>
        <w:spacing w:after="0" w:line="261" w:lineRule="auto"/>
        <w:tabs>
          <w:tab w:leader="none" w:pos="15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knowingly take any action or fail to take any action that is reasonably likely to prevent or materially delay or materially impair United’s ability to consummate the merger or the transactions contemplated by the merger agreement or United Community Bank’s ability to consummate the bank merger; or</w:t>
      </w:r>
    </w:p>
    <w:p>
      <w:pPr>
        <w:spacing w:after="0" w:line="257" w:lineRule="exact"/>
        <w:rPr>
          <w:rFonts w:ascii="Times New Roman" w:cs="Times New Roman" w:eastAsia="Times New Roman" w:hAnsi="Times New Roman"/>
          <w:sz w:val="16"/>
          <w:szCs w:val="16"/>
          <w:color w:val="auto"/>
        </w:rPr>
      </w:pPr>
    </w:p>
    <w:p>
      <w:pPr>
        <w:ind w:left="1580" w:right="1039" w:hanging="160"/>
        <w:spacing w:after="0" w:line="263" w:lineRule="auto"/>
        <w:tabs>
          <w:tab w:leader="none" w:pos="15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to take, make any commitment to take, agree to take, make any commitment to take, or adopt any resolutions of its board of directors in support of any of the action prohibited by the merger agreement.</w:t>
      </w:r>
    </w:p>
    <w:p>
      <w:pPr>
        <w:spacing w:after="0" w:line="1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Regulatory Matters</w:t>
      </w:r>
    </w:p>
    <w:p>
      <w:pPr>
        <w:spacing w:after="0" w:line="140" w:lineRule="exact"/>
        <w:rPr>
          <w:sz w:val="20"/>
          <w:szCs w:val="20"/>
          <w:color w:val="auto"/>
        </w:rPr>
      </w:pPr>
    </w:p>
    <w:p>
      <w:pPr>
        <w:ind w:left="1100" w:right="919" w:firstLine="318"/>
        <w:spacing w:after="0"/>
        <w:rPr>
          <w:sz w:val="20"/>
          <w:szCs w:val="20"/>
          <w:color w:val="auto"/>
        </w:rPr>
      </w:pPr>
      <w:r>
        <w:rPr>
          <w:rFonts w:ascii="Times New Roman" w:cs="Times New Roman" w:eastAsia="Times New Roman" w:hAnsi="Times New Roman"/>
          <w:sz w:val="16"/>
          <w:szCs w:val="16"/>
          <w:color w:val="auto"/>
        </w:rPr>
        <w:t>United and Peach State have agreed to cooperate and use their respective reasonable best efforts to promptly prepare and file, or cause to be prepared and filed, all necessary documentation, to effect all applications, notices, petitions and filings, to obtain as promptly as practicable all approvals, authorizations, actions or non -actions, waivers, permits, consents, qualifications and exemptions of all third parties and governmental entities which are reasonably necessary or advisable to consummate the transactions contemplated by the merger agreement and to comply with the terms and conditions of all such approvals, actions or non-actions, waivers, consents, qualifications and exemptions of all such government entities. However, in no event will United or Peach State be required to take any action (and Peach State will not be permitted to take any action), or commit to take any action or agree to any condition or restriction, in connection with obtaining such approvals, authorizations, actions or non-actions, waivers, permits, consents, qualifications and exemptions from any governmental entities that would reasonably be expected to have a material adverse effect on Peach State, United, the combined company and their respective subsidiaries, taken as a whole, after giving effect to the merger (measured on a scale relative to Peach State and its subsidiaries, taken as a whole). United and Peach State have also agreed to furnish each other with all information reasonably necessary or advisable in connection with any statement, filing, notice or application to any governmental entity in connection with the merger, as well as to promptly keep each other apprised of the status of matters related to the completion of the transactions contemplated by the merger agreement.</w:t>
      </w:r>
    </w:p>
    <w:p>
      <w:pPr>
        <w:spacing w:after="0" w:line="200" w:lineRule="exact"/>
        <w:rPr>
          <w:sz w:val="20"/>
          <w:szCs w:val="20"/>
          <w:color w:val="auto"/>
        </w:rPr>
      </w:pPr>
    </w:p>
    <w:p>
      <w:pPr>
        <w:spacing w:after="0" w:line="3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Employee Benefit Matters</w:t>
      </w:r>
    </w:p>
    <w:p>
      <w:pPr>
        <w:spacing w:after="0" w:line="140" w:lineRule="exact"/>
        <w:rPr>
          <w:sz w:val="20"/>
          <w:szCs w:val="20"/>
          <w:color w:val="auto"/>
        </w:rPr>
      </w:pPr>
    </w:p>
    <w:p>
      <w:pPr>
        <w:ind w:left="1100" w:right="899" w:firstLine="318"/>
        <w:spacing w:after="0"/>
        <w:rPr>
          <w:sz w:val="20"/>
          <w:szCs w:val="20"/>
          <w:color w:val="auto"/>
        </w:rPr>
      </w:pPr>
      <w:r>
        <w:rPr>
          <w:rFonts w:ascii="Times New Roman" w:cs="Times New Roman" w:eastAsia="Times New Roman" w:hAnsi="Times New Roman"/>
          <w:sz w:val="16"/>
          <w:szCs w:val="16"/>
          <w:color w:val="auto"/>
        </w:rPr>
        <w:t>For a period of 12 months following the completion of the merger, United will provide each continuing Peach State employee with (i) salary and target annual cash incentive opportunities that are no less favorable than those provided to such employee prior to the completion of the merger and (ii) other employee benefits (subject to standard exceptions) that are substantially comparable in the aggregate to those provided to such employee prior to the completion to the merger. Additionally, following the completion of the merger, United will (i) recognize each continuing Peach State employee’s prior service for purposes of eligibility, vesting, and level of benefits, including with any predecessor entity, subject to standard exceptions (ii) with respect to any health or welfare plan of United in which a continuing Peach State employee is eligible to participate following the completion of the merger, use commercially reasonable efforts to waive all pre-existing conditions and waiting periods with respect to participation and coverage requirements under any employee benefit plans of United to the extent comparable benefits were provided under the Peach State benefit plans, and, (iii) to the extent permissible, recognize any health or other welfare benefit plan expenses incurred by Peach State employees under the Peach State benefits plans in the year of completion of the merger for purposes of the comparable employee benefit plans of United.</w:t>
      </w:r>
    </w:p>
    <w:p>
      <w:pPr>
        <w:spacing w:after="0" w:line="105" w:lineRule="exact"/>
        <w:rPr>
          <w:sz w:val="20"/>
          <w:szCs w:val="20"/>
          <w:color w:val="auto"/>
        </w:rPr>
      </w:pPr>
    </w:p>
    <w:p>
      <w:pPr>
        <w:ind w:left="1100" w:right="919" w:firstLine="318"/>
        <w:spacing w:after="0" w:line="248" w:lineRule="auto"/>
        <w:rPr>
          <w:sz w:val="20"/>
          <w:szCs w:val="20"/>
          <w:color w:val="auto"/>
        </w:rPr>
      </w:pPr>
      <w:r>
        <w:rPr>
          <w:rFonts w:ascii="Times New Roman" w:cs="Times New Roman" w:eastAsia="Times New Roman" w:hAnsi="Times New Roman"/>
          <w:sz w:val="16"/>
          <w:szCs w:val="16"/>
          <w:color w:val="auto"/>
        </w:rPr>
        <w:t>United has also agreed to provide each Peach State employee whose employment is terminated by United during the 12-month period following the completion of the merger, and under circumstances that would entitle such employee to severance under United’s broad-based severance plan, with severance benefits equal to the severance benefits provided under the United severance plan, subject to the employee’s execution of a general release of claims.</w:t>
      </w:r>
    </w:p>
    <w:p>
      <w:pPr>
        <w:spacing w:after="0" w:line="15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Director and Officer Indemnification and Insurance</w:t>
      </w:r>
    </w:p>
    <w:p>
      <w:pPr>
        <w:spacing w:after="0" w:line="140" w:lineRule="exact"/>
        <w:rPr>
          <w:sz w:val="20"/>
          <w:szCs w:val="20"/>
          <w:color w:val="auto"/>
        </w:rPr>
      </w:pPr>
    </w:p>
    <w:p>
      <w:pPr>
        <w:ind w:left="1100" w:right="959" w:firstLine="318"/>
        <w:spacing w:after="0" w:line="239" w:lineRule="auto"/>
        <w:rPr>
          <w:sz w:val="20"/>
          <w:szCs w:val="20"/>
          <w:color w:val="auto"/>
        </w:rPr>
      </w:pPr>
      <w:r>
        <w:rPr>
          <w:rFonts w:ascii="Times New Roman" w:cs="Times New Roman" w:eastAsia="Times New Roman" w:hAnsi="Times New Roman"/>
          <w:sz w:val="16"/>
          <w:szCs w:val="16"/>
          <w:color w:val="auto"/>
        </w:rPr>
        <w:t>The merger agreement provides that following completion of the merger and for a period of six years thereafter, the surviving corporation will indemnify and hold harmless, to the fullest extent permitted by applicable law, all present and former directors or officers of Peach State and its subsidiaries (in their capacity as such) against any costs and liabilities, whether arising before or after the effective time, based on or arising out of the fact that such person is or was a director or officer of Peach State or its subsidiaries, and pertaining to matters existing or occurring at or prior to the effective time, and will also promptly (and in any event within a reasonable period) advance expenses to such persons to the fullest extent permitted by applicable law, provided that such person provides an undertaking to repay such advances if it is ultimately determined that such person is not entitled to indemnification. United and Peach State and its subsidiaries must each reasonably cooperate in the defense of any such claim, suit, action, proceeding or investigation.</w:t>
      </w:r>
    </w:p>
    <w:p>
      <w:pPr>
        <w:spacing w:after="0" w:line="110" w:lineRule="exact"/>
        <w:rPr>
          <w:sz w:val="20"/>
          <w:szCs w:val="20"/>
          <w:color w:val="auto"/>
        </w:rPr>
      </w:pPr>
    </w:p>
    <w:p>
      <w:pPr>
        <w:ind w:left="1100" w:right="919" w:firstLine="318"/>
        <w:spacing w:after="0"/>
        <w:rPr>
          <w:sz w:val="20"/>
          <w:szCs w:val="20"/>
          <w:color w:val="auto"/>
        </w:rPr>
      </w:pPr>
      <w:r>
        <w:rPr>
          <w:rFonts w:ascii="Times New Roman" w:cs="Times New Roman" w:eastAsia="Times New Roman" w:hAnsi="Times New Roman"/>
          <w:sz w:val="16"/>
          <w:szCs w:val="16"/>
          <w:color w:val="auto"/>
        </w:rPr>
        <w:t>The merger agreement requires the surviving corporation to maintain, for a period of six years after completion of the merger, Peach State’s existing directors’ and officers’ liability insurance policy, or policies which provide coverage in an amount not less than the existing coverage and to have other terms not less favorable to the insured persons than the directors’ and officers’ liability insurance policy currently maintained by Peach State, with respect to matters occurring prior to the effective time, subject to a maximum expendable amount equal to 200% of the current annual premiums paid by Peach State, which we refer to as the base amount. In lieu of the foregoing, the surviving corporation may obtain a prepaid “tail” policy with the same terms, conditions and coverage to that described in the preceding sentence, provided that Peach State shall in good faith cooperate with United prior to the effective time with respect to the procurement of such “tail” policy, including acquiring such “tail” policy through an insurance broker designated by United and shall not acquire any “tail” policy without United’s prior written consent (which consent will not be unreasonably withheld, conditioned or delayed). If prior to closing, Peach State has not acquired such a “tail” policy, United may purchase a “tail” directors’ and officers’ liability insurance policy. Such United-purchased “tail” policy will provide coverage in an amount not less than the existing coverage and to have other terms not less favorable to the insured persons than the directors’ and officers’ liability insurance policy currently maintained by Peach State, provided that in no event shall the cost of the “tail” policy exceed the base amount.</w:t>
      </w:r>
    </w:p>
    <w:p>
      <w:pPr>
        <w:spacing w:after="0" w:line="3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Certain Additional Covenants</w:t>
      </w:r>
    </w:p>
    <w:p>
      <w:pPr>
        <w:spacing w:after="0" w:line="140" w:lineRule="exact"/>
        <w:rPr>
          <w:sz w:val="20"/>
          <w:szCs w:val="20"/>
          <w:color w:val="auto"/>
        </w:rPr>
      </w:pPr>
    </w:p>
    <w:p>
      <w:pPr>
        <w:ind w:left="1100" w:right="999" w:firstLine="318"/>
        <w:spacing w:after="0" w:line="263" w:lineRule="auto"/>
        <w:rPr>
          <w:sz w:val="20"/>
          <w:szCs w:val="20"/>
          <w:color w:val="auto"/>
        </w:rPr>
      </w:pPr>
      <w:r>
        <w:rPr>
          <w:rFonts w:ascii="Times New Roman" w:cs="Times New Roman" w:eastAsia="Times New Roman" w:hAnsi="Times New Roman"/>
          <w:sz w:val="16"/>
          <w:szCs w:val="16"/>
          <w:color w:val="auto"/>
        </w:rPr>
        <w:t>The merger agreement also contains additional covenants, including, among others, covenants relating to the filing of this proxy statement/prospectus, obtaining required consents, the listing of the shares of</w:t>
      </w:r>
    </w:p>
    <w:p>
      <w:pPr>
        <w:spacing w:after="0" w:line="3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219"/>
        <w:spacing w:after="0" w:line="248" w:lineRule="auto"/>
        <w:rPr>
          <w:sz w:val="20"/>
          <w:szCs w:val="20"/>
          <w:color w:val="auto"/>
        </w:rPr>
      </w:pPr>
      <w:r>
        <w:rPr>
          <w:rFonts w:ascii="Times New Roman" w:cs="Times New Roman" w:eastAsia="Times New Roman" w:hAnsi="Times New Roman"/>
          <w:sz w:val="16"/>
          <w:szCs w:val="16"/>
          <w:color w:val="auto"/>
        </w:rPr>
        <w:t>United common stock to be issued in the merger, access to information and Peach State’s delivery of financial statements, public announcements with respect to the transactions contemplated by the merger agreement, the dissolution of 332 Spring, LLC, a wholly-owned inactive subsidiary of Peach State, conversion of informational systems, declaration of dividends, carrying out required domain name or account transfer procedures and litigation in connection with the merger agreement.</w:t>
      </w:r>
    </w:p>
    <w:p>
      <w:pPr>
        <w:spacing w:after="0" w:line="15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Peach State Shareholder Meeting</w:t>
      </w:r>
    </w:p>
    <w:p>
      <w:pPr>
        <w:spacing w:after="0" w:line="140" w:lineRule="exact"/>
        <w:rPr>
          <w:sz w:val="20"/>
          <w:szCs w:val="20"/>
          <w:color w:val="auto"/>
        </w:rPr>
      </w:pPr>
    </w:p>
    <w:p>
      <w:pPr>
        <w:ind w:left="1100" w:right="979" w:firstLine="318"/>
        <w:spacing w:after="0" w:line="241" w:lineRule="auto"/>
        <w:rPr>
          <w:sz w:val="20"/>
          <w:szCs w:val="20"/>
          <w:color w:val="auto"/>
        </w:rPr>
      </w:pPr>
      <w:r>
        <w:rPr>
          <w:rFonts w:ascii="Times New Roman" w:cs="Times New Roman" w:eastAsia="Times New Roman" w:hAnsi="Times New Roman"/>
          <w:sz w:val="16"/>
          <w:szCs w:val="16"/>
          <w:color w:val="auto"/>
        </w:rPr>
        <w:t>Peach State has agreed to hold a special meeting of its shareholders for the purpose of voting upon the adoption and approval of the merger agreement and other related matters as soon as reasonably practicable. Except to the extent that the Peach State board of directors has made an adverse recommendation change, the Peach State board of directors is required to use reasonable best efforts in accordance with applicable laws and Peach State’s governing documents to obtain from its shareholders the vote required to adopt and approve the merger agreement, including by communicating to its shareholders its recommendation (and including such recommendation in this proxy statement/prospectus) that they adopt and approve the merger agreement and the transactions contemplated thereby.</w:t>
      </w:r>
    </w:p>
    <w:p>
      <w:pPr>
        <w:spacing w:after="0" w:line="106" w:lineRule="exact"/>
        <w:rPr>
          <w:sz w:val="20"/>
          <w:szCs w:val="20"/>
          <w:color w:val="auto"/>
        </w:rPr>
      </w:pPr>
    </w:p>
    <w:p>
      <w:pPr>
        <w:ind w:left="1100" w:right="899" w:firstLine="318"/>
        <w:spacing w:after="0" w:line="256" w:lineRule="auto"/>
        <w:rPr>
          <w:sz w:val="20"/>
          <w:szCs w:val="20"/>
          <w:color w:val="auto"/>
        </w:rPr>
      </w:pPr>
      <w:r>
        <w:rPr>
          <w:rFonts w:ascii="Times New Roman" w:cs="Times New Roman" w:eastAsia="Times New Roman" w:hAnsi="Times New Roman"/>
          <w:sz w:val="16"/>
          <w:szCs w:val="16"/>
          <w:color w:val="auto"/>
        </w:rPr>
        <w:t>Notwithstanding any Peach State change in recommendation, unless the merger agreement has been terminated in accordance with its terms, Peach State is required to convene a meeting of its shareholders and to submit the merger agreement to a vote of such shareholders.</w:t>
      </w:r>
    </w:p>
    <w:p>
      <w:pPr>
        <w:spacing w:after="0" w:line="1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Agreement Not to Solicit Other Offers</w:t>
      </w:r>
    </w:p>
    <w:p>
      <w:pPr>
        <w:spacing w:after="0" w:line="140" w:lineRule="exact"/>
        <w:rPr>
          <w:sz w:val="20"/>
          <w:szCs w:val="20"/>
          <w:color w:val="auto"/>
        </w:rPr>
      </w:pPr>
    </w:p>
    <w:p>
      <w:pPr>
        <w:ind w:left="1100" w:right="919" w:firstLine="318"/>
        <w:spacing w:after="0" w:line="238" w:lineRule="auto"/>
        <w:rPr>
          <w:sz w:val="20"/>
          <w:szCs w:val="20"/>
          <w:color w:val="auto"/>
        </w:rPr>
      </w:pPr>
      <w:r>
        <w:rPr>
          <w:rFonts w:ascii="Times New Roman" w:cs="Times New Roman" w:eastAsia="Times New Roman" w:hAnsi="Times New Roman"/>
          <w:sz w:val="16"/>
          <w:szCs w:val="16"/>
          <w:color w:val="auto"/>
        </w:rPr>
        <w:t>Peach State has agreed that it will not, and will cause its directors, officers, employees, advisors, representatives and affiliates not to, and will use its reasonable best efforts to cause its other employees, and any investment banker, financial adviser, attorney, accountant or other representative retained by it or any of its affiliates not to, directly or indirectly, (i) initiate, solicit, knowingly encourage or facilitate inquiries or proposals with respect to, (ii) engage or participate in any negotiations concerning, enter into any letter of intent, agreement in principle, memorandum of understanding, merger, acquisition, option, joint venture, partnership or other agreement or any other commitment or understanding providing for or otherwise contemplating or (iii) provide any confidential or nonpublic information or data to, or have or participate in any discussions with, any person relating to, any acquisition proposal (including with respect to any inquiries regarding, or the making of, any proposal the consummation of which would constitute an acquisition proposal). For purposes of the merger agreement, an “acquisition proposal” means, other than the transactions contemplated by the merger agreement, any bona fide offer, proposal, or inquiry relating to, or any third-party indication of interest in, any (A) merger, consolidation, share exchange, tender offer, business combination or similar transaction involving Peach State pursuant to which any third party acquires or would acquire, directly or indirectly, assets of Peach State or any of its subsidiaries representing 25% or more of the consolidated assets of Peach State and its subsidiaries, taken as a whole, (B) sale or other disposition of 25% or more of the consolidated assets of Peach State and its subsidiaries, taken as a whole, or 25% or more of any class of equity or voting securities of Peach State or Peach State Bank</w:t>
      </w:r>
    </w:p>
    <w:p>
      <w:pPr>
        <w:spacing w:after="0" w:line="10" w:lineRule="exact"/>
        <w:rPr>
          <w:sz w:val="20"/>
          <w:szCs w:val="20"/>
          <w:color w:val="auto"/>
        </w:rPr>
      </w:pPr>
    </w:p>
    <w:p>
      <w:pPr>
        <w:ind w:left="1100" w:right="1119" w:firstLine="3"/>
        <w:spacing w:after="0" w:line="244" w:lineRule="auto"/>
        <w:tabs>
          <w:tab w:leader="none" w:pos="1364"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recapitalization, restructuring, liquidation, dissolution or other similar transaction with respect to Peach State or (D) transaction which is similar in form, substance, or purpose to any of the transactions listed in (A) – (C) above.</w:t>
      </w:r>
    </w:p>
    <w:p>
      <w:pPr>
        <w:spacing w:after="0" w:line="100" w:lineRule="exact"/>
        <w:rPr>
          <w:sz w:val="20"/>
          <w:szCs w:val="20"/>
          <w:color w:val="auto"/>
        </w:rPr>
      </w:pPr>
    </w:p>
    <w:p>
      <w:pPr>
        <w:ind w:left="1100" w:right="919" w:firstLine="318"/>
        <w:spacing w:after="0" w:line="251" w:lineRule="auto"/>
        <w:rPr>
          <w:sz w:val="20"/>
          <w:szCs w:val="20"/>
          <w:color w:val="auto"/>
        </w:rPr>
      </w:pPr>
      <w:r>
        <w:rPr>
          <w:rFonts w:ascii="Times New Roman" w:cs="Times New Roman" w:eastAsia="Times New Roman" w:hAnsi="Times New Roman"/>
          <w:sz w:val="16"/>
          <w:szCs w:val="16"/>
          <w:color w:val="auto"/>
        </w:rPr>
        <w:t>However, in the event that prior to the approval of the merger agreement by Peach State’s shareholders, Peach State receives an unsolicited bona fide written acquisition proposal that was not the result of a breach of its obligation not to solicit pursuant to the merger agreement, and Peach State’s board of directors reasonably concludes in good faith that there is a reasonable likelihood that such acquisition proposal constitutes or is reasonably likely to result in a superior proposal, it may, and may permit its officers and representatives to, furnish or cause to be furnished nonpublic information or data and participate in negotiations or discussions to the extent that its board of directors concludes in good faith (after receiving the advice of its outside counsel) that failure to take such actions would constitute, or would be reasonably likely to result in, a breach of its fiduciary duties under applicable law, provided that, prior to providing any such nonpublic information, Peach State enters into a confidentiality agreement with such third party on terms no less favorable to it than the confidentiality agreement between United and Peach State. For purposes of the merger agreement, a “superior proposal” means any bona fide written acquisition proposal</w:t>
      </w:r>
    </w:p>
    <w:p>
      <w:pPr>
        <w:spacing w:after="0" w:line="3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59"/>
        <w:spacing w:after="0" w:line="242" w:lineRule="auto"/>
        <w:rPr>
          <w:sz w:val="20"/>
          <w:szCs w:val="20"/>
          <w:color w:val="auto"/>
        </w:rPr>
      </w:pPr>
      <w:r>
        <w:rPr>
          <w:rFonts w:ascii="Times New Roman" w:cs="Times New Roman" w:eastAsia="Times New Roman" w:hAnsi="Times New Roman"/>
          <w:sz w:val="16"/>
          <w:szCs w:val="16"/>
          <w:color w:val="auto"/>
        </w:rPr>
        <w:t>made by a third party, which, upon acceptance by Peach State, would create a legally binding obligation of such third party (subject to regulatory approval) to consummate the acquisition proposal, on terms that Peach State’s board of directors determines in its good faith judgment, after consultation with its outside legal counsel and financial advisor, (A) would, if consummated, result in the acquisition of all, but not less than all, of the issued and outstanding shares of Peach State common stock or all, or substantially all, of the assets of Peach State and its subsidiaries on a consolidated basis, and (B) would result in a transaction that</w:t>
      </w:r>
    </w:p>
    <w:p>
      <w:pPr>
        <w:spacing w:after="0" w:line="1" w:lineRule="exact"/>
        <w:rPr>
          <w:sz w:val="20"/>
          <w:szCs w:val="20"/>
          <w:color w:val="auto"/>
        </w:rPr>
      </w:pPr>
    </w:p>
    <w:p>
      <w:pPr>
        <w:ind w:left="1100" w:right="939" w:firstLine="3"/>
        <w:spacing w:after="0"/>
        <w:tabs>
          <w:tab w:leader="none" w:pos="1337"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involves consideration to the Peach State shareholders that is more favorable, from a financial point of view, than the consideration to be paid to the Peach State shareholders pursuant to the merger agreement, considering, among other things, the nature of the consideration being offered and any material regulatory approvals or other risks associated with the timing of the proposed transaction beyond or in addition to those specifically contemplated by the merger agreement, (2) is, in light of the other terms of such proposal, more favorable to the Peach State shareholders than the merger and the other transactions contemplated by the merger agreement and (3) is reasonably likely to be completed on the terms proposed, in each case taking into account all legal, financial, regulatory and other aspects of the proposal.</w:t>
      </w:r>
    </w:p>
    <w:p>
      <w:pPr>
        <w:spacing w:after="0" w:line="106" w:lineRule="exact"/>
        <w:rPr>
          <w:sz w:val="20"/>
          <w:szCs w:val="20"/>
          <w:color w:val="auto"/>
        </w:rPr>
      </w:pPr>
    </w:p>
    <w:p>
      <w:pPr>
        <w:ind w:left="1100" w:right="919" w:firstLine="318"/>
        <w:spacing w:after="0"/>
        <w:rPr>
          <w:sz w:val="20"/>
          <w:szCs w:val="20"/>
          <w:color w:val="auto"/>
        </w:rPr>
      </w:pPr>
      <w:r>
        <w:rPr>
          <w:rFonts w:ascii="Times New Roman" w:cs="Times New Roman" w:eastAsia="Times New Roman" w:hAnsi="Times New Roman"/>
          <w:sz w:val="16"/>
          <w:szCs w:val="16"/>
          <w:color w:val="auto"/>
        </w:rPr>
        <w:t>Peach State will immediately cease and cause to be terminated any activities, discussions or negotiations conducted before the date of the merger agreement with any person other than United and its subsidiaries with respect to any acquisition proposal and will promptly (and in any event within one business day) after the execution of the merger agreement terminate access of the third party to any data room containing any information of or relating to Peach State and its subsidiaries. Peach State will promptly (and in any event within twenty-four hours) advise United following receipt of any inquiry regarding, or the making of, any proposal the consummation of which would constitute an acquisition proposal and will provide United an unredacted copy of any such acquisition proposal and any draft agreements, proposals or other materials received from or on behalf of the person making such inquiry or acquisition proposal, and will keep United promptly apprised of any related developments, discussions, and negotiations on a reasonably current basis. Peach State will provide three business days written notice to United prior to entering into a confidentiality agreement with any third party.</w:t>
      </w:r>
    </w:p>
    <w:p>
      <w:pPr>
        <w:spacing w:after="0" w:line="35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Adverse Recommendation Change</w:t>
      </w:r>
    </w:p>
    <w:p>
      <w:pPr>
        <w:spacing w:after="0" w:line="128" w:lineRule="exact"/>
        <w:rPr>
          <w:sz w:val="20"/>
          <w:szCs w:val="20"/>
          <w:color w:val="auto"/>
        </w:rPr>
      </w:pPr>
    </w:p>
    <w:p>
      <w:pPr>
        <w:ind w:left="1100" w:right="1079" w:firstLine="318"/>
        <w:spacing w:after="0" w:line="242" w:lineRule="auto"/>
        <w:rPr>
          <w:sz w:val="20"/>
          <w:szCs w:val="20"/>
          <w:color w:val="auto"/>
        </w:rPr>
      </w:pPr>
      <w:r>
        <w:rPr>
          <w:rFonts w:ascii="Times New Roman" w:cs="Times New Roman" w:eastAsia="Times New Roman" w:hAnsi="Times New Roman"/>
          <w:sz w:val="16"/>
          <w:szCs w:val="16"/>
          <w:color w:val="auto"/>
        </w:rPr>
        <w:t>The Peach State board of directors is required not to (i) fail to recommend to the Peach State shareholders that they adopt and approve the merger agreement and the transactions contemplated thereby or fail to include such recommendation in this proxy statement/prospectus, (ii) change, qualify, withhold, withdraw or modify, or publicly propose to change, qualify, withhold, withdraw or modify, in a manner adverse to United, such recommendation, (iii) fail to recommend against acceptance of a tender offer or exchange offer constituting an acquisition proposal within ten business days after the commencement of such tender offer or exchange offer or (iv) adopt, approve or recommend, or publicly propose to adopt, approve or recommend to the Peach State shareholders, an acquisition proposal (each of the actions described in (i) – (iv) being referred to as a Peach State adverse recommendation change).</w:t>
      </w:r>
    </w:p>
    <w:p>
      <w:pPr>
        <w:spacing w:after="0" w:line="105" w:lineRule="exact"/>
        <w:rPr>
          <w:sz w:val="20"/>
          <w:szCs w:val="20"/>
          <w:color w:val="auto"/>
        </w:rPr>
      </w:pPr>
    </w:p>
    <w:p>
      <w:pPr>
        <w:ind w:left="1100" w:right="899" w:firstLine="318"/>
        <w:spacing w:after="0" w:line="239" w:lineRule="auto"/>
        <w:rPr>
          <w:sz w:val="20"/>
          <w:szCs w:val="20"/>
          <w:color w:val="auto"/>
        </w:rPr>
      </w:pPr>
      <w:r>
        <w:rPr>
          <w:rFonts w:ascii="Times New Roman" w:cs="Times New Roman" w:eastAsia="Times New Roman" w:hAnsi="Times New Roman"/>
          <w:sz w:val="16"/>
          <w:szCs w:val="16"/>
          <w:color w:val="auto"/>
        </w:rPr>
        <w:t>Notwithstanding the above, if the Peach State board of directors concludes in good faith (and based upon consultation with outside legal counsel and, with respect to financial matters, its financial advisor) that an acquisition proposal constitutes a superior proposal and that recommending Peach State shareholders adopt and approve the merger agreement and/or including such recommendation in the proxy statement/​ prospectus would constitute, or would be reasonably likely to result in, a breach of its fiduciary obligations to the Peach State shareholders, the Peach State board of directors may prior to the Peach State shareholder vote, withdraw, qualify, amend or modify its recommendation and submit the merger agreement to the Peach State shareholders as such (although the resolutions approving the merger agreement may not be rescinded or amended), in which event it may communicate its basis for its lack of a recommendation to the Peach State shareholders in the proxy statement/prospectus or an appropriate amendment or supplement thereto to the extent required by law; provided, however, that the Peach State board of directors may not take such action unless (i) Peach State has complied with its non-solicitation obligations under the merger agreement and (ii) (A) the Peach State board of directors determines in good faith (after consultation with its outside counsel and its financial advisor) that such superior proposal has been made and has not been withdrawn and continues to be a superior proposal after taking into account all adjustments to the terms of the merger agreement formally proposed in writing that may be offered by United; (B) Peach State has given United at least five business days’ prior written notice of its intention to take such action, including</w:t>
      </w:r>
    </w:p>
    <w:p>
      <w:pPr>
        <w:spacing w:after="0" w:line="3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59"/>
        <w:spacing w:after="0" w:line="242" w:lineRule="auto"/>
        <w:rPr>
          <w:sz w:val="20"/>
          <w:szCs w:val="20"/>
          <w:color w:val="auto"/>
        </w:rPr>
      </w:pPr>
      <w:r>
        <w:rPr>
          <w:rFonts w:ascii="Times New Roman" w:cs="Times New Roman" w:eastAsia="Times New Roman" w:hAnsi="Times New Roman"/>
          <w:sz w:val="16"/>
          <w:szCs w:val="16"/>
          <w:color w:val="auto"/>
        </w:rPr>
        <w:t>information and documentation relating to the superior proposal; and (C) before making such adverse recommendation change, Peach State has negotiated, and has caused its representatives to negotiate in good faith with United during such notice period to the extent United wishes to negotiate, to enable United to revise the terms of the merger agreement such that it would cause such superior proposal to no longer constitute a superior proposal, which such terms Peach State and its board of directors must consider in good faith. In the event of any material revisions to an acquisition proposal that could have an impact, influence, or other effect on the Peach State board of directors’ decision or discussion with respect to whether such proposal is a superior proposal, Peach State must deliver a new written notice to United and United will have a three business day match right as set forth above.</w:t>
      </w:r>
    </w:p>
    <w:p>
      <w:pPr>
        <w:spacing w:after="0" w:line="1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Conditions to Complete the Merger</w:t>
      </w:r>
    </w:p>
    <w:p>
      <w:pPr>
        <w:spacing w:after="0" w:line="140" w:lineRule="exact"/>
        <w:rPr>
          <w:sz w:val="20"/>
          <w:szCs w:val="20"/>
          <w:color w:val="auto"/>
        </w:rPr>
      </w:pPr>
    </w:p>
    <w:p>
      <w:pPr>
        <w:ind w:left="1100" w:right="1099" w:firstLine="318"/>
        <w:spacing w:after="0" w:line="263" w:lineRule="auto"/>
        <w:rPr>
          <w:sz w:val="20"/>
          <w:szCs w:val="20"/>
          <w:color w:val="auto"/>
        </w:rPr>
      </w:pPr>
      <w:r>
        <w:rPr>
          <w:rFonts w:ascii="Times New Roman" w:cs="Times New Roman" w:eastAsia="Times New Roman" w:hAnsi="Times New Roman"/>
          <w:sz w:val="16"/>
          <w:szCs w:val="16"/>
          <w:color w:val="auto"/>
        </w:rPr>
        <w:t>The respective obligations of each of United and Peach State to complete the merger is subject to the satisfaction or waiver of the following conditions:</w:t>
      </w:r>
    </w:p>
    <w:p>
      <w:pPr>
        <w:spacing w:after="0" w:line="49" w:lineRule="exact"/>
        <w:rPr>
          <w:sz w:val="20"/>
          <w:szCs w:val="20"/>
          <w:color w:val="auto"/>
        </w:rPr>
      </w:pPr>
    </w:p>
    <w:p>
      <w:pPr>
        <w:ind w:left="1580" w:hanging="160"/>
        <w:spacing w:after="0"/>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and approval of the merger agreement by Peach State’s shareholders;</w:t>
      </w:r>
    </w:p>
    <w:p>
      <w:pPr>
        <w:spacing w:after="0" w:line="101" w:lineRule="exact"/>
        <w:rPr>
          <w:rFonts w:ascii="Times New Roman" w:cs="Times New Roman" w:eastAsia="Times New Roman" w:hAnsi="Times New Roman"/>
          <w:sz w:val="16"/>
          <w:szCs w:val="16"/>
          <w:color w:val="auto"/>
        </w:rPr>
      </w:pPr>
    </w:p>
    <w:p>
      <w:pPr>
        <w:ind w:left="1580" w:right="1539" w:hanging="160"/>
        <w:spacing w:after="0" w:line="279" w:lineRule="auto"/>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authorization for listing on the NYSE of the United common stock to be issued upon the consummation of the merger, subject to official notice of issuance;</w:t>
      </w:r>
    </w:p>
    <w:p>
      <w:pPr>
        <w:spacing w:after="0" w:line="48" w:lineRule="exact"/>
        <w:rPr>
          <w:rFonts w:ascii="Times New Roman" w:cs="Times New Roman" w:eastAsia="Times New Roman" w:hAnsi="Times New Roman"/>
          <w:sz w:val="16"/>
          <w:szCs w:val="16"/>
          <w:color w:val="auto"/>
        </w:rPr>
      </w:pPr>
    </w:p>
    <w:p>
      <w:pPr>
        <w:ind w:left="1580" w:right="979" w:hanging="160"/>
        <w:spacing w:after="0" w:line="257" w:lineRule="auto"/>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and effectiveness of the requisite regulatory approvals contemplated by the merger agreement and the expiration of all statutory waiting periods in respect thereof, without the imposition of any condition or restriction that would reasonably be expected to have a material adverse effect on the combined company and its subsidiaries, taken as a whole, after giving effect to the merger;</w:t>
      </w:r>
    </w:p>
    <w:p>
      <w:pPr>
        <w:spacing w:after="0" w:line="260" w:lineRule="exact"/>
        <w:rPr>
          <w:rFonts w:ascii="Times New Roman" w:cs="Times New Roman" w:eastAsia="Times New Roman" w:hAnsi="Times New Roman"/>
          <w:sz w:val="16"/>
          <w:szCs w:val="16"/>
          <w:color w:val="auto"/>
        </w:rPr>
      </w:pPr>
    </w:p>
    <w:p>
      <w:pPr>
        <w:ind w:left="1580" w:right="959" w:hanging="160"/>
        <w:spacing w:after="0" w:line="263" w:lineRule="auto"/>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the registration statement of which this proxy statement/prospectus is a part, and the absence of any stop order suspending the effectiveness of such registration statement (or any proceedings for that purpose initiated or threatened by the SEC and not withdrawn);</w:t>
      </w:r>
    </w:p>
    <w:p>
      <w:pPr>
        <w:spacing w:after="0" w:line="62" w:lineRule="exact"/>
        <w:rPr>
          <w:rFonts w:ascii="Times New Roman" w:cs="Times New Roman" w:eastAsia="Times New Roman" w:hAnsi="Times New Roman"/>
          <w:sz w:val="16"/>
          <w:szCs w:val="16"/>
          <w:color w:val="auto"/>
        </w:rPr>
      </w:pPr>
    </w:p>
    <w:p>
      <w:pPr>
        <w:ind w:left="1580" w:right="919" w:hanging="160"/>
        <w:spacing w:after="0" w:line="254" w:lineRule="auto"/>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absence of any order, injunction, or decree by any court or agency of competent jurisdiction or other legal restraint or prohibition preventing the completion of the merger or any of the other transactions contemplated by the merger agreement, and the absence of any law, statute, rule, regulation, order, injunction or decree enacted, entered, promulgated, or enforced by any governmental entity which prohibits or makes illegal consummation of the merger or any of the other transactions contemplated by the merger agreement;</w:t>
      </w:r>
    </w:p>
    <w:p>
      <w:pPr>
        <w:spacing w:after="0" w:line="70" w:lineRule="exact"/>
        <w:rPr>
          <w:rFonts w:ascii="Times New Roman" w:cs="Times New Roman" w:eastAsia="Times New Roman" w:hAnsi="Times New Roman"/>
          <w:sz w:val="16"/>
          <w:szCs w:val="16"/>
          <w:color w:val="auto"/>
        </w:rPr>
      </w:pPr>
    </w:p>
    <w:p>
      <w:pPr>
        <w:ind w:left="1580" w:right="979" w:hanging="160"/>
        <w:spacing w:after="0" w:line="263" w:lineRule="auto"/>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by such party of a written opinion from its respective tax counsel dated as of the closing date of the merger to the effect that the merger will qualify as a “reorganization” within the meaning of Section 368(a) of the Code;</w:t>
      </w:r>
    </w:p>
    <w:p>
      <w:pPr>
        <w:spacing w:after="0" w:line="62" w:lineRule="exact"/>
        <w:rPr>
          <w:rFonts w:ascii="Times New Roman" w:cs="Times New Roman" w:eastAsia="Times New Roman" w:hAnsi="Times New Roman"/>
          <w:sz w:val="16"/>
          <w:szCs w:val="16"/>
          <w:color w:val="auto"/>
        </w:rPr>
      </w:pPr>
    </w:p>
    <w:p>
      <w:pPr>
        <w:ind w:left="1580" w:right="939" w:hanging="160"/>
        <w:spacing w:after="0" w:line="256" w:lineRule="auto"/>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accuracy of the representations and warranties of the other party contained in the merger agreement as of the date of the merger agreement and as of the closing date of the merger, without giving effect to any qualification as to materiality or material adverse effect provided in the merger agreement (with certain exceptions) (and the receipt by such party of an officer’s certificate from the other party to such effect);</w:t>
      </w:r>
    </w:p>
    <w:p>
      <w:pPr>
        <w:spacing w:after="0" w:line="55" w:lineRule="exact"/>
        <w:rPr>
          <w:rFonts w:ascii="Times New Roman" w:cs="Times New Roman" w:eastAsia="Times New Roman" w:hAnsi="Times New Roman"/>
          <w:sz w:val="16"/>
          <w:szCs w:val="16"/>
          <w:color w:val="auto"/>
        </w:rPr>
      </w:pPr>
    </w:p>
    <w:p>
      <w:pPr>
        <w:jc w:val="both"/>
        <w:ind w:left="1580" w:right="899" w:hanging="160"/>
        <w:spacing w:after="0" w:line="263" w:lineRule="auto"/>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by the other party in all material respects of all obligations required to be performed by it under the merger agreement at or prior to the closing date of the merger (and the receipt by such party of an officer’s certificate from the other party to such effect); and</w:t>
      </w:r>
    </w:p>
    <w:p>
      <w:pPr>
        <w:spacing w:after="0" w:line="62" w:lineRule="exact"/>
        <w:rPr>
          <w:rFonts w:ascii="Times New Roman" w:cs="Times New Roman" w:eastAsia="Times New Roman" w:hAnsi="Times New Roman"/>
          <w:sz w:val="16"/>
          <w:szCs w:val="16"/>
          <w:color w:val="auto"/>
        </w:rPr>
      </w:pPr>
    </w:p>
    <w:p>
      <w:pPr>
        <w:ind w:left="1580" w:right="1059" w:hanging="160"/>
        <w:spacing w:after="0" w:line="263" w:lineRule="auto"/>
        <w:tabs>
          <w:tab w:leader="none" w:pos="1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absence of any change, state of facts, event, development or effect that has had, or would reasonably be expected to have, either individually or in the aggregate, a material adverse effect on either party since the date of the merger agreement.</w:t>
      </w:r>
    </w:p>
    <w:p>
      <w:pPr>
        <w:spacing w:after="0" w:line="9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United’s obligation to complete the merger is further subject to:</w:t>
      </w:r>
    </w:p>
    <w:p>
      <w:pPr>
        <w:spacing w:after="0" w:line="102" w:lineRule="exact"/>
        <w:rPr>
          <w:sz w:val="20"/>
          <w:szCs w:val="20"/>
          <w:color w:val="auto"/>
        </w:rPr>
      </w:pPr>
    </w:p>
    <w:p>
      <w:pPr>
        <w:ind w:left="1580" w:right="1079" w:hanging="160"/>
        <w:spacing w:after="0" w:line="279" w:lineRule="auto"/>
        <w:tabs>
          <w:tab w:leader="none" w:pos="1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more than 5% of the aggregate outstanding shares of Peach State stock having properly notified Peach State of their intent to exercise appraisal rights under applicable law;</w:t>
      </w:r>
    </w:p>
    <w:p>
      <w:pPr>
        <w:spacing w:after="0" w:line="48" w:lineRule="exact"/>
        <w:rPr>
          <w:rFonts w:ascii="Times New Roman" w:cs="Times New Roman" w:eastAsia="Times New Roman" w:hAnsi="Times New Roman"/>
          <w:sz w:val="16"/>
          <w:szCs w:val="16"/>
          <w:color w:val="auto"/>
        </w:rPr>
      </w:pPr>
    </w:p>
    <w:p>
      <w:pPr>
        <w:ind w:left="1580" w:right="1019" w:hanging="160"/>
        <w:spacing w:after="0" w:line="263" w:lineRule="auto"/>
        <w:tabs>
          <w:tab w:leader="none" w:pos="1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properly executed FIRPTA certificate from Peach State stating that shares of capital stock of Peach State do not constitute “United States real property interests” under Section 897(c) the Code; and</w:t>
      </w:r>
    </w:p>
    <w:p>
      <w:pPr>
        <w:spacing w:after="0" w:line="3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80" w:right="1559" w:hanging="160"/>
        <w:spacing w:after="0" w:line="279" w:lineRule="auto"/>
        <w:tabs>
          <w:tab w:leader="none" w:pos="1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evidence of the dissolution of 332 Spring, LLC from Peach State, in form and substance acceptable to United.</w:t>
      </w:r>
    </w:p>
    <w:p>
      <w:pPr>
        <w:spacing w:after="0" w:line="84" w:lineRule="exact"/>
        <w:rPr>
          <w:sz w:val="20"/>
          <w:szCs w:val="20"/>
          <w:color w:val="auto"/>
        </w:rPr>
      </w:pPr>
    </w:p>
    <w:p>
      <w:pPr>
        <w:ind w:left="1100" w:right="1099" w:firstLine="318"/>
        <w:spacing w:after="0" w:line="261" w:lineRule="auto"/>
        <w:rPr>
          <w:sz w:val="20"/>
          <w:szCs w:val="20"/>
          <w:color w:val="auto"/>
        </w:rPr>
      </w:pPr>
      <w:r>
        <w:rPr>
          <w:rFonts w:ascii="Times New Roman" w:cs="Times New Roman" w:eastAsia="Times New Roman" w:hAnsi="Times New Roman"/>
          <w:sz w:val="16"/>
          <w:szCs w:val="16"/>
          <w:color w:val="auto"/>
        </w:rPr>
        <w:t>Neither United nor Peach State can provide assurance as to when or if all of the conditions to the merger can or will be satisfied or waived by the appropriate party. As of the date of this proxy statement/​ prospectus, neither United nor Peach State has reason to believe that any of these conditions will not be satisfied.</w:t>
      </w:r>
    </w:p>
    <w:p>
      <w:pPr>
        <w:spacing w:after="0" w:line="3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Termination of the Merger Agreement</w:t>
      </w:r>
    </w:p>
    <w:p>
      <w:pPr>
        <w:spacing w:after="0" w:line="140" w:lineRule="exact"/>
        <w:rPr>
          <w:sz w:val="20"/>
          <w:szCs w:val="20"/>
          <w:color w:val="auto"/>
        </w:rPr>
      </w:pPr>
    </w:p>
    <w:p>
      <w:pPr>
        <w:ind w:left="1100" w:right="979" w:firstLine="318"/>
        <w:spacing w:after="0" w:line="263" w:lineRule="auto"/>
        <w:rPr>
          <w:sz w:val="20"/>
          <w:szCs w:val="20"/>
          <w:color w:val="auto"/>
        </w:rPr>
      </w:pPr>
      <w:r>
        <w:rPr>
          <w:rFonts w:ascii="Times New Roman" w:cs="Times New Roman" w:eastAsia="Times New Roman" w:hAnsi="Times New Roman"/>
          <w:sz w:val="16"/>
          <w:szCs w:val="16"/>
          <w:color w:val="auto"/>
        </w:rPr>
        <w:t>The merger agreement may be terminated at any time before the effective time, whether before or after adoption and approval by Peach State shareholders of the merger has been obtained, in the following circumstances:</w:t>
      </w:r>
    </w:p>
    <w:p>
      <w:pPr>
        <w:spacing w:after="0" w:line="62" w:lineRule="exact"/>
        <w:rPr>
          <w:sz w:val="20"/>
          <w:szCs w:val="20"/>
          <w:color w:val="auto"/>
        </w:rPr>
      </w:pPr>
    </w:p>
    <w:p>
      <w:pPr>
        <w:ind w:left="1580" w:hanging="160"/>
        <w:spacing w:after="0"/>
        <w:tabs>
          <w:tab w:leader="none" w:pos="15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written consent of United and Peach State; or</w:t>
      </w:r>
    </w:p>
    <w:p>
      <w:pPr>
        <w:spacing w:after="0" w:line="113"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United or Peach State:</w:t>
      </w:r>
    </w:p>
    <w:p>
      <w:pPr>
        <w:spacing w:after="0" w:line="125" w:lineRule="exact"/>
        <w:rPr>
          <w:rFonts w:ascii="Times New Roman" w:cs="Times New Roman" w:eastAsia="Times New Roman" w:hAnsi="Times New Roman"/>
          <w:sz w:val="16"/>
          <w:szCs w:val="16"/>
          <w:color w:val="auto"/>
        </w:rPr>
      </w:pPr>
    </w:p>
    <w:p>
      <w:pPr>
        <w:ind w:left="1900" w:right="899" w:hanging="162"/>
        <w:spacing w:after="0" w:line="253" w:lineRule="auto"/>
        <w:tabs>
          <w:tab w:leader="none" w:pos="190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governmental entity that must grant a requisite regulatory approval has denied approval of the merger or the bank merger and such denial has become final and non-appealable, or an application for any such regulatory approval is permanently withdrawn at the request of a governmental agency; provided that this right to terminate is not available to a party whose failure or the failure of any of its affiliates to fulfill any of its obligations (excluding representations and warranties) under the merger agreement has been the cause or resulted in the aforementioned failure to obtain regulatory approval;</w:t>
      </w:r>
    </w:p>
    <w:p>
      <w:pPr>
        <w:spacing w:after="0" w:line="83" w:lineRule="exact"/>
        <w:rPr>
          <w:rFonts w:ascii="Times New Roman" w:cs="Times New Roman" w:eastAsia="Times New Roman" w:hAnsi="Times New Roman"/>
          <w:sz w:val="16"/>
          <w:szCs w:val="16"/>
          <w:color w:val="auto"/>
        </w:rPr>
      </w:pPr>
    </w:p>
    <w:p>
      <w:pPr>
        <w:ind w:left="1900" w:right="899" w:hanging="162"/>
        <w:spacing w:after="0" w:line="263" w:lineRule="auto"/>
        <w:tabs>
          <w:tab w:leader="none" w:pos="190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approval by Peach State shareholders of the merger proposal is not obtained (provided that this right to terminate is not available if Peach State is in breach of its non-solicitation or shareholder meeting obligations);</w:t>
      </w:r>
    </w:p>
    <w:p>
      <w:pPr>
        <w:spacing w:after="0" w:line="74" w:lineRule="exact"/>
        <w:rPr>
          <w:rFonts w:ascii="Times New Roman" w:cs="Times New Roman" w:eastAsia="Times New Roman" w:hAnsi="Times New Roman"/>
          <w:sz w:val="16"/>
          <w:szCs w:val="16"/>
          <w:color w:val="auto"/>
        </w:rPr>
      </w:pPr>
    </w:p>
    <w:p>
      <w:pPr>
        <w:ind w:left="1900" w:right="1019" w:hanging="162"/>
        <w:spacing w:after="0" w:line="263" w:lineRule="auto"/>
        <w:tabs>
          <w:tab w:leader="none" w:pos="190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merger has not been completed on or before January 22, 2027, which we refer to as the termination date, unless the failure of the merger to be consummated by the termination date is due to the material breach of the merger agreement by the party seeking to terminate;</w:t>
      </w:r>
    </w:p>
    <w:p>
      <w:pPr>
        <w:spacing w:after="0" w:line="74" w:lineRule="exact"/>
        <w:rPr>
          <w:rFonts w:ascii="Times New Roman" w:cs="Times New Roman" w:eastAsia="Times New Roman" w:hAnsi="Times New Roman"/>
          <w:sz w:val="16"/>
          <w:szCs w:val="16"/>
          <w:color w:val="auto"/>
        </w:rPr>
      </w:pPr>
    </w:p>
    <w:p>
      <w:pPr>
        <w:ind w:left="1900" w:right="959" w:hanging="162"/>
        <w:spacing w:after="0" w:line="253" w:lineRule="auto"/>
        <w:tabs>
          <w:tab w:leader="none" w:pos="190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a breach of any of the covenants or agreements or any of the representations or warranties set forth in the merger agreement on the part of the other party which, either individually or in the aggregate, would constitute, if occurring or continuing on the date the merger is completed, the failure of a closing condition of the terminating party and which is not cured within 30 days following written notice to the party committing such breach, or by its nature or timing cannot be cured during such period (or such fewer days as remain prior to the termination date) (provided that the terminating party is not then in material breach of any representation, warranty, covenant, or other agreement contained in the merger agreement); or</w:t>
      </w:r>
    </w:p>
    <w:p>
      <w:pPr>
        <w:spacing w:after="0" w:line="92"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United:</w:t>
      </w:r>
    </w:p>
    <w:p>
      <w:pPr>
        <w:spacing w:after="0" w:line="113" w:lineRule="exact"/>
        <w:rPr>
          <w:rFonts w:ascii="Times New Roman" w:cs="Times New Roman" w:eastAsia="Times New Roman" w:hAnsi="Times New Roman"/>
          <w:sz w:val="16"/>
          <w:szCs w:val="16"/>
          <w:color w:val="auto"/>
        </w:rPr>
      </w:pPr>
    </w:p>
    <w:p>
      <w:pPr>
        <w:ind w:left="1900" w:right="899" w:hanging="162"/>
        <w:spacing w:after="0" w:line="254" w:lineRule="auto"/>
        <w:tabs>
          <w:tab w:leader="none" w:pos="190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prior to the receipt of the Peach State shareholders’ adoption and approval of the merger agreement, (i) Peach State has materially breached its obligations to call, give notice of and hold the Peach State shareholders meeting, (ii) Peach State has materially breached its non-solicitation obligations or (iii) the Peach State board of directors has failed to recommend that Peach State shareholders adopt and approve the merger proposal or has made an adverse recommendation change.</w:t>
      </w:r>
    </w:p>
    <w:p>
      <w:pPr>
        <w:spacing w:after="0" w:line="1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Effect of Termination</w:t>
      </w:r>
    </w:p>
    <w:p>
      <w:pPr>
        <w:spacing w:after="0" w:line="140" w:lineRule="exact"/>
        <w:rPr>
          <w:sz w:val="20"/>
          <w:szCs w:val="20"/>
          <w:color w:val="auto"/>
        </w:rPr>
      </w:pPr>
    </w:p>
    <w:p>
      <w:pPr>
        <w:jc w:val="both"/>
        <w:ind w:left="1100" w:right="1139" w:firstLine="318"/>
        <w:spacing w:after="0" w:line="255" w:lineRule="auto"/>
        <w:rPr>
          <w:sz w:val="20"/>
          <w:szCs w:val="20"/>
          <w:color w:val="auto"/>
        </w:rPr>
      </w:pPr>
      <w:r>
        <w:rPr>
          <w:rFonts w:ascii="Times New Roman" w:cs="Times New Roman" w:eastAsia="Times New Roman" w:hAnsi="Times New Roman"/>
          <w:sz w:val="16"/>
          <w:szCs w:val="16"/>
          <w:color w:val="auto"/>
        </w:rPr>
        <w:t>If the merger agreement is terminated, it will become void and have no effect, except that (1) Peach State and United will remain liable for any liabilities or damages arising out of its material breach of any provision of the merger agreement resulting from fraud or any willful and material breach and</w:t>
      </w:r>
    </w:p>
    <w:p>
      <w:pPr>
        <w:spacing w:after="0" w:line="2" w:lineRule="exact"/>
        <w:rPr>
          <w:sz w:val="20"/>
          <w:szCs w:val="20"/>
          <w:color w:val="auto"/>
        </w:rPr>
      </w:pPr>
    </w:p>
    <w:p>
      <w:pPr>
        <w:ind w:left="1100" w:right="1059" w:firstLine="3"/>
        <w:spacing w:after="0" w:line="257" w:lineRule="auto"/>
        <w:tabs>
          <w:tab w:leader="none" w:pos="13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designated provisions of the merger agreement will survive the termination, including those relating to any payment of a termination fee and the confidential treatment of information.</w:t>
      </w:r>
    </w:p>
    <w:p>
      <w:pPr>
        <w:spacing w:after="0" w:line="3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Termination Fee</w:t>
      </w:r>
    </w:p>
    <w:p>
      <w:pPr>
        <w:spacing w:after="0" w:line="140" w:lineRule="exact"/>
        <w:rPr>
          <w:sz w:val="20"/>
          <w:szCs w:val="20"/>
          <w:color w:val="auto"/>
        </w:rPr>
      </w:pPr>
    </w:p>
    <w:p>
      <w:pPr>
        <w:ind w:left="1100" w:right="939" w:firstLine="318"/>
        <w:spacing w:after="0" w:line="263" w:lineRule="auto"/>
        <w:rPr>
          <w:sz w:val="20"/>
          <w:szCs w:val="20"/>
          <w:color w:val="auto"/>
        </w:rPr>
      </w:pPr>
      <w:r>
        <w:rPr>
          <w:rFonts w:ascii="Times New Roman" w:cs="Times New Roman" w:eastAsia="Times New Roman" w:hAnsi="Times New Roman"/>
          <w:sz w:val="16"/>
          <w:szCs w:val="16"/>
          <w:color w:val="auto"/>
        </w:rPr>
        <w:t>Peach State will pay United a termination fee of approximately $3.6 million by wire transfer of immediately available funds, which we refer to as the termination fee, if the merger agreement is terminated in the following circumstances:</w:t>
      </w:r>
    </w:p>
    <w:p>
      <w:pPr>
        <w:spacing w:after="0" w:line="62" w:lineRule="exact"/>
        <w:rPr>
          <w:sz w:val="20"/>
          <w:szCs w:val="20"/>
          <w:color w:val="auto"/>
        </w:rPr>
      </w:pPr>
    </w:p>
    <w:p>
      <w:pPr>
        <w:ind w:left="1580" w:right="959" w:hanging="160"/>
        <w:spacing w:after="0" w:line="253" w:lineRule="auto"/>
        <w:tabs>
          <w:tab w:leader="none" w:pos="15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(i) after the date of the merger agreement, a bona fide acquisition proposal has been made known to Peach State or any person has publicly announced (and not withdrawn) an acquisition proposal with respect to Peach State and (ii) thereafter, the merger agreement is terminated (A) by either United or Peach State because the merger has not been completed prior to the termination date (and Peach State has not obtained shareholder approval of the merger proposal),</w:t>
      </w:r>
    </w:p>
    <w:p>
      <w:pPr>
        <w:ind w:left="1580" w:right="899"/>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by United as a result of a breach of a representation, warranty, covenant or other agreement in the merger agreement by Peach State that would constitute the failure of a closing condition and that has not been cured during the permitted time period, or by its nature cannot be cured during such period or (C) by United or Peach State because the approval of the merger proposal by Peach State shareholders is not obtained and (iii) prior to the date that is 12 months after the date of such termination, Peach State enters into a definitive agreement or consummates a transaction with respect to an acquisition proposal; or</w:t>
      </w:r>
    </w:p>
    <w:p>
      <w:pPr>
        <w:spacing w:after="0" w:line="262"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prior to receipt of the Peach State shareholders’ adoption and approval of the merger agreement,</w:t>
      </w:r>
    </w:p>
    <w:p>
      <w:pPr>
        <w:spacing w:after="0" w:line="23" w:lineRule="exact"/>
        <w:rPr>
          <w:rFonts w:ascii="Times New Roman" w:cs="Times New Roman" w:eastAsia="Times New Roman" w:hAnsi="Times New Roman"/>
          <w:sz w:val="16"/>
          <w:szCs w:val="16"/>
          <w:color w:val="auto"/>
        </w:rPr>
      </w:pPr>
    </w:p>
    <w:p>
      <w:pPr>
        <w:ind w:left="1580" w:right="899"/>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Peach State has materially breached its obligations to call, give notice of, and hold the Peach State shareholders meeting, (ii) Peach State has materially breached its non-solicitation obligations or (iii) the Peach State board of directors has failed to recommend that Peach State shareholders adopt and approve the merger proposal or has made an adverse recommendation change.</w:t>
      </w:r>
    </w:p>
    <w:p>
      <w:pPr>
        <w:spacing w:after="0" w:line="1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Expenses and Fees</w:t>
      </w:r>
    </w:p>
    <w:p>
      <w:pPr>
        <w:spacing w:after="0" w:line="140" w:lineRule="exact"/>
        <w:rPr>
          <w:sz w:val="20"/>
          <w:szCs w:val="20"/>
          <w:color w:val="auto"/>
        </w:rPr>
      </w:pPr>
    </w:p>
    <w:p>
      <w:pPr>
        <w:ind w:left="1100" w:right="939" w:firstLine="318"/>
        <w:spacing w:after="0" w:line="258" w:lineRule="auto"/>
        <w:rPr>
          <w:sz w:val="20"/>
          <w:szCs w:val="20"/>
          <w:color w:val="auto"/>
        </w:rPr>
      </w:pPr>
      <w:r>
        <w:rPr>
          <w:rFonts w:ascii="Times New Roman" w:cs="Times New Roman" w:eastAsia="Times New Roman" w:hAnsi="Times New Roman"/>
          <w:sz w:val="16"/>
          <w:szCs w:val="16"/>
          <w:color w:val="auto"/>
        </w:rPr>
        <w:t>All costs and expenses incurred in connection with the merger agreement and the transactions contemplated thereby will be paid by the party incurring such expense; provided that all registration, printing and mailing fees associated with the SEC registration statement and the proxy statement/​prospectus will be split equally between United and Peach State.</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Amendment, Waiver and Extension of the Merger Agreement</w:t>
      </w:r>
    </w:p>
    <w:p>
      <w:pPr>
        <w:spacing w:after="0" w:line="128" w:lineRule="exact"/>
        <w:rPr>
          <w:sz w:val="20"/>
          <w:szCs w:val="20"/>
          <w:color w:val="auto"/>
        </w:rPr>
      </w:pPr>
    </w:p>
    <w:p>
      <w:pPr>
        <w:ind w:left="1100" w:right="919" w:firstLine="318"/>
        <w:spacing w:after="0" w:line="258" w:lineRule="auto"/>
        <w:rPr>
          <w:sz w:val="20"/>
          <w:szCs w:val="20"/>
          <w:color w:val="auto"/>
        </w:rPr>
      </w:pPr>
      <w:r>
        <w:rPr>
          <w:rFonts w:ascii="Times New Roman" w:cs="Times New Roman" w:eastAsia="Times New Roman" w:hAnsi="Times New Roman"/>
          <w:sz w:val="16"/>
          <w:szCs w:val="16"/>
          <w:color w:val="auto"/>
        </w:rPr>
        <w:t>Subject to compliance with applicable law, the merger agreement may be amended in writing by United and Peach State at any time before or after the approval of the merger proposal, except that after approval of the merger proposal, there may not be any amendment of the merger agreement that requires further approval Peach State shareholders under applicable law.</w:t>
      </w:r>
    </w:p>
    <w:p>
      <w:pPr>
        <w:spacing w:after="0" w:line="102" w:lineRule="exact"/>
        <w:rPr>
          <w:sz w:val="20"/>
          <w:szCs w:val="20"/>
          <w:color w:val="auto"/>
        </w:rPr>
      </w:pPr>
    </w:p>
    <w:p>
      <w:pPr>
        <w:ind w:left="1100" w:right="939" w:firstLine="318"/>
        <w:spacing w:after="0" w:line="256" w:lineRule="auto"/>
        <w:rPr>
          <w:sz w:val="20"/>
          <w:szCs w:val="20"/>
          <w:color w:val="auto"/>
        </w:rPr>
      </w:pPr>
      <w:r>
        <w:rPr>
          <w:rFonts w:ascii="Times New Roman" w:cs="Times New Roman" w:eastAsia="Times New Roman" w:hAnsi="Times New Roman"/>
          <w:sz w:val="16"/>
          <w:szCs w:val="16"/>
          <w:color w:val="auto"/>
        </w:rPr>
        <w:t>At any time prior to the effective time, United or Peach State may, to the extent legally allowed, extend the time for the performance of any of the obligations or other acts of the other party, waive any inaccuracies in the representations and warranties contained in the merger agreement or in any document delivered pursuant to the merger agreement, and waive compliance with any of the agreements or satisfaction of any conditions contained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138" w:lineRule="exact"/>
        <w:rPr>
          <w:sz w:val="20"/>
          <w:szCs w:val="20"/>
          <w:color w:val="auto"/>
        </w:rPr>
      </w:pPr>
    </w:p>
    <w:p>
      <w:pPr>
        <w:ind w:left="1100" w:right="919" w:firstLine="318"/>
        <w:spacing w:after="0" w:line="256" w:lineRule="auto"/>
        <w:rPr>
          <w:sz w:val="20"/>
          <w:szCs w:val="20"/>
          <w:color w:val="auto"/>
        </w:rPr>
      </w:pPr>
      <w:r>
        <w:rPr>
          <w:rFonts w:ascii="Times New Roman" w:cs="Times New Roman" w:eastAsia="Times New Roman" w:hAnsi="Times New Roman"/>
          <w:sz w:val="16"/>
          <w:szCs w:val="16"/>
          <w:i w:val="1"/>
          <w:iCs w:val="1"/>
          <w:color w:val="auto"/>
        </w:rPr>
        <w:t>The following describes certain material provisions of the voting and support agreement. The following description of the voting and support agreement is subject to, and qualified in its entirety by reference to, the voting and support agreement, which is attached to this proxy statement/prospectus as Annex B and is incorporated by reference into this proxy statement/prospectus. We urge you to read the voting and support agreement carefully and in its entirety.</w:t>
      </w:r>
    </w:p>
    <w:p>
      <w:pPr>
        <w:spacing w:after="0" w:line="105" w:lineRule="exact"/>
        <w:rPr>
          <w:sz w:val="20"/>
          <w:szCs w:val="20"/>
          <w:color w:val="auto"/>
        </w:rPr>
      </w:pPr>
    </w:p>
    <w:p>
      <w:pPr>
        <w:ind w:left="1100" w:right="959" w:firstLine="318"/>
        <w:spacing w:after="0" w:line="258" w:lineRule="auto"/>
        <w:rPr>
          <w:sz w:val="20"/>
          <w:szCs w:val="20"/>
          <w:color w:val="auto"/>
        </w:rPr>
      </w:pPr>
      <w:r>
        <w:rPr>
          <w:rFonts w:ascii="Times New Roman" w:cs="Times New Roman" w:eastAsia="Times New Roman" w:hAnsi="Times New Roman"/>
          <w:sz w:val="16"/>
          <w:szCs w:val="16"/>
          <w:color w:val="auto"/>
        </w:rPr>
        <w:t>Concurrently with the execution of the merger agreement, on April 20, 2026, United entered into a voting and support agreement with the directors and executive officers of Peach State. As of the record date for the Peach State special meeting, the directors and executive officers of Peach State collectively and beneficially owned approximately 40.70% of the outstanding shares of Peach State common stock.</w:t>
      </w:r>
    </w:p>
    <w:p>
      <w:pPr>
        <w:spacing w:after="0" w:line="90" w:lineRule="exact"/>
        <w:rPr>
          <w:sz w:val="20"/>
          <w:szCs w:val="20"/>
          <w:color w:val="auto"/>
        </w:rPr>
      </w:pPr>
    </w:p>
    <w:p>
      <w:pPr>
        <w:ind w:left="1100" w:right="959" w:firstLine="318"/>
        <w:spacing w:after="0" w:line="251" w:lineRule="auto"/>
        <w:rPr>
          <w:sz w:val="20"/>
          <w:szCs w:val="20"/>
          <w:color w:val="auto"/>
        </w:rPr>
      </w:pPr>
      <w:r>
        <w:rPr>
          <w:rFonts w:ascii="Times New Roman" w:cs="Times New Roman" w:eastAsia="Times New Roman" w:hAnsi="Times New Roman"/>
          <w:sz w:val="16"/>
          <w:szCs w:val="16"/>
          <w:color w:val="auto"/>
        </w:rPr>
        <w:t>Pursuant to the voting and support agreement, each such shareholder agrees, among other things, to vote all of his or her shares of Peach State common stock in favor of the approval and adoption of the merger agreement at any meeting of shareholders of Peach State called to vote upon the merger, against any action or agreement proposed by Peach State or any shareholder of Peach State that would prevent, materially impede or materially delay the consummation of the transactions contemplated by the merger agreement and against any alternative acquisition proposal. However, pursuant to the terms of the voting and support agreement, in the event of an adverse recommendation change by the Peach State board, the aggregate number of shares of Peach State common stock required to be voted in favor of the approval and adoption of the merger agreement will be reduced to the aggregate number of shares representing 35% of the total voting power of Peach State common stock, and each such shareholder’s obligation to vote its subject shares in favor of the approval and adoption of the merger agreement will be reduced on a pro rata basis. Each such shareholder also agrees not to transfer his or her shares prior to the effective time of the merger or the termination of the merger agreement, subject to customary exceptions including charitable donations.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ACCOUNTING TREATMENT</w:t>
      </w:r>
    </w:p>
    <w:p>
      <w:pPr>
        <w:spacing w:after="0" w:line="140" w:lineRule="exact"/>
        <w:rPr>
          <w:sz w:val="20"/>
          <w:szCs w:val="20"/>
          <w:color w:val="auto"/>
        </w:rPr>
      </w:pPr>
    </w:p>
    <w:p>
      <w:pPr>
        <w:ind w:left="1100" w:right="919" w:firstLine="318"/>
        <w:spacing w:after="0" w:line="253" w:lineRule="auto"/>
        <w:rPr>
          <w:sz w:val="20"/>
          <w:szCs w:val="20"/>
          <w:color w:val="auto"/>
        </w:rPr>
      </w:pPr>
      <w:r>
        <w:rPr>
          <w:rFonts w:ascii="Times New Roman" w:cs="Times New Roman" w:eastAsia="Times New Roman" w:hAnsi="Times New Roman"/>
          <w:sz w:val="16"/>
          <w:szCs w:val="16"/>
          <w:color w:val="auto"/>
        </w:rPr>
        <w:t>The merger will be accounted for as a Business Combination for financial reporting and accounting purposes under generally accepted accounting principles in the United States. After the merger, the results of operations of Peach State will be included in the consolidated financial statements of United. The merger consideration will be allocated based on the fair values of the assets acquired and the liabilities assumed. Any excess of cost over fair value of the net tangible and identified intangible assets of United acquired will be recorded as goodwill. Any identified intangible asset may be amortized by charges to operations under generally accepted accounting principles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b w:val="1"/>
          <w:bCs w:val="1"/>
          <w:color w:val="auto"/>
        </w:rPr>
        <w:t>MATERIAL U.S. FEDERAL INCOME TAX CONSEQUENCES OF THE MERGER</w:t>
      </w:r>
    </w:p>
    <w:p>
      <w:pPr>
        <w:spacing w:after="0" w:line="140" w:lineRule="exact"/>
        <w:rPr>
          <w:sz w:val="20"/>
          <w:szCs w:val="20"/>
          <w:color w:val="auto"/>
        </w:rPr>
      </w:pPr>
    </w:p>
    <w:p>
      <w:pPr>
        <w:jc w:val="both"/>
        <w:ind w:left="1100" w:right="1059" w:firstLine="318"/>
        <w:spacing w:after="0" w:line="255" w:lineRule="auto"/>
        <w:rPr>
          <w:sz w:val="20"/>
          <w:szCs w:val="20"/>
          <w:color w:val="auto"/>
        </w:rPr>
      </w:pPr>
      <w:r>
        <w:rPr>
          <w:rFonts w:ascii="Times New Roman" w:cs="Times New Roman" w:eastAsia="Times New Roman" w:hAnsi="Times New Roman"/>
          <w:sz w:val="16"/>
          <w:szCs w:val="16"/>
          <w:color w:val="auto"/>
        </w:rPr>
        <w:t>The following is a general discussion of material U.S. federal income tax consequences of the merger to U.S. holders (as defined below) of Peach State common stock that exchange their shares of Peach State common stock for the merger consideration. The following discussion is based upon the Code, the U.S.</w:t>
      </w:r>
    </w:p>
    <w:p>
      <w:pPr>
        <w:spacing w:after="0" w:line="2" w:lineRule="exact"/>
        <w:rPr>
          <w:sz w:val="20"/>
          <w:szCs w:val="20"/>
          <w:color w:val="auto"/>
        </w:rPr>
      </w:pPr>
    </w:p>
    <w:p>
      <w:pPr>
        <w:ind w:left="1100" w:right="899"/>
        <w:spacing w:after="0" w:line="249" w:lineRule="auto"/>
        <w:rPr>
          <w:sz w:val="20"/>
          <w:szCs w:val="20"/>
          <w:color w:val="auto"/>
        </w:rPr>
      </w:pPr>
      <w:r>
        <w:rPr>
          <w:rFonts w:ascii="Times New Roman" w:cs="Times New Roman" w:eastAsia="Times New Roman" w:hAnsi="Times New Roman"/>
          <w:sz w:val="16"/>
          <w:szCs w:val="16"/>
          <w:color w:val="auto"/>
        </w:rPr>
        <w:t>Treasury regulations promulgated thereunder and judicial and administrative authorities, rulings and decisions, all as in effect as of the date of this proxy statement/prospectus. These authorities may change, possibly with retroactive effect, and any such change could affect the accuracy of the statements and conclusions set forth in this discussion. This discussion does not address any tax consequences arising under the unearned income Medicare contribution tax pursuant to the Health Care and Education Reconciliation Act of 2010, any withholding considerations under the Foreign Account Tax Compliance Act of 2010 (including the U.S. Treasury regulations issued thereunder and intergovernmental agreements entered into pursuant thereto or in connection therewith) nor does it address any tax consequences arising under the laws of any state, local or foreign jurisdiction, or under any U.S. federal laws other than those pertaining to the income tax. In addition, this discussion does not address any alternative minimum tax consequences of the merger.</w:t>
      </w:r>
    </w:p>
    <w:p>
      <w:pPr>
        <w:spacing w:after="0" w:line="302" w:lineRule="exact"/>
        <w:rPr>
          <w:sz w:val="20"/>
          <w:szCs w:val="20"/>
          <w:color w:val="auto"/>
        </w:rPr>
      </w:pPr>
    </w:p>
    <w:p>
      <w:pPr>
        <w:ind w:left="1100" w:right="899" w:firstLine="318"/>
        <w:spacing w:after="0" w:line="250" w:lineRule="auto"/>
        <w:rPr>
          <w:sz w:val="20"/>
          <w:szCs w:val="20"/>
          <w:color w:val="auto"/>
        </w:rPr>
      </w:pPr>
      <w:r>
        <w:rPr>
          <w:rFonts w:ascii="Times New Roman" w:cs="Times New Roman" w:eastAsia="Times New Roman" w:hAnsi="Times New Roman"/>
          <w:sz w:val="16"/>
          <w:szCs w:val="16"/>
          <w:color w:val="auto"/>
        </w:rPr>
        <w:t>The following discussion applies only to U.S. holders of Peach State common stock who hold such shares as a capital asset within the meaning of Section 1221 of the Code (generally, property held for investment). Further, this discussion does not purport to consider all aspects of U.S. federal income taxation that might be relevant to U.S. holders in light of their particular circumstances and does not apply to U.S. holders subject to special treatment under the U.S. federal income tax laws (such as, for example, dealers or brokers in securities, commodities or foreign currencies; traders in securities that elect to apply a mark-to-market method of accounting; banks and certain other financial institutions; insurance companies; mutual funds; tax-exempt organizations; holders subject to the alternative minimum tax provisions of the Code; persons who are required to recognize income or gain with respect to the merger no later than such income or gain is required to be reported on an applicable financial statement under Section 451(b) of the Code; partnerships, S corporations or other pass-through entities (or investors therein); regulated investment companies; real estate investment trusts; controlled foreign corporations; passive foreign investment companies; former citizens or residents of the United States; U.S. expatriates; U.S. holders whose functional currency is not the U.S. dollar; holders who hold shares of Peach State common stock as part of a hedge, straddle, constructive sale or conversion transaction or other integrated investment; retirement plans, individual retirement accounts, or other tax-deferred accounts; holders who acquired Peach State common stock pursuant to the exercise of employee stock options, through a tax qualified retirement plan or otherwise as compensation; holders who exercise appraisal rights; or holders who actually or constructively own more than 5% of Peach State’s common stock).</w:t>
      </w:r>
    </w:p>
    <w:p>
      <w:pPr>
        <w:spacing w:after="0" w:line="291" w:lineRule="exact"/>
        <w:rPr>
          <w:sz w:val="20"/>
          <w:szCs w:val="20"/>
          <w:color w:val="auto"/>
        </w:rPr>
      </w:pPr>
    </w:p>
    <w:p>
      <w:pPr>
        <w:ind w:left="1100" w:right="919" w:firstLine="318"/>
        <w:spacing w:after="0" w:line="252" w:lineRule="auto"/>
        <w:rPr>
          <w:sz w:val="20"/>
          <w:szCs w:val="20"/>
          <w:color w:val="auto"/>
        </w:rPr>
      </w:pPr>
      <w:r>
        <w:rPr>
          <w:rFonts w:ascii="Times New Roman" w:cs="Times New Roman" w:eastAsia="Times New Roman" w:hAnsi="Times New Roman"/>
          <w:sz w:val="16"/>
          <w:szCs w:val="16"/>
          <w:color w:val="auto"/>
        </w:rPr>
        <w:t>For purposes of this discussion, the term “U.S. holder” means a beneficial owner of Peach State common stock that is, for U.S. federal income tax purposes, (1) an individual citizen or resident of the United States, (2) a corporation, or entity treated as a corporation for U.S. federal income tax purposes, organized in or under the laws of the United States, any state thereof or the District of Columbia, (3) a trust if (a) a court within the United States is able to exercise primary supervision over the administration of the trust and one or more U.S. persons (within the meaning of Section 7701(a)(30) of the Code) have the authority to control all substantial decisions of the trust or (b) such trust has a valid election in effect to be treated as a U.S. person for U.S. federal income tax purposes or (4) an estate, the income of which is subject to U.S. federal income tax, regardless of its source.</w:t>
      </w:r>
    </w:p>
    <w:p>
      <w:pPr>
        <w:spacing w:after="0" w:line="301" w:lineRule="exact"/>
        <w:rPr>
          <w:sz w:val="20"/>
          <w:szCs w:val="20"/>
          <w:color w:val="auto"/>
        </w:rPr>
      </w:pPr>
    </w:p>
    <w:p>
      <w:pPr>
        <w:ind w:left="1100" w:right="959" w:firstLine="318"/>
        <w:spacing w:after="0" w:line="255" w:lineRule="auto"/>
        <w:rPr>
          <w:sz w:val="20"/>
          <w:szCs w:val="20"/>
          <w:color w:val="auto"/>
        </w:rPr>
      </w:pPr>
      <w:r>
        <w:rPr>
          <w:rFonts w:ascii="Times New Roman" w:cs="Times New Roman" w:eastAsia="Times New Roman" w:hAnsi="Times New Roman"/>
          <w:sz w:val="16"/>
          <w:szCs w:val="16"/>
          <w:color w:val="auto"/>
        </w:rPr>
        <w:t>If an entity or arrangement treated as a partnership for U.S. federal income tax purposes is a holder of Peach State common stock, the tax treatment of a partner in such partnership generally will depend on the status of the partner and the activities of the partnership. Any entity treated as a partnership for U.S. federal income tax purposes that is a holder of Peach State common stock, and any partners in such partnership, should consult their own tax advisors regarding the tax consequences of the merger to their specific circumstances.</w:t>
      </w:r>
    </w:p>
    <w:p>
      <w:pPr>
        <w:spacing w:after="0" w:line="295" w:lineRule="exact"/>
        <w:rPr>
          <w:sz w:val="20"/>
          <w:szCs w:val="20"/>
          <w:color w:val="auto"/>
        </w:rPr>
      </w:pPr>
    </w:p>
    <w:p>
      <w:pPr>
        <w:ind w:left="1100" w:right="919" w:firstLine="318"/>
        <w:spacing w:after="0" w:line="290" w:lineRule="auto"/>
        <w:rPr>
          <w:sz w:val="20"/>
          <w:szCs w:val="20"/>
          <w:color w:val="auto"/>
        </w:rPr>
      </w:pPr>
      <w:r>
        <w:rPr>
          <w:rFonts w:ascii="Times New Roman" w:cs="Times New Roman" w:eastAsia="Times New Roman" w:hAnsi="Times New Roman"/>
          <w:sz w:val="15"/>
          <w:szCs w:val="15"/>
          <w:b w:val="1"/>
          <w:bCs w:val="1"/>
          <w:color w:val="auto"/>
        </w:rPr>
        <w:t>Determining the actual tax consequences of the merger to you may be complex and will depend on your specific situation and on factors that are not within our control. All holders of Peach State common stock should consult their own tax advisors regarding the specific tax consequences to them of the merger in light of</w:t>
      </w:r>
    </w:p>
    <w:p>
      <w:pPr>
        <w:spacing w:after="0" w:line="29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right="1079"/>
        <w:spacing w:after="0" w:line="281" w:lineRule="auto"/>
        <w:rPr>
          <w:sz w:val="20"/>
          <w:szCs w:val="20"/>
          <w:color w:val="auto"/>
        </w:rPr>
      </w:pPr>
      <w:r>
        <w:rPr>
          <w:rFonts w:ascii="Times New Roman" w:cs="Times New Roman" w:eastAsia="Times New Roman" w:hAnsi="Times New Roman"/>
          <w:sz w:val="16"/>
          <w:szCs w:val="16"/>
          <w:b w:val="1"/>
          <w:bCs w:val="1"/>
          <w:color w:val="auto"/>
        </w:rPr>
        <w:t>their particular facts and circumstances, including the applicability and effect of the alternative minimum tax and any state, local, foreign and other tax laws and of any changes in such laws.</w:t>
      </w:r>
    </w:p>
    <w:p>
      <w:pPr>
        <w:spacing w:after="0" w:line="1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In General</w:t>
      </w:r>
    </w:p>
    <w:p>
      <w:pPr>
        <w:spacing w:after="0" w:line="140" w:lineRule="exact"/>
        <w:rPr>
          <w:sz w:val="20"/>
          <w:szCs w:val="20"/>
          <w:color w:val="auto"/>
        </w:rPr>
      </w:pPr>
    </w:p>
    <w:p>
      <w:pPr>
        <w:ind w:left="1100" w:right="919" w:firstLine="318"/>
        <w:spacing w:after="0"/>
        <w:rPr>
          <w:sz w:val="20"/>
          <w:szCs w:val="20"/>
          <w:color w:val="auto"/>
        </w:rPr>
      </w:pPr>
      <w:r>
        <w:rPr>
          <w:rFonts w:ascii="Times New Roman" w:cs="Times New Roman" w:eastAsia="Times New Roman" w:hAnsi="Times New Roman"/>
          <w:sz w:val="16"/>
          <w:szCs w:val="16"/>
          <w:color w:val="auto"/>
        </w:rPr>
        <w:t>It is a condition to the obligation of (1) Peach State to complete the merger that Peach State receives an opinion from Alston &amp; Bird LLP, tax advisor to Peach State (or other counsel or advisor as may be reasonably acceptable to Peach State and United) and (2) United to complete the merger that United receives an opinion from Wachtell, Lipton, Rosen &amp; Katz, tax counsel to United (or other counsel as may be reasonably acceptable to Peach State and United), in each case, dated as of the closing date of the merger, to the effect that the merger will qualify as a “reorganization” within the meaning of Section 368(a) of the Code. These opinions will be based on facts and representations contained in representation letters provided by United and Peach State and on customary factual assumptions. Neither of the opinions described above will be binding on the Internal Revenue Service, which we refer to as the IRS, or any court. United and Peach State have not sought and will not seek any ruling from the IRS regarding any matters relating to the merger, and as a result, there can be no assurance that the IRS will not assert, or that a court would not sustain, a position contrary to any of the conclusions set forth below. In addition, if any of the representations or assumptions upon which those opinions are based are inconsistent with the actual facts, the U.S. federal income tax consequences of the merger could be adversely affected.</w:t>
      </w:r>
    </w:p>
    <w:p>
      <w:pPr>
        <w:spacing w:after="0" w:line="162" w:lineRule="exact"/>
        <w:rPr>
          <w:sz w:val="20"/>
          <w:szCs w:val="20"/>
          <w:color w:val="auto"/>
        </w:rPr>
      </w:pPr>
    </w:p>
    <w:p>
      <w:pPr>
        <w:ind w:left="1100" w:right="1199"/>
        <w:spacing w:after="0" w:line="281" w:lineRule="auto"/>
        <w:rPr>
          <w:sz w:val="20"/>
          <w:szCs w:val="20"/>
          <w:color w:val="auto"/>
        </w:rPr>
      </w:pPr>
      <w:r>
        <w:rPr>
          <w:rFonts w:ascii="Times New Roman" w:cs="Times New Roman" w:eastAsia="Times New Roman" w:hAnsi="Times New Roman"/>
          <w:sz w:val="16"/>
          <w:szCs w:val="16"/>
          <w:i w:val="1"/>
          <w:iCs w:val="1"/>
          <w:color w:val="auto"/>
        </w:rPr>
        <w:t>Material U.S. Federal Income Tax Consequences of the Merger to U.S. Holders of Peach State Common Stock</w:t>
      </w:r>
    </w:p>
    <w:p>
      <w:pPr>
        <w:spacing w:after="0" w:line="71" w:lineRule="exact"/>
        <w:rPr>
          <w:sz w:val="20"/>
          <w:szCs w:val="20"/>
          <w:color w:val="auto"/>
        </w:rPr>
      </w:pPr>
    </w:p>
    <w:p>
      <w:pPr>
        <w:ind w:left="1100" w:right="1039" w:firstLine="318"/>
        <w:spacing w:after="0" w:line="248" w:lineRule="auto"/>
        <w:rPr>
          <w:sz w:val="20"/>
          <w:szCs w:val="20"/>
          <w:color w:val="auto"/>
        </w:rPr>
      </w:pPr>
      <w:r>
        <w:rPr>
          <w:rFonts w:ascii="Times New Roman" w:cs="Times New Roman" w:eastAsia="Times New Roman" w:hAnsi="Times New Roman"/>
          <w:sz w:val="16"/>
          <w:szCs w:val="16"/>
          <w:color w:val="auto"/>
        </w:rPr>
        <w:t>The U.S. federal income tax consequences of the merger to a holder generally will depend on whether the holder exchanges its Peach State common stock for cash consideration, stock consideration or a combination of cash consideration and stock consideration.</w:t>
      </w:r>
    </w:p>
    <w:p>
      <w:pPr>
        <w:spacing w:after="0" w:line="16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Exchange Solely for Cash</w:t>
      </w:r>
    </w:p>
    <w:p>
      <w:pPr>
        <w:spacing w:after="0" w:line="128" w:lineRule="exact"/>
        <w:rPr>
          <w:sz w:val="20"/>
          <w:szCs w:val="20"/>
          <w:color w:val="auto"/>
        </w:rPr>
      </w:pPr>
    </w:p>
    <w:p>
      <w:pPr>
        <w:ind w:left="1100" w:right="919" w:firstLine="318"/>
        <w:spacing w:after="0" w:line="243" w:lineRule="auto"/>
        <w:rPr>
          <w:sz w:val="20"/>
          <w:szCs w:val="20"/>
          <w:color w:val="auto"/>
        </w:rPr>
      </w:pPr>
      <w:r>
        <w:rPr>
          <w:rFonts w:ascii="Times New Roman" w:cs="Times New Roman" w:eastAsia="Times New Roman" w:hAnsi="Times New Roman"/>
          <w:sz w:val="16"/>
          <w:szCs w:val="16"/>
          <w:color w:val="auto"/>
        </w:rPr>
        <w:t>The exchange of shares of Peach State common stock solely for cash consideration generally will result in the recognition of gain or loss equal to the difference between the amount of cash consideration received and the holder’s adjusted tax basis in the shares of Peach State common stock surrendered, which gain or loss generally will be long-term capital gain or loss if the holder’s holding period with respect to the Peach State common stock surrendered is more than one year at the effective time. Long-term capital gain of non-corporate taxpayers, including individuals, may be taxed at preferential rates. The deductibility of capital losses is subject to limitations.</w:t>
      </w:r>
    </w:p>
    <w:p>
      <w:pPr>
        <w:spacing w:after="0" w:line="102" w:lineRule="exact"/>
        <w:rPr>
          <w:sz w:val="20"/>
          <w:szCs w:val="20"/>
          <w:color w:val="auto"/>
        </w:rPr>
      </w:pPr>
    </w:p>
    <w:p>
      <w:pPr>
        <w:ind w:left="1100" w:right="899" w:firstLine="318"/>
        <w:spacing w:after="0" w:line="241" w:lineRule="auto"/>
        <w:rPr>
          <w:sz w:val="20"/>
          <w:szCs w:val="20"/>
          <w:color w:val="auto"/>
        </w:rPr>
      </w:pPr>
      <w:r>
        <w:rPr>
          <w:rFonts w:ascii="Times New Roman" w:cs="Times New Roman" w:eastAsia="Times New Roman" w:hAnsi="Times New Roman"/>
          <w:sz w:val="16"/>
          <w:szCs w:val="16"/>
          <w:color w:val="auto"/>
        </w:rPr>
        <w:t>In some cases, if a holder actually or constructively owns United common stock after the merger, the cash consideration received could be treated as having the effect of a distribution of a dividend under the tests set forth in Section 302 of the Code, in which case such holder may have dividend income up to the amount of the cash consideration received. Because the possibility of dividend treatment depends primarily upon the particular circumstances of a holder, including the application of certain constructive ownership rules, holders should consult their tax advisors regarding the potential tax consequences of the merger to them, and holders that are corporations should consult their tax advisors regarding the potential applicability of the “extraordinary dividend” provisions of the Code.</w:t>
      </w:r>
    </w:p>
    <w:p>
      <w:pPr>
        <w:spacing w:after="0" w:line="106" w:lineRule="exact"/>
        <w:rPr>
          <w:sz w:val="20"/>
          <w:szCs w:val="20"/>
          <w:color w:val="auto"/>
        </w:rPr>
      </w:pPr>
    </w:p>
    <w:p>
      <w:pPr>
        <w:ind w:left="1100" w:right="939" w:firstLine="318"/>
        <w:spacing w:after="0" w:line="256" w:lineRule="auto"/>
        <w:rPr>
          <w:sz w:val="20"/>
          <w:szCs w:val="20"/>
          <w:color w:val="auto"/>
        </w:rPr>
      </w:pPr>
      <w:r>
        <w:rPr>
          <w:rFonts w:ascii="Times New Roman" w:cs="Times New Roman" w:eastAsia="Times New Roman" w:hAnsi="Times New Roman"/>
          <w:sz w:val="16"/>
          <w:szCs w:val="16"/>
          <w:color w:val="auto"/>
        </w:rPr>
        <w:t>Holders electing to receive the all-cash consideration in the merger may be subject to proration (see the section titled “The Merger Agreement — Cash in Lieu of a Fractional Share”), which may result in the receipt of a portion of the merger consideration in stock consideration, in addition to cash consideration.</w:t>
      </w:r>
    </w:p>
    <w:p>
      <w:pPr>
        <w:spacing w:after="0" w:line="1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Exchange Solely for United Common Stock</w:t>
      </w:r>
    </w:p>
    <w:p>
      <w:pPr>
        <w:spacing w:after="0" w:line="140" w:lineRule="exact"/>
        <w:rPr>
          <w:sz w:val="20"/>
          <w:szCs w:val="20"/>
          <w:color w:val="auto"/>
        </w:rPr>
      </w:pPr>
    </w:p>
    <w:p>
      <w:pPr>
        <w:ind w:left="1100" w:right="959" w:firstLine="318"/>
        <w:spacing w:after="0" w:line="243" w:lineRule="auto"/>
        <w:rPr>
          <w:sz w:val="20"/>
          <w:szCs w:val="20"/>
          <w:color w:val="auto"/>
        </w:rPr>
      </w:pPr>
      <w:r>
        <w:rPr>
          <w:rFonts w:ascii="Times New Roman" w:cs="Times New Roman" w:eastAsia="Times New Roman" w:hAnsi="Times New Roman"/>
          <w:sz w:val="16"/>
          <w:szCs w:val="16"/>
          <w:color w:val="auto"/>
        </w:rPr>
        <w:t>If a holder exchanges all of its shares of Peach State common stock solely for stock consideration, that holder generally will not recognize any gain or loss, except in respect of cash in lieu of a fractional share of United common stock (as discussed in the section titled “The Merger Agreement — Structure of the Merger”). The aggregate adjusted tax basis of the stock consideration received in the initial merger (including fractional shares deemed received and redeemed as described below) will be equal to the aggregate adjusted tax basis of the shares of Peach State common stock surrendered, and the holding period of the stock</w:t>
      </w:r>
    </w:p>
    <w:p>
      <w:pPr>
        <w:spacing w:after="0" w:line="200" w:lineRule="exact"/>
        <w:rPr>
          <w:sz w:val="20"/>
          <w:szCs w:val="20"/>
          <w:color w:val="auto"/>
        </w:rPr>
      </w:pPr>
    </w:p>
    <w:p>
      <w:pPr>
        <w:spacing w:after="0" w:line="31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79"/>
        <w:spacing w:after="0" w:line="248" w:lineRule="auto"/>
        <w:rPr>
          <w:sz w:val="20"/>
          <w:szCs w:val="20"/>
          <w:color w:val="auto"/>
        </w:rPr>
      </w:pPr>
      <w:r>
        <w:rPr>
          <w:rFonts w:ascii="Times New Roman" w:cs="Times New Roman" w:eastAsia="Times New Roman" w:hAnsi="Times New Roman"/>
          <w:sz w:val="16"/>
          <w:szCs w:val="16"/>
          <w:color w:val="auto"/>
        </w:rPr>
        <w:t>consideration (including fractional shares deemed received and redeemed as described below”) will include the holding period of the shares of Peach State common stock surrendered. If a holder acquired different blocks of shares of Peach State common stock at different times or different prices, such holder should consult his, her or its tax advisor as to the determination of the tax bases and holding periods of the stock consideration received in the merger.</w:t>
      </w:r>
    </w:p>
    <w:p>
      <w:pPr>
        <w:spacing w:after="0" w:line="98" w:lineRule="exact"/>
        <w:rPr>
          <w:sz w:val="20"/>
          <w:szCs w:val="20"/>
          <w:color w:val="auto"/>
        </w:rPr>
      </w:pPr>
    </w:p>
    <w:p>
      <w:pPr>
        <w:jc w:val="both"/>
        <w:ind w:left="1100" w:right="1059" w:firstLine="318"/>
        <w:spacing w:after="0" w:line="248" w:lineRule="auto"/>
        <w:rPr>
          <w:sz w:val="20"/>
          <w:szCs w:val="20"/>
          <w:color w:val="auto"/>
        </w:rPr>
      </w:pPr>
      <w:r>
        <w:rPr>
          <w:rFonts w:ascii="Times New Roman" w:cs="Times New Roman" w:eastAsia="Times New Roman" w:hAnsi="Times New Roman"/>
          <w:sz w:val="16"/>
          <w:szCs w:val="16"/>
          <w:color w:val="auto"/>
        </w:rPr>
        <w:t>Holders electing to receive the all-stock consideration in the merger may be subject to proration (see the section titled The Merger Agreement — Structure of the Merger”), which may result in the receipt of a portion of the merger consideration in cash consideration, in addition to the stock consideration.</w:t>
      </w:r>
    </w:p>
    <w:p>
      <w:pPr>
        <w:spacing w:after="0" w:line="16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Exchange for United Common Stock and Cash</w:t>
      </w:r>
    </w:p>
    <w:p>
      <w:pPr>
        <w:spacing w:after="0" w:line="128" w:lineRule="exact"/>
        <w:rPr>
          <w:sz w:val="20"/>
          <w:szCs w:val="20"/>
          <w:color w:val="auto"/>
        </w:rPr>
      </w:pPr>
    </w:p>
    <w:p>
      <w:pPr>
        <w:ind w:left="1100" w:right="899" w:firstLine="318"/>
        <w:spacing w:after="0" w:line="245" w:lineRule="auto"/>
        <w:rPr>
          <w:sz w:val="20"/>
          <w:szCs w:val="20"/>
          <w:color w:val="auto"/>
        </w:rPr>
      </w:pPr>
      <w:r>
        <w:rPr>
          <w:rFonts w:ascii="Times New Roman" w:cs="Times New Roman" w:eastAsia="Times New Roman" w:hAnsi="Times New Roman"/>
          <w:sz w:val="16"/>
          <w:szCs w:val="16"/>
          <w:color w:val="auto"/>
        </w:rPr>
        <w:t>A holder who receives a combination of stock consideration and cash consideration (other than cash in lieu of a fractional share of United common stock) pursuant to the merger generally will recognize gain (but not loss) in an amount equal to the lesser of (1) the sum of the amount of cash consideration (other than cash in lieu of a fractional share of United common stock) and the fair market value of the stock consideration, minus that holder’s adjusted tax basis in its shares of Peach State common stock surrendered in exchange therefor and (2) the amount of cash consideration received.</w:t>
      </w:r>
    </w:p>
    <w:p>
      <w:pPr>
        <w:spacing w:after="0" w:line="100" w:lineRule="exact"/>
        <w:rPr>
          <w:sz w:val="20"/>
          <w:szCs w:val="20"/>
          <w:color w:val="auto"/>
        </w:rPr>
      </w:pPr>
    </w:p>
    <w:p>
      <w:pPr>
        <w:ind w:left="1100" w:right="979" w:firstLine="318"/>
        <w:spacing w:after="0" w:line="244" w:lineRule="auto"/>
        <w:rPr>
          <w:sz w:val="20"/>
          <w:szCs w:val="20"/>
          <w:color w:val="auto"/>
        </w:rPr>
      </w:pPr>
      <w:r>
        <w:rPr>
          <w:rFonts w:ascii="Times New Roman" w:cs="Times New Roman" w:eastAsia="Times New Roman" w:hAnsi="Times New Roman"/>
          <w:sz w:val="16"/>
          <w:szCs w:val="16"/>
          <w:color w:val="auto"/>
        </w:rPr>
        <w:t>If a holder acquired different blocks of shares of United common stock at different times or different prices, any gain, if any, must be determined separately for each identifiable block of shares. Holders should consult their tax advisors regarding the manner in which cash consideration and stock consideration should be allocated among different blocks of shares of Peach State common stock surrendered and the determination of the tax bases and holding periods of the stock consideration received.</w:t>
      </w:r>
    </w:p>
    <w:p>
      <w:pPr>
        <w:spacing w:after="0" w:line="101" w:lineRule="exact"/>
        <w:rPr>
          <w:sz w:val="20"/>
          <w:szCs w:val="20"/>
          <w:color w:val="auto"/>
        </w:rPr>
      </w:pPr>
    </w:p>
    <w:p>
      <w:pPr>
        <w:ind w:left="1100" w:right="919" w:firstLine="318"/>
        <w:spacing w:after="0" w:line="256" w:lineRule="auto"/>
        <w:rPr>
          <w:sz w:val="20"/>
          <w:szCs w:val="20"/>
          <w:color w:val="auto"/>
        </w:rPr>
      </w:pPr>
      <w:r>
        <w:rPr>
          <w:rFonts w:ascii="Times New Roman" w:cs="Times New Roman" w:eastAsia="Times New Roman" w:hAnsi="Times New Roman"/>
          <w:sz w:val="16"/>
          <w:szCs w:val="16"/>
          <w:color w:val="auto"/>
        </w:rPr>
        <w:t>Any recognized gain will generally be long-term capital gain if the holder’s holding period with respect to the shares of Peach State common stock surrendered is more than one year. Long-term capital gain of non-corporate taxpayers, including individuals, may be taxed at preferential rates.</w:t>
      </w:r>
    </w:p>
    <w:p>
      <w:pPr>
        <w:spacing w:after="0" w:line="90" w:lineRule="exact"/>
        <w:rPr>
          <w:sz w:val="20"/>
          <w:szCs w:val="20"/>
          <w:color w:val="auto"/>
        </w:rPr>
      </w:pPr>
    </w:p>
    <w:p>
      <w:pPr>
        <w:ind w:left="1100" w:right="979" w:firstLine="318"/>
        <w:spacing w:after="0" w:line="241" w:lineRule="auto"/>
        <w:rPr>
          <w:sz w:val="20"/>
          <w:szCs w:val="20"/>
          <w:color w:val="auto"/>
        </w:rPr>
      </w:pPr>
      <w:r>
        <w:rPr>
          <w:rFonts w:ascii="Times New Roman" w:cs="Times New Roman" w:eastAsia="Times New Roman" w:hAnsi="Times New Roman"/>
          <w:sz w:val="16"/>
          <w:szCs w:val="16"/>
          <w:color w:val="auto"/>
        </w:rPr>
        <w:t>In some cases, if a holder actually or constructively owns Peach State common stock after the merger, the recognized gain could be treated as having the effect of the distribution of a dividend under the tests set forth in Section 302 of the Code, in which case such holder may have dividend income up to the amount of the cash consideration received. Because the possibility of dividend treatment depends primarily upon the particular circumstances of a holder, including the application of certain constructive ownership rules, holders should consult their tax advisors regarding the potential tax consequences of the merger to them, and holders that are corporations should consult their tax advisors regarding the potential applicability of the “extraordinary dividend” provisions of the Code.</w:t>
      </w:r>
    </w:p>
    <w:p>
      <w:pPr>
        <w:spacing w:after="0" w:line="106" w:lineRule="exact"/>
        <w:rPr>
          <w:sz w:val="20"/>
          <w:szCs w:val="20"/>
          <w:color w:val="auto"/>
        </w:rPr>
      </w:pPr>
    </w:p>
    <w:p>
      <w:pPr>
        <w:ind w:left="1100" w:right="999" w:firstLine="318"/>
        <w:spacing w:after="0" w:line="241" w:lineRule="auto"/>
        <w:rPr>
          <w:sz w:val="20"/>
          <w:szCs w:val="20"/>
          <w:color w:val="auto"/>
        </w:rPr>
      </w:pPr>
      <w:r>
        <w:rPr>
          <w:rFonts w:ascii="Times New Roman" w:cs="Times New Roman" w:eastAsia="Times New Roman" w:hAnsi="Times New Roman"/>
          <w:sz w:val="16"/>
          <w:szCs w:val="16"/>
          <w:color w:val="auto"/>
        </w:rPr>
        <w:t>The aggregate tax basis of the stock consideration received (including fractional shares deemed received and redeemed as described in the section titled “The Merger Agreement — Cash in Lieu of a Fractional Share”) will be equal to the aggregate adjusted tax basis of the shares of Peach State common stock surrendered, reduced by the amount of cash consideration received by the holder (excluding any cash in lieu of a fractional share) and increased by the amount of gain (excluding any gain recognized with respect to cash in lieu of a fractional share), if any, recognized by the holder on the exchange. The holding period of the stock consideration (including fractional shares deemed received and redeemed as described below) will include the holding period of the shares of Peach State common stock surrendered.</w:t>
      </w:r>
    </w:p>
    <w:p>
      <w:pPr>
        <w:spacing w:after="0" w:line="106" w:lineRule="exact"/>
        <w:rPr>
          <w:sz w:val="20"/>
          <w:szCs w:val="20"/>
          <w:color w:val="auto"/>
        </w:rPr>
      </w:pPr>
    </w:p>
    <w:p>
      <w:pPr>
        <w:ind w:left="1100" w:right="959" w:firstLine="318"/>
        <w:spacing w:after="0" w:line="261" w:lineRule="auto"/>
        <w:rPr>
          <w:sz w:val="20"/>
          <w:szCs w:val="20"/>
          <w:color w:val="auto"/>
        </w:rPr>
      </w:pPr>
      <w:r>
        <w:rPr>
          <w:rFonts w:ascii="Times New Roman" w:cs="Times New Roman" w:eastAsia="Times New Roman" w:hAnsi="Times New Roman"/>
          <w:sz w:val="16"/>
          <w:szCs w:val="16"/>
          <w:color w:val="auto"/>
        </w:rPr>
        <w:t>Holders receiving a combination of stock consideration and cash consideration should consult their tax advisors regarding the manner in which the above rules would apply in the holder’s particular circumstances.</w:t>
      </w:r>
    </w:p>
    <w:p>
      <w:pPr>
        <w:spacing w:after="0" w:line="3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Cash in Lieu of a Fractional Share</w:t>
      </w:r>
    </w:p>
    <w:p>
      <w:pPr>
        <w:spacing w:after="0" w:line="140" w:lineRule="exact"/>
        <w:rPr>
          <w:sz w:val="20"/>
          <w:szCs w:val="20"/>
          <w:color w:val="auto"/>
        </w:rPr>
      </w:pPr>
    </w:p>
    <w:p>
      <w:pPr>
        <w:ind w:left="1100" w:right="979" w:firstLine="318"/>
        <w:spacing w:after="0" w:line="243" w:lineRule="auto"/>
        <w:rPr>
          <w:sz w:val="20"/>
          <w:szCs w:val="20"/>
          <w:color w:val="auto"/>
        </w:rPr>
      </w:pPr>
      <w:r>
        <w:rPr>
          <w:rFonts w:ascii="Times New Roman" w:cs="Times New Roman" w:eastAsia="Times New Roman" w:hAnsi="Times New Roman"/>
          <w:sz w:val="16"/>
          <w:szCs w:val="16"/>
          <w:color w:val="auto"/>
        </w:rPr>
        <w:t>A holder who receives cash in lieu of a fractional share of United common stock will generally be treated as having received such fractional share and then as having received such cash in redemption of the fractional share. Gain or loss generally will be recognized based on the difference between the amount of cash in lieu of the fractional share and the holder’s tax basis allocated to such fractional share. Such gain or loss generally will be capital gain or loss and would be long-term capital gain or loss if the holding period for such fractional share (including the holding period of the shares of Peach State common stock surrendered</w:t>
      </w:r>
    </w:p>
    <w:p>
      <w:pPr>
        <w:spacing w:after="0" w:line="200" w:lineRule="exact"/>
        <w:rPr>
          <w:sz w:val="20"/>
          <w:szCs w:val="20"/>
          <w:color w:val="auto"/>
        </w:rPr>
      </w:pPr>
    </w:p>
    <w:p>
      <w:pPr>
        <w:spacing w:after="0" w:line="3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099"/>
        <w:spacing w:after="0" w:line="279" w:lineRule="auto"/>
        <w:rPr>
          <w:sz w:val="20"/>
          <w:szCs w:val="20"/>
          <w:color w:val="auto"/>
        </w:rPr>
      </w:pPr>
      <w:r>
        <w:rPr>
          <w:rFonts w:ascii="Times New Roman" w:cs="Times New Roman" w:eastAsia="Times New Roman" w:hAnsi="Times New Roman"/>
          <w:sz w:val="16"/>
          <w:szCs w:val="16"/>
          <w:color w:val="auto"/>
        </w:rPr>
        <w:t>therefor) is more than one year. Long-term capital gain of non-corporate taxpayers, including individuals, may be taxed at preferential rates. The deductibility of capital losses is subject to limitations.</w:t>
      </w:r>
    </w:p>
    <w:p>
      <w:pPr>
        <w:spacing w:after="0" w:line="84" w:lineRule="exact"/>
        <w:rPr>
          <w:sz w:val="20"/>
          <w:szCs w:val="20"/>
          <w:color w:val="auto"/>
        </w:rPr>
      </w:pPr>
    </w:p>
    <w:p>
      <w:pPr>
        <w:ind w:left="1100" w:right="999" w:firstLine="318"/>
        <w:spacing w:after="0" w:line="253" w:lineRule="auto"/>
        <w:rPr>
          <w:sz w:val="20"/>
          <w:szCs w:val="20"/>
          <w:color w:val="auto"/>
        </w:rPr>
      </w:pPr>
      <w:r>
        <w:rPr>
          <w:rFonts w:ascii="Times New Roman" w:cs="Times New Roman" w:eastAsia="Times New Roman" w:hAnsi="Times New Roman"/>
          <w:sz w:val="16"/>
          <w:szCs w:val="16"/>
          <w:color w:val="auto"/>
        </w:rPr>
        <w:t>In some cases, if a holder actually or constructively owns United common stock after the merger, the recognized gain could be treated as having the effect of the distribution of a dividend under the tests set forth in Section 302 of the Code, in which case such holder may have dividend income up to the amount of the cash consideration received. Because the possibility of dividend treatment depends primarily upon the particular circumstances of a holder, including the application of certain constructive ownership rules, holders should consult their tax advisors regarding the potential tax consequences of the merger to them, and holders that are corporations should consult their tax advisors regarding the potential applicability of the “extraordinary dividend” provisions of the Code.</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Information Reporting and Backup Withholding</w:t>
      </w:r>
    </w:p>
    <w:p>
      <w:pPr>
        <w:spacing w:after="0" w:line="140" w:lineRule="exact"/>
        <w:rPr>
          <w:sz w:val="20"/>
          <w:szCs w:val="20"/>
          <w:color w:val="auto"/>
        </w:rPr>
      </w:pPr>
    </w:p>
    <w:p>
      <w:pPr>
        <w:ind w:left="1100" w:right="899" w:firstLine="318"/>
        <w:spacing w:after="0" w:line="253" w:lineRule="auto"/>
        <w:rPr>
          <w:sz w:val="20"/>
          <w:szCs w:val="20"/>
          <w:color w:val="auto"/>
        </w:rPr>
      </w:pPr>
      <w:r>
        <w:rPr>
          <w:rFonts w:ascii="Times New Roman" w:cs="Times New Roman" w:eastAsia="Times New Roman" w:hAnsi="Times New Roman"/>
          <w:sz w:val="16"/>
          <w:szCs w:val="16"/>
          <w:color w:val="auto"/>
        </w:rPr>
        <w:t>If you are a non-corporate Peach State shareholder, you may be subject, under certain circumstances, to information reporting and backup withholding (currently at a rate of 24%) on any cash payments you receive. You generally will not be subject to backup withholding, however, if you (1) furnish a correct taxpayer identification number, certify that you are not subject to backup withholding and otherwise comply with all the applicable requirements of the backup withholding rules; or (2) provide proof that you are otherwise exempt from backup withholding. Any amounts withheld under the backup withholding rules are not an additional tax and will generally be allowed as a refund or credit against your U.S. federal income tax liability, provided you timely furnish the required information to the IRS.</w:t>
      </w:r>
    </w:p>
    <w:p>
      <w:pPr>
        <w:spacing w:after="0" w:line="90" w:lineRule="exact"/>
        <w:rPr>
          <w:sz w:val="20"/>
          <w:szCs w:val="20"/>
          <w:color w:val="auto"/>
        </w:rPr>
      </w:pPr>
    </w:p>
    <w:p>
      <w:pPr>
        <w:ind w:left="1100" w:right="979" w:firstLine="318"/>
        <w:spacing w:after="0" w:line="278" w:lineRule="auto"/>
        <w:rPr>
          <w:sz w:val="20"/>
          <w:szCs w:val="20"/>
          <w:color w:val="auto"/>
        </w:rPr>
      </w:pPr>
      <w:r>
        <w:rPr>
          <w:rFonts w:ascii="Times New Roman" w:cs="Times New Roman" w:eastAsia="Times New Roman" w:hAnsi="Times New Roman"/>
          <w:sz w:val="15"/>
          <w:szCs w:val="15"/>
          <w:b w:val="1"/>
          <w:bCs w:val="1"/>
          <w:color w:val="auto"/>
        </w:rPr>
        <w:t>This discussion of certain material U.S. federal income tax consequences is not intended to be, and should not be construed as, tax advice. All holders of Peach State common stock should consult their independent tax advisors with respect to the application of U.S. federal income tax laws to their particular situations as well as any tax consequences arising under the U.S. federal estate or gift tax rules, or under the laws of any state, local, foreign or other taxing jurisdiction or under any applicable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b w:val="1"/>
          <w:bCs w:val="1"/>
          <w:color w:val="auto"/>
        </w:rPr>
        <w:t>INTERESTS OF PEACH STATE’S DIRECTORS AND EXECUTIVE OFFICERS IN THE MERGER</w:t>
      </w:r>
    </w:p>
    <w:p>
      <w:pPr>
        <w:spacing w:after="0" w:line="151" w:lineRule="exact"/>
        <w:rPr>
          <w:sz w:val="20"/>
          <w:szCs w:val="20"/>
          <w:color w:val="auto"/>
        </w:rPr>
      </w:pPr>
    </w:p>
    <w:p>
      <w:pPr>
        <w:ind w:left="1100" w:right="959" w:firstLine="318"/>
        <w:spacing w:after="0"/>
        <w:rPr>
          <w:sz w:val="20"/>
          <w:szCs w:val="20"/>
          <w:color w:val="auto"/>
        </w:rPr>
      </w:pPr>
      <w:r>
        <w:rPr>
          <w:rFonts w:ascii="Times New Roman" w:cs="Times New Roman" w:eastAsia="Times New Roman" w:hAnsi="Times New Roman"/>
          <w:sz w:val="16"/>
          <w:szCs w:val="16"/>
          <w:color w:val="auto"/>
        </w:rPr>
        <w:t>In considering the recommendation of the Peach State board of directors that you vote to approve the merger agreement, you should be aware that the executive officers and directors of Peach State may have interests in the merger that are different from, or in addition to, those of Peach State shareholders generally. The Peach State board of directors was aware of these interests and considered them, among other matters, in reaching its decision to adopt and approve the merger agreement and to recommend that Peach State shareholders vote in favor of approving the merger agreement. See “The Merger — Background of the Merger” and “The Merger — Peach State’s Reasons for the Merger and Recommendations of Peach State’s Board of Directors.” Peach State’s shareholders should take these interests into account in deciding whether to vote for the proposal to adopt the merger agreement. These interests are described in more detail below, and certain of them are quantified in the narrative below. Terms that appear in quotation marks that are not otherwise defined herein have the meaning set forth in the applicable agreement.</w:t>
      </w:r>
    </w:p>
    <w:p>
      <w:pPr>
        <w:spacing w:after="0" w:line="1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For purposes of this disclosure, Peach State’s executive officers are:</w:t>
      </w:r>
    </w:p>
    <w:p>
      <w:pPr>
        <w:spacing w:after="0" w:line="100" w:lineRule="exact"/>
        <w:rPr>
          <w:sz w:val="20"/>
          <w:szCs w:val="20"/>
          <w:color w:val="auto"/>
        </w:rPr>
      </w:pPr>
    </w:p>
    <w:p>
      <w:pPr>
        <w:ind w:left="1580" w:hanging="160"/>
        <w:spacing w:after="0"/>
        <w:tabs>
          <w:tab w:leader="none" w:pos="15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Ronald G. Quinn — </w:t>
      </w:r>
      <w:r>
        <w:rPr>
          <w:rFonts w:ascii="Times New Roman" w:cs="Times New Roman" w:eastAsia="Times New Roman" w:hAnsi="Times New Roman"/>
          <w:sz w:val="16"/>
          <w:szCs w:val="16"/>
          <w:i w:val="1"/>
          <w:iCs w:val="1"/>
          <w:color w:val="auto"/>
        </w:rPr>
        <w:t>President and Chief Executive Officer</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Charles W. Blair — </w:t>
      </w:r>
      <w:r>
        <w:rPr>
          <w:rFonts w:ascii="Times New Roman" w:cs="Times New Roman" w:eastAsia="Times New Roman" w:hAnsi="Times New Roman"/>
          <w:sz w:val="16"/>
          <w:szCs w:val="16"/>
          <w:i w:val="1"/>
          <w:iCs w:val="1"/>
          <w:color w:val="auto"/>
        </w:rPr>
        <w:t>Executive Vice President and Chief Financial Officer</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Terry D. Baker — </w:t>
      </w:r>
      <w:r>
        <w:rPr>
          <w:rFonts w:ascii="Times New Roman" w:cs="Times New Roman" w:eastAsia="Times New Roman" w:hAnsi="Times New Roman"/>
          <w:sz w:val="16"/>
          <w:szCs w:val="16"/>
          <w:i w:val="1"/>
          <w:iCs w:val="1"/>
          <w:color w:val="auto"/>
        </w:rPr>
        <w:t>Executive Vice President and Chief Lending Officer</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Gina S. Rider — </w:t>
      </w:r>
      <w:r>
        <w:rPr>
          <w:rFonts w:ascii="Times New Roman" w:cs="Times New Roman" w:eastAsia="Times New Roman" w:hAnsi="Times New Roman"/>
          <w:sz w:val="16"/>
          <w:szCs w:val="16"/>
          <w:i w:val="1"/>
          <w:iCs w:val="1"/>
          <w:color w:val="auto"/>
        </w:rPr>
        <w:t>Executive Vice President and Chief Operations Officer</w:t>
      </w:r>
    </w:p>
    <w:p>
      <w:pPr>
        <w:spacing w:after="0" w:line="101" w:lineRule="exact"/>
        <w:rPr>
          <w:rFonts w:ascii="Times New Roman" w:cs="Times New Roman" w:eastAsia="Times New Roman" w:hAnsi="Times New Roman"/>
          <w:sz w:val="16"/>
          <w:szCs w:val="16"/>
          <w:color w:val="auto"/>
        </w:rPr>
      </w:pPr>
    </w:p>
    <w:p>
      <w:pPr>
        <w:ind w:left="1580" w:hanging="160"/>
        <w:spacing w:after="0"/>
        <w:tabs>
          <w:tab w:leader="none" w:pos="15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William A. Stewart — </w:t>
      </w:r>
      <w:r>
        <w:rPr>
          <w:rFonts w:ascii="Times New Roman" w:cs="Times New Roman" w:eastAsia="Times New Roman" w:hAnsi="Times New Roman"/>
          <w:sz w:val="16"/>
          <w:szCs w:val="16"/>
          <w:i w:val="1"/>
          <w:iCs w:val="1"/>
          <w:color w:val="auto"/>
        </w:rPr>
        <w:t>Executive Vice President and Chief Risk Officer</w:t>
      </w:r>
    </w:p>
    <w:p>
      <w:pPr>
        <w:spacing w:after="0" w:line="140" w:lineRule="exact"/>
        <w:rPr>
          <w:sz w:val="20"/>
          <w:szCs w:val="20"/>
          <w:color w:val="auto"/>
        </w:rPr>
      </w:pPr>
    </w:p>
    <w:p>
      <w:pPr>
        <w:ind w:left="1100" w:right="1059" w:firstLine="318"/>
        <w:spacing w:after="0" w:line="263" w:lineRule="auto"/>
        <w:rPr>
          <w:sz w:val="20"/>
          <w:szCs w:val="20"/>
          <w:color w:val="auto"/>
        </w:rPr>
      </w:pPr>
      <w:r>
        <w:rPr>
          <w:rFonts w:ascii="Times New Roman" w:cs="Times New Roman" w:eastAsia="Times New Roman" w:hAnsi="Times New Roman"/>
          <w:sz w:val="16"/>
          <w:szCs w:val="16"/>
          <w:color w:val="auto"/>
        </w:rPr>
        <w:t>For purposes of this disclosure, Peach State’s non-employee directors are C. Andrew Fuller, Clifton Hastings, Joe Hatfield, Wesley E. Martin, Steve McKibbon, Nancy Norton, Ricky Presley, Stewart Teaver, and Tracy Vardeman.</w:t>
      </w:r>
    </w:p>
    <w:p>
      <w:pPr>
        <w:spacing w:after="0" w:line="1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Treatment of Peach State Stock Options</w:t>
      </w:r>
    </w:p>
    <w:p>
      <w:pPr>
        <w:spacing w:after="0" w:line="140" w:lineRule="exact"/>
        <w:rPr>
          <w:sz w:val="20"/>
          <w:szCs w:val="20"/>
          <w:color w:val="auto"/>
        </w:rPr>
      </w:pPr>
    </w:p>
    <w:p>
      <w:pPr>
        <w:ind w:left="1100" w:right="919" w:firstLine="318"/>
        <w:spacing w:after="0" w:line="255" w:lineRule="auto"/>
        <w:rPr>
          <w:sz w:val="20"/>
          <w:szCs w:val="20"/>
          <w:color w:val="auto"/>
        </w:rPr>
      </w:pPr>
      <w:r>
        <w:rPr>
          <w:rFonts w:ascii="Times New Roman" w:cs="Times New Roman" w:eastAsia="Times New Roman" w:hAnsi="Times New Roman"/>
          <w:sz w:val="16"/>
          <w:szCs w:val="16"/>
          <w:color w:val="auto"/>
        </w:rPr>
        <w:t>At the effective time, each outstanding option to purchase shares of Peach State common stock granted under the Peach State Bancshares, Inc. 2016 Long-Term Incentive Plan, whether vested or unvested, will become fully vested and will be converted into the right to receive an amount in cash equal to the product of</w:t>
      </w:r>
    </w:p>
    <w:p>
      <w:pPr>
        <w:spacing w:after="0" w:line="2" w:lineRule="exact"/>
        <w:rPr>
          <w:sz w:val="20"/>
          <w:szCs w:val="20"/>
          <w:color w:val="auto"/>
        </w:rPr>
      </w:pPr>
    </w:p>
    <w:p>
      <w:pPr>
        <w:ind w:left="1100" w:right="919" w:firstLine="3"/>
        <w:spacing w:after="0" w:line="250" w:lineRule="auto"/>
        <w:tabs>
          <w:tab w:leader="none" w:pos="130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excess of (x) $31.75 over (y) the exercise price per share of Peach State common stock subject to such Peach State stock option and (ii) the number of Peach State common shares subject to such Peach State stock option immediately prior to the effective time, without interest and less applicable withholding taxes. Any Peach State stock option that has an exercise price per share that is greater than or equal to $31.75, whether vested or unvested, will be cancelled at the effective time for no consideration or payment in respect thereof.</w:t>
      </w:r>
    </w:p>
    <w:p>
      <w:pPr>
        <w:spacing w:after="0" w:line="288" w:lineRule="exact"/>
        <w:rPr>
          <w:sz w:val="20"/>
          <w:szCs w:val="20"/>
          <w:color w:val="auto"/>
        </w:rPr>
      </w:pPr>
    </w:p>
    <w:p>
      <w:pPr>
        <w:ind w:left="1100" w:right="899" w:firstLine="318"/>
        <w:spacing w:after="0" w:line="253" w:lineRule="auto"/>
        <w:rPr>
          <w:sz w:val="20"/>
          <w:szCs w:val="20"/>
          <w:color w:val="auto"/>
        </w:rPr>
      </w:pPr>
      <w:r>
        <w:rPr>
          <w:rFonts w:ascii="Times New Roman" w:cs="Times New Roman" w:eastAsia="Times New Roman" w:hAnsi="Times New Roman"/>
          <w:sz w:val="16"/>
          <w:szCs w:val="16"/>
          <w:color w:val="auto"/>
        </w:rPr>
        <w:t>Peach State has previously granted time-based stock options to certain employees, including the executive officers and directors. Assuming the merger closes on August 1, 2026, Messrs. Quinn, Baker, Blair, and Stewart and Ms. Rider would receive approximately $667,000, $424,000, $424,000, $182,500 and $145,500, respectively, in respect of their outstanding options, and Messrs. Fuller, Hastings, Hatfield, Martin, McKibbon and Teaver would each receive approximately $484,000 in respect of their outstanding options. The estimated aggregate amount that would be realized by the holders of Peach State stock options at the effective time is approximately $7,198,563, assuming the merger is completed on August 1, 2026.</w:t>
      </w:r>
    </w:p>
    <w:p>
      <w:pPr>
        <w:spacing w:after="0" w:line="16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Change-in-Control Agreements</w:t>
      </w:r>
    </w:p>
    <w:p>
      <w:pPr>
        <w:spacing w:after="0" w:line="140" w:lineRule="exact"/>
        <w:rPr>
          <w:sz w:val="20"/>
          <w:szCs w:val="20"/>
          <w:color w:val="auto"/>
        </w:rPr>
      </w:pPr>
    </w:p>
    <w:p>
      <w:pPr>
        <w:ind w:left="1100" w:right="959" w:firstLine="318"/>
        <w:spacing w:after="0" w:line="252" w:lineRule="auto"/>
        <w:rPr>
          <w:sz w:val="20"/>
          <w:szCs w:val="20"/>
          <w:color w:val="auto"/>
        </w:rPr>
      </w:pPr>
      <w:r>
        <w:rPr>
          <w:rFonts w:ascii="Times New Roman" w:cs="Times New Roman" w:eastAsia="Times New Roman" w:hAnsi="Times New Roman"/>
          <w:sz w:val="16"/>
          <w:szCs w:val="16"/>
          <w:color w:val="auto"/>
        </w:rPr>
        <w:t>Peach State Bank is party to a change-in-control agreement with each of Ronald G. Quinn, Terry D. Baker, Charles W. Blair, Jr., and William A. Stewart, each dated May 1, 2021 (the “CIC Agreements”). Pursuant to the CIC Agreements, if the executive’s employment with Peach State Bank is terminated without “cause” or by the executive for “good reason” on or after a “change in control” ​(such termination, a “Qualifying Termination”), then he is entitled to a cash lump sum payment equal to one (1) times, in the case of Mr. Stewart, one and one-half (1.5) times, in the case of Messrs. Baker and Blair, and two and one-half times (2.5) times, in the case of Mr. Quinn, the sum of his (A) then-current base salary and (B) the average annual bonus earned for the three most recently completed calendar years prior to the change in control. Such</w:t>
      </w:r>
    </w:p>
    <w:p>
      <w:pPr>
        <w:spacing w:after="0" w:line="200" w:lineRule="exact"/>
        <w:rPr>
          <w:sz w:val="20"/>
          <w:szCs w:val="20"/>
          <w:color w:val="auto"/>
        </w:rPr>
      </w:pPr>
    </w:p>
    <w:p>
      <w:pPr>
        <w:spacing w:after="0" w:line="31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100" w:right="979"/>
        <w:spacing w:after="0" w:line="248" w:lineRule="auto"/>
        <w:rPr>
          <w:sz w:val="20"/>
          <w:szCs w:val="20"/>
          <w:color w:val="auto"/>
        </w:rPr>
      </w:pPr>
      <w:r>
        <w:rPr>
          <w:rFonts w:ascii="Times New Roman" w:cs="Times New Roman" w:eastAsia="Times New Roman" w:hAnsi="Times New Roman"/>
          <w:sz w:val="16"/>
          <w:szCs w:val="16"/>
          <w:color w:val="auto"/>
        </w:rPr>
        <w:t>amount will be paid to the applicable executive within five (5) days following the effectiveness of a release of claims in favor of Peach State. The executive will also be entitled to receive payments or reimbursement in respect of continued COBRA coverage for up to 12 months following termination. In the event of excise tax exposure under Section 280G of the Code, the CIC Agreements provide for a “better-net” cutback.</w:t>
      </w:r>
    </w:p>
    <w:p>
      <w:pPr>
        <w:spacing w:after="0" w:line="97" w:lineRule="exact"/>
        <w:rPr>
          <w:sz w:val="20"/>
          <w:szCs w:val="20"/>
          <w:color w:val="auto"/>
        </w:rPr>
      </w:pPr>
    </w:p>
    <w:p>
      <w:pPr>
        <w:ind w:left="1100" w:right="1039" w:firstLine="318"/>
        <w:spacing w:after="0" w:line="256" w:lineRule="auto"/>
        <w:rPr>
          <w:sz w:val="20"/>
          <w:szCs w:val="20"/>
          <w:color w:val="auto"/>
        </w:rPr>
      </w:pPr>
      <w:r>
        <w:rPr>
          <w:rFonts w:ascii="Times New Roman" w:cs="Times New Roman" w:eastAsia="Times New Roman" w:hAnsi="Times New Roman"/>
          <w:sz w:val="16"/>
          <w:szCs w:val="16"/>
          <w:color w:val="auto"/>
        </w:rPr>
        <w:t>In addition to compliance with a release requirement, receipt of the payments described above is subject to the executive’s compliance with perpetual confidentiality obligations, as well as noncompetition and customer and employee non-solicitation covenants for 12 months following termination.</w:t>
      </w:r>
    </w:p>
    <w:p>
      <w:pPr>
        <w:spacing w:after="0" w:line="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The merger will constitute a change in control for purposes of the CIC Agreements. Assuming that the</w:t>
      </w:r>
    </w:p>
    <w:p>
      <w:pPr>
        <w:spacing w:after="0" w:line="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merger is completed on August 1, 2026 and each executive experiences a Qualifying Termination on such</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date, each of Messrs. Baker, Blair, Quinn and Stewart would receive a lump sum severance payment equal</w:t>
      </w:r>
    </w:p>
    <w:p>
      <w:pPr>
        <w:ind w:left="1100"/>
        <w:spacing w:after="0" w:line="233" w:lineRule="auto"/>
        <w:rPr>
          <w:sz w:val="20"/>
          <w:szCs w:val="20"/>
          <w:color w:val="auto"/>
        </w:rPr>
      </w:pPr>
      <w:r>
        <w:rPr>
          <w:rFonts w:ascii="Times New Roman" w:cs="Times New Roman" w:eastAsia="Times New Roman" w:hAnsi="Times New Roman"/>
          <w:sz w:val="16"/>
          <w:szCs w:val="16"/>
          <w:color w:val="auto"/>
        </w:rPr>
        <w:t>to approximately $452,447, $527,424, $1,119,319 and $267,029, respectively, and an amount equal to</w:t>
      </w:r>
    </w:p>
    <w:p>
      <w:pPr>
        <w:ind w:left="1100"/>
        <w:spacing w:after="0"/>
        <w:rPr>
          <w:sz w:val="20"/>
          <w:szCs w:val="20"/>
          <w:color w:val="auto"/>
        </w:rPr>
      </w:pPr>
      <w:r>
        <w:rPr>
          <w:rFonts w:ascii="Times New Roman" w:cs="Times New Roman" w:eastAsia="Times New Roman" w:hAnsi="Times New Roman"/>
          <w:sz w:val="16"/>
          <w:szCs w:val="16"/>
          <w:color w:val="auto"/>
        </w:rPr>
        <w:t>approximately $15,510, $23,239, $20,519 and $13,077 respectively for 12 months of COBRA coverage.</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Notwithstanding the foregoing, prior to the consummation of the merger and subject to the executive’s</w:t>
      </w:r>
    </w:p>
    <w:p>
      <w:pPr>
        <w:ind w:left="1100"/>
        <w:spacing w:after="0" w:line="233" w:lineRule="auto"/>
        <w:rPr>
          <w:sz w:val="20"/>
          <w:szCs w:val="20"/>
          <w:color w:val="auto"/>
        </w:rPr>
      </w:pPr>
      <w:r>
        <w:rPr>
          <w:rFonts w:ascii="Times New Roman" w:cs="Times New Roman" w:eastAsia="Times New Roman" w:hAnsi="Times New Roman"/>
          <w:sz w:val="16"/>
          <w:szCs w:val="16"/>
          <w:color w:val="auto"/>
        </w:rPr>
        <w:t>compliance with the release requirement and the restrictive covenants by which he is bound, the CIC</w:t>
      </w:r>
    </w:p>
    <w:p>
      <w:pPr>
        <w:ind w:left="1100"/>
        <w:spacing w:after="0"/>
        <w:rPr>
          <w:sz w:val="20"/>
          <w:szCs w:val="20"/>
          <w:color w:val="auto"/>
        </w:rPr>
      </w:pPr>
      <w:r>
        <w:rPr>
          <w:rFonts w:ascii="Times New Roman" w:cs="Times New Roman" w:eastAsia="Times New Roman" w:hAnsi="Times New Roman"/>
          <w:sz w:val="16"/>
          <w:szCs w:val="16"/>
          <w:color w:val="auto"/>
        </w:rPr>
        <w:t>Agreements between Peach State Bank and Messrs. Baker, Blair, Quinn and Stewart will each be terminated</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and Peach State will pay to each executive a lump sum cash payment equal to $452,447, $527,424,</w:t>
      </w:r>
    </w:p>
    <w:p>
      <w:pPr>
        <w:ind w:left="1100"/>
        <w:spacing w:after="0" w:line="233" w:lineRule="auto"/>
        <w:rPr>
          <w:sz w:val="20"/>
          <w:szCs w:val="20"/>
          <w:color w:val="auto"/>
        </w:rPr>
      </w:pPr>
      <w:r>
        <w:rPr>
          <w:rFonts w:ascii="Times New Roman" w:cs="Times New Roman" w:eastAsia="Times New Roman" w:hAnsi="Times New Roman"/>
          <w:sz w:val="16"/>
          <w:szCs w:val="16"/>
          <w:color w:val="auto"/>
        </w:rPr>
        <w:t>$1,119,319 and $267,029, respectively, in full satisfaction of his severance entitlement under the applicable</w:t>
      </w:r>
    </w:p>
    <w:p>
      <w:pPr>
        <w:ind w:left="1100"/>
        <w:spacing w:after="0"/>
        <w:rPr>
          <w:sz w:val="20"/>
          <w:szCs w:val="20"/>
          <w:color w:val="auto"/>
        </w:rPr>
      </w:pPr>
      <w:r>
        <w:rPr>
          <w:rFonts w:ascii="Times New Roman" w:cs="Times New Roman" w:eastAsia="Times New Roman" w:hAnsi="Times New Roman"/>
          <w:sz w:val="16"/>
          <w:szCs w:val="16"/>
          <w:color w:val="auto"/>
        </w:rPr>
        <w:t>CIC Agreement.</w:t>
      </w:r>
    </w:p>
    <w:p>
      <w:pPr>
        <w:spacing w:after="0" w:line="1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Supplemental Executive Retirement Plan</w:t>
      </w:r>
    </w:p>
    <w:p>
      <w:pPr>
        <w:spacing w:after="0" w:line="128" w:lineRule="exact"/>
        <w:rPr>
          <w:sz w:val="20"/>
          <w:szCs w:val="20"/>
          <w:color w:val="auto"/>
        </w:rPr>
      </w:pPr>
    </w:p>
    <w:p>
      <w:pPr>
        <w:ind w:left="1100" w:right="1139" w:firstLine="318"/>
        <w:spacing w:after="0" w:line="248" w:lineRule="auto"/>
        <w:rPr>
          <w:sz w:val="20"/>
          <w:szCs w:val="20"/>
          <w:color w:val="auto"/>
        </w:rPr>
      </w:pPr>
      <w:r>
        <w:rPr>
          <w:rFonts w:ascii="Times New Roman" w:cs="Times New Roman" w:eastAsia="Times New Roman" w:hAnsi="Times New Roman"/>
          <w:sz w:val="16"/>
          <w:szCs w:val="16"/>
          <w:color w:val="auto"/>
        </w:rPr>
        <w:t>Each of Messrs. Baker, Blair and Quinn participate in the Peach State Bank Supplemental Executive Retirement Plan (the “SERP”). The SERP provides for a lump sum payment in the event of a “change in control,” generally equal to the actuarially equivalent value of the executive’s accrued benefit. Each of Messrs. Baker, Blair and Quinn are fully-vested in their SERP benefit.</w:t>
      </w:r>
    </w:p>
    <w:p>
      <w:pPr>
        <w:spacing w:after="0" w:line="97" w:lineRule="exact"/>
        <w:rPr>
          <w:sz w:val="20"/>
          <w:szCs w:val="20"/>
          <w:color w:val="auto"/>
        </w:rPr>
      </w:pPr>
    </w:p>
    <w:p>
      <w:pPr>
        <w:ind w:left="1100" w:right="1039" w:firstLine="318"/>
        <w:spacing w:after="0" w:line="244" w:lineRule="auto"/>
        <w:rPr>
          <w:sz w:val="20"/>
          <w:szCs w:val="20"/>
          <w:color w:val="auto"/>
        </w:rPr>
      </w:pPr>
      <w:r>
        <w:rPr>
          <w:rFonts w:ascii="Times New Roman" w:cs="Times New Roman" w:eastAsia="Times New Roman" w:hAnsi="Times New Roman"/>
          <w:sz w:val="16"/>
          <w:szCs w:val="16"/>
          <w:color w:val="auto"/>
        </w:rPr>
        <w:t>The merger will constitute a change in control for purposes of the SERP. Based upon accrued benefits as of March 31, 2026, and assuming the merger is completed on August 1, 2026, each of Messrs. Baker, Blair and Quinn would receive a lump sum payment equal to $164,224, $446,031 and $465,587, respectively, within 30 days following the completion of the merger. In addition, in connection with the completion of the merger, the SERP will be terminated.</w:t>
      </w:r>
    </w:p>
    <w:p>
      <w:pPr>
        <w:spacing w:after="0" w:line="17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Deferred Compensation Plan</w:t>
      </w:r>
    </w:p>
    <w:p>
      <w:pPr>
        <w:spacing w:after="0" w:line="128" w:lineRule="exact"/>
        <w:rPr>
          <w:sz w:val="20"/>
          <w:szCs w:val="20"/>
          <w:color w:val="auto"/>
        </w:rPr>
      </w:pPr>
    </w:p>
    <w:p>
      <w:pPr>
        <w:ind w:left="1100" w:right="1039" w:firstLine="318"/>
        <w:spacing w:after="0" w:line="253" w:lineRule="auto"/>
        <w:rPr>
          <w:sz w:val="20"/>
          <w:szCs w:val="20"/>
          <w:color w:val="auto"/>
        </w:rPr>
      </w:pPr>
      <w:r>
        <w:rPr>
          <w:rFonts w:ascii="Times New Roman" w:cs="Times New Roman" w:eastAsia="Times New Roman" w:hAnsi="Times New Roman"/>
          <w:sz w:val="16"/>
          <w:szCs w:val="16"/>
          <w:color w:val="auto"/>
        </w:rPr>
        <w:t>Messrs. Baker, Stewart and McKibbon and Ms. Rider participate in the Peach State Bank &amp; Trust Deferred Compensation Plan (the “Deferred Compensation Plan”), pursuant to which they have previously deferred a portion of their base salary and annual bonus in accordance with the terms of the plan. The Deferred Compensation Plan provides for a lump sum payment to the participant of his or her account balance in the event the participant separates from service in connection with a change in control.</w:t>
      </w:r>
    </w:p>
    <w:p>
      <w:pPr>
        <w:ind w:left="1100" w:right="1139"/>
        <w:spacing w:after="0" w:line="257" w:lineRule="auto"/>
        <w:rPr>
          <w:sz w:val="20"/>
          <w:szCs w:val="20"/>
          <w:color w:val="auto"/>
        </w:rPr>
      </w:pPr>
      <w:r>
        <w:rPr>
          <w:rFonts w:ascii="Times New Roman" w:cs="Times New Roman" w:eastAsia="Times New Roman" w:hAnsi="Times New Roman"/>
          <w:sz w:val="16"/>
          <w:szCs w:val="16"/>
          <w:color w:val="auto"/>
        </w:rPr>
        <w:t>Messrs. Baker, Stewart and McKibbon and Ms. Rider are fully vested in their account balances under the Deferred Compensation Plan.</w:t>
      </w:r>
    </w:p>
    <w:p>
      <w:pPr>
        <w:spacing w:after="0" w:line="101" w:lineRule="exact"/>
        <w:rPr>
          <w:sz w:val="20"/>
          <w:szCs w:val="20"/>
          <w:color w:val="auto"/>
        </w:rPr>
      </w:pPr>
    </w:p>
    <w:p>
      <w:pPr>
        <w:ind w:left="1100" w:right="979" w:firstLine="318"/>
        <w:spacing w:after="0" w:line="253" w:lineRule="auto"/>
        <w:rPr>
          <w:sz w:val="20"/>
          <w:szCs w:val="20"/>
          <w:color w:val="auto"/>
        </w:rPr>
      </w:pPr>
      <w:r>
        <w:rPr>
          <w:rFonts w:ascii="Times New Roman" w:cs="Times New Roman" w:eastAsia="Times New Roman" w:hAnsi="Times New Roman"/>
          <w:sz w:val="16"/>
          <w:szCs w:val="16"/>
          <w:color w:val="auto"/>
        </w:rPr>
        <w:t>The merger will constitute a change in control for purposes of the Deferred Compensation Plan. Based upon account balances as of March 31, 2026, and assuming the merger is completed on August 1, 2026 and each executive experiences a separation from service on such date, Messrs. Baker, Stewart and McKibbon and Ms. Rider would receive a payout of approximately $64,163, $10,394, $19,228 and $32,154, respectively. Notwithstanding the foregoing, in connection with the merger, Peach State will terminate the Deferred Compensation Plan, and as such, the distribution of the account balances thereunder will occur irrespective of whether or not such executive experiences a separation from service.</w:t>
      </w:r>
    </w:p>
    <w:p>
      <w:pPr>
        <w:spacing w:after="0" w:line="16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Retention Agreement with Mr. Quinn</w:t>
      </w:r>
    </w:p>
    <w:p>
      <w:pPr>
        <w:spacing w:after="0" w:line="140" w:lineRule="exact"/>
        <w:rPr>
          <w:sz w:val="20"/>
          <w:szCs w:val="20"/>
          <w:color w:val="auto"/>
        </w:rPr>
      </w:pPr>
    </w:p>
    <w:p>
      <w:pPr>
        <w:ind w:left="1100" w:right="1079" w:firstLine="318"/>
        <w:spacing w:after="0" w:line="257" w:lineRule="auto"/>
        <w:rPr>
          <w:sz w:val="20"/>
          <w:szCs w:val="20"/>
          <w:color w:val="auto"/>
        </w:rPr>
      </w:pPr>
      <w:r>
        <w:rPr>
          <w:rFonts w:ascii="Times New Roman" w:cs="Times New Roman" w:eastAsia="Times New Roman" w:hAnsi="Times New Roman"/>
          <w:sz w:val="16"/>
          <w:szCs w:val="16"/>
          <w:color w:val="auto"/>
        </w:rPr>
        <w:t>Concurrently with the execution of the merger agreement, United entered into a retention letter agreement (the “Retention Letter”) with Mr. Quinn, which will become effective upon completion of the merger, and which memorializes the terms of his continued employment with United as Chairman, Hall County, Georgia, for the two (2)-year period following the completion of the merger (the “Term”). During the</w:t>
      </w:r>
    </w:p>
    <w:p>
      <w:pPr>
        <w:spacing w:after="0" w:line="200" w:lineRule="exact"/>
        <w:rPr>
          <w:sz w:val="20"/>
          <w:szCs w:val="20"/>
          <w:color w:val="auto"/>
        </w:rPr>
      </w:pPr>
    </w:p>
    <w:p>
      <w:pPr>
        <w:spacing w:after="0" w:line="3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spacing w:after="0" w:line="256" w:lineRule="auto"/>
        <w:rPr>
          <w:sz w:val="20"/>
          <w:szCs w:val="20"/>
          <w:color w:val="auto"/>
        </w:rPr>
      </w:pPr>
      <w:r>
        <w:rPr>
          <w:rFonts w:ascii="Times New Roman" w:cs="Times New Roman" w:eastAsia="Times New Roman" w:hAnsi="Times New Roman"/>
          <w:sz w:val="16"/>
          <w:szCs w:val="16"/>
          <w:color w:val="auto"/>
        </w:rPr>
        <w:t xml:space="preserve">Term, Mr. Quinn will receive a base salary of $320,000, subject to increase in 2027 pursuant to United’s annual merit award process, and an annual cash incentive opportunity equal to forty percent (40%) of his base salary. Mr. Quinn will also be eligible to participate in United’s broadly-applicable employee benefit plans;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he will not be eligible for long-term incentive compensation or severance benefits under any United plan or policy during the Term.</w:t>
      </w:r>
    </w:p>
    <w:p>
      <w:pPr>
        <w:spacing w:after="0" w:line="1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On or immediately prior to or on the date on which the merger is completed, Mr. Quinn will receive</w:t>
      </w:r>
    </w:p>
    <w:p>
      <w:pPr>
        <w:spacing w:after="0" w:line="24" w:lineRule="exact"/>
        <w:rPr>
          <w:sz w:val="20"/>
          <w:szCs w:val="20"/>
          <w:color w:val="auto"/>
        </w:rPr>
      </w:pPr>
    </w:p>
    <w:p>
      <w:pPr>
        <w:ind w:left="1100" w:right="999" w:firstLine="3"/>
        <w:spacing w:after="0" w:line="250" w:lineRule="auto"/>
        <w:tabs>
          <w:tab w:leader="none" w:pos="130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lump sum cash payment of $1,119,320, representing the amount to which he would be entitled under his existing employment agreement upon a “Qualifying Termination of Employment,” as described in further detail above in the section titled “— </w:t>
      </w:r>
      <w:r>
        <w:rPr>
          <w:rFonts w:ascii="Times New Roman" w:cs="Times New Roman" w:eastAsia="Times New Roman" w:hAnsi="Times New Roman"/>
          <w:sz w:val="16"/>
          <w:szCs w:val="16"/>
          <w:i w:val="1"/>
          <w:iCs w:val="1"/>
          <w:color w:val="auto"/>
        </w:rPr>
        <w:t>Change-in-Control Agreements</w:t>
      </w:r>
      <w:r>
        <w:rPr>
          <w:rFonts w:ascii="Times New Roman" w:cs="Times New Roman" w:eastAsia="Times New Roman" w:hAnsi="Times New Roman"/>
          <w:sz w:val="16"/>
          <w:szCs w:val="16"/>
          <w:color w:val="auto"/>
        </w:rPr>
        <w:t xml:space="preserve">”, and (ii) the amount accrued under the Peach State SERP, as described in further detail above in the section titled “— </w:t>
      </w:r>
      <w:r>
        <w:rPr>
          <w:rFonts w:ascii="Times New Roman" w:cs="Times New Roman" w:eastAsia="Times New Roman" w:hAnsi="Times New Roman"/>
          <w:sz w:val="16"/>
          <w:szCs w:val="16"/>
          <w:i w:val="1"/>
          <w:iCs w:val="1"/>
          <w:color w:val="auto"/>
        </w:rPr>
        <w:t>Supplemental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Executive Retirement Plan</w:t>
      </w:r>
      <w:r>
        <w:rPr>
          <w:rFonts w:ascii="Times New Roman" w:cs="Times New Roman" w:eastAsia="Times New Roman" w:hAnsi="Times New Roman"/>
          <w:sz w:val="16"/>
          <w:szCs w:val="16"/>
          <w:color w:val="auto"/>
        </w:rPr>
        <w:t>”, in each case, less applicable withholding and subject to Mr. Quinn’s execution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non-revocation of a release of claims. In addition, Mr. Quinn’s Peach State-owned vehicle will be transferred to him at closing.</w:t>
      </w:r>
    </w:p>
    <w:p>
      <w:pPr>
        <w:spacing w:after="0" w:line="107" w:lineRule="exact"/>
        <w:rPr>
          <w:sz w:val="20"/>
          <w:szCs w:val="20"/>
          <w:color w:val="auto"/>
        </w:rPr>
      </w:pPr>
    </w:p>
    <w:p>
      <w:pPr>
        <w:ind w:left="1100" w:right="1019" w:firstLine="318"/>
        <w:spacing w:after="0" w:line="256" w:lineRule="auto"/>
        <w:rPr>
          <w:sz w:val="20"/>
          <w:szCs w:val="20"/>
          <w:color w:val="auto"/>
        </w:rPr>
      </w:pPr>
      <w:r>
        <w:rPr>
          <w:rFonts w:ascii="Times New Roman" w:cs="Times New Roman" w:eastAsia="Times New Roman" w:hAnsi="Times New Roman"/>
          <w:sz w:val="16"/>
          <w:szCs w:val="16"/>
          <w:color w:val="auto"/>
        </w:rPr>
        <w:t>During the Term and for a period of twenty-four (24) months thereafter, Mr. Quinn will be bound by standard non-solicitation and noncompetition covenants, as well as perpetual confidentiality obligations. The Retention Letter also requires that Mr. Quinn execute United’s standard Non-Disclosure and Non-Solicitation Agreement. In the event of excise tax exposure under Section 280G of the Code, the Retention Letter provides for a “better-net” cutback.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DESCRIPTION OF CAPITAL STOCK OF UNITED</w:t>
      </w:r>
    </w:p>
    <w:p>
      <w:pPr>
        <w:spacing w:after="0" w:line="138" w:lineRule="exact"/>
        <w:rPr>
          <w:sz w:val="20"/>
          <w:szCs w:val="20"/>
          <w:color w:val="auto"/>
        </w:rPr>
      </w:pPr>
    </w:p>
    <w:p>
      <w:pPr>
        <w:ind w:left="1100" w:right="1019" w:firstLine="318"/>
        <w:spacing w:after="0" w:line="243" w:lineRule="auto"/>
        <w:rPr>
          <w:sz w:val="20"/>
          <w:szCs w:val="20"/>
          <w:color w:val="auto"/>
        </w:rPr>
      </w:pPr>
      <w:r>
        <w:rPr>
          <w:rFonts w:ascii="Times New Roman" w:cs="Times New Roman" w:eastAsia="Times New Roman" w:hAnsi="Times New Roman"/>
          <w:sz w:val="16"/>
          <w:szCs w:val="16"/>
          <w:i w:val="1"/>
          <w:iCs w:val="1"/>
          <w:color w:val="auto"/>
        </w:rPr>
        <w:t>As a result of the merger, Peach State shareholders who receive shares of United common stock in the merger will become shareholders of United. Your rights as a shareholder of United will be governed by the GBCC, the United articles of incorporation, and the United bylaws. The following briefly summarizes the material terms of United common stock that will be issued in connection with the merger. We urge you to read the applicable provisions of the GBCC, the United articles of incorporation and the United bylaws. United’s articles of incorporation and bylaws are incorporated herein by reference and will be sent to shareholders of United and Peach State upon request. See “Where You Can Find More Information.”</w:t>
      </w:r>
    </w:p>
    <w:p>
      <w:pPr>
        <w:spacing w:after="0" w:line="104" w:lineRule="exact"/>
        <w:rPr>
          <w:sz w:val="20"/>
          <w:szCs w:val="20"/>
          <w:color w:val="auto"/>
        </w:rPr>
      </w:pPr>
    </w:p>
    <w:p>
      <w:pPr>
        <w:ind w:left="1100" w:right="1239" w:firstLine="318"/>
        <w:spacing w:after="0" w:line="256" w:lineRule="auto"/>
        <w:rPr>
          <w:sz w:val="20"/>
          <w:szCs w:val="20"/>
          <w:color w:val="auto"/>
        </w:rPr>
      </w:pPr>
      <w:r>
        <w:rPr>
          <w:rFonts w:ascii="Times New Roman" w:cs="Times New Roman" w:eastAsia="Times New Roman" w:hAnsi="Times New Roman"/>
          <w:sz w:val="16"/>
          <w:szCs w:val="16"/>
          <w:color w:val="auto"/>
        </w:rPr>
        <w:t>United’s articles of incorporation authorize the issuance of 200,000,000 shares of common stock, 30,000,000 shares of non-voting common stock and 10,000,000 shares of preferred stock, all with a par value of $1.00 per share.</w:t>
      </w:r>
    </w:p>
    <w:p>
      <w:pPr>
        <w:spacing w:after="0" w:line="1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Voting Rights</w:t>
      </w:r>
    </w:p>
    <w:p>
      <w:pPr>
        <w:spacing w:after="0" w:line="128" w:lineRule="exact"/>
        <w:rPr>
          <w:sz w:val="20"/>
          <w:szCs w:val="20"/>
          <w:color w:val="auto"/>
        </w:rPr>
      </w:pPr>
    </w:p>
    <w:p>
      <w:pPr>
        <w:ind w:left="1100" w:right="899" w:firstLine="318"/>
        <w:spacing w:after="0" w:line="256" w:lineRule="auto"/>
        <w:rPr>
          <w:sz w:val="20"/>
          <w:szCs w:val="20"/>
          <w:color w:val="auto"/>
        </w:rPr>
      </w:pPr>
      <w:r>
        <w:rPr>
          <w:rFonts w:ascii="Times New Roman" w:cs="Times New Roman" w:eastAsia="Times New Roman" w:hAnsi="Times New Roman"/>
          <w:sz w:val="16"/>
          <w:szCs w:val="16"/>
          <w:color w:val="auto"/>
        </w:rPr>
        <w:t>Subject to such voting rights, if any, of any preferred stock, all voting rights are vested in the holders of United common stock. Each holder of United common stock is entitled to one vote per share on any issue requiring a vote at any meeting. There are no cumulative voting rights in the election of directors.</w:t>
      </w:r>
    </w:p>
    <w:p>
      <w:pPr>
        <w:spacing w:after="0" w:line="1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Preemption</w:t>
      </w:r>
    </w:p>
    <w:p>
      <w:pPr>
        <w:spacing w:after="0" w:line="140" w:lineRule="exact"/>
        <w:rPr>
          <w:sz w:val="20"/>
          <w:szCs w:val="20"/>
          <w:color w:val="auto"/>
        </w:rPr>
      </w:pPr>
    </w:p>
    <w:p>
      <w:pPr>
        <w:ind w:left="1100" w:right="979" w:firstLine="318"/>
        <w:spacing w:after="0" w:line="248" w:lineRule="auto"/>
        <w:rPr>
          <w:sz w:val="20"/>
          <w:szCs w:val="20"/>
          <w:color w:val="auto"/>
        </w:rPr>
      </w:pPr>
      <w:r>
        <w:rPr>
          <w:rFonts w:ascii="Times New Roman" w:cs="Times New Roman" w:eastAsia="Times New Roman" w:hAnsi="Times New Roman"/>
          <w:sz w:val="16"/>
          <w:szCs w:val="16"/>
          <w:color w:val="auto"/>
        </w:rPr>
        <w:t>No holder of shares of any class of United’s capital stock has or will have any right, pre-emptive or other, to subscribe for or to purchase from United any of the shares of any class of United capital stock that may be issued or sold in the future.</w:t>
      </w:r>
    </w:p>
    <w:p>
      <w:pPr>
        <w:spacing w:after="0" w:line="1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40" w:lineRule="exact"/>
        <w:rPr>
          <w:sz w:val="20"/>
          <w:szCs w:val="20"/>
          <w:color w:val="auto"/>
        </w:rPr>
      </w:pPr>
    </w:p>
    <w:p>
      <w:pPr>
        <w:ind w:left="1100" w:right="939" w:firstLine="318"/>
        <w:spacing w:after="0" w:line="244" w:lineRule="auto"/>
        <w:rPr>
          <w:sz w:val="20"/>
          <w:szCs w:val="20"/>
          <w:color w:val="auto"/>
        </w:rPr>
      </w:pPr>
      <w:r>
        <w:rPr>
          <w:rFonts w:ascii="Times New Roman" w:cs="Times New Roman" w:eastAsia="Times New Roman" w:hAnsi="Times New Roman"/>
          <w:sz w:val="16"/>
          <w:szCs w:val="16"/>
          <w:color w:val="auto"/>
        </w:rPr>
        <w:t>Subject to the preferential dividend rights, if any, of any non -voting common stock or preferred stock that might be issued, the holders of United common stock will be entitled to share equally in such dividends as United’s board of directors may declare on United’s common stock from sources legally available therefor. The determination and declaration of dividends is within the discretion of United’s board of directors.</w:t>
      </w:r>
    </w:p>
    <w:p>
      <w:pPr>
        <w:spacing w:after="0" w:line="34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Distributions</w:t>
      </w:r>
    </w:p>
    <w:p>
      <w:pPr>
        <w:spacing w:after="0" w:line="140" w:lineRule="exact"/>
        <w:rPr>
          <w:sz w:val="20"/>
          <w:szCs w:val="20"/>
          <w:color w:val="auto"/>
        </w:rPr>
      </w:pPr>
    </w:p>
    <w:p>
      <w:pPr>
        <w:ind w:left="1100" w:right="919" w:firstLine="318"/>
        <w:spacing w:after="0" w:line="245" w:lineRule="auto"/>
        <w:rPr>
          <w:sz w:val="20"/>
          <w:szCs w:val="20"/>
          <w:color w:val="auto"/>
        </w:rPr>
      </w:pPr>
      <w:r>
        <w:rPr>
          <w:rFonts w:ascii="Times New Roman" w:cs="Times New Roman" w:eastAsia="Times New Roman" w:hAnsi="Times New Roman"/>
          <w:sz w:val="16"/>
          <w:szCs w:val="16"/>
          <w:color w:val="auto"/>
        </w:rPr>
        <w:t>After distribution in full of any preferential amount to be distributed to the holders of any non-voting common stock or preferred stock that might be issued, holders of United common stock will be entitled to receive, in the event of the voluntary or involuntary liquidation, dissolution, distribution of assets or winding- up of United, all of United’s remaining assets of whatever kind available for distribution to United’s shareholders, after payment or provision for payment of all United’s debts and liabilities, ratably in proportion to the number of shares of United common stock held by them.</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Classified Board</w:t>
      </w:r>
    </w:p>
    <w:p>
      <w:pPr>
        <w:spacing w:after="0" w:line="128" w:lineRule="exact"/>
        <w:rPr>
          <w:sz w:val="20"/>
          <w:szCs w:val="20"/>
          <w:color w:val="auto"/>
        </w:rPr>
      </w:pPr>
    </w:p>
    <w:p>
      <w:pPr>
        <w:ind w:left="1100" w:right="1099" w:firstLine="318"/>
        <w:spacing w:after="0" w:line="256" w:lineRule="auto"/>
        <w:rPr>
          <w:sz w:val="20"/>
          <w:szCs w:val="20"/>
          <w:color w:val="auto"/>
        </w:rPr>
      </w:pPr>
      <w:r>
        <w:rPr>
          <w:rFonts w:ascii="Times New Roman" w:cs="Times New Roman" w:eastAsia="Times New Roman" w:hAnsi="Times New Roman"/>
          <w:sz w:val="16"/>
          <w:szCs w:val="16"/>
          <w:color w:val="auto"/>
        </w:rPr>
        <w:t>United’s board of directors is not classified and each member is elected annually. United’s articles of incorporation provide that directors can only be removed for cause and upon the affirmative vote of the holders of two-thirds of the issued and outstanding shares entitled to vote on such matter.</w:t>
      </w:r>
    </w:p>
    <w:p>
      <w:pPr>
        <w:spacing w:after="0" w:line="1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Assessment and Other Provisions</w:t>
      </w:r>
    </w:p>
    <w:p>
      <w:pPr>
        <w:spacing w:after="0" w:line="140" w:lineRule="exact"/>
        <w:rPr>
          <w:sz w:val="20"/>
          <w:szCs w:val="20"/>
          <w:color w:val="auto"/>
        </w:rPr>
      </w:pPr>
    </w:p>
    <w:p>
      <w:pPr>
        <w:ind w:left="1100" w:right="1019" w:firstLine="318"/>
        <w:spacing w:after="0" w:line="244" w:lineRule="auto"/>
        <w:rPr>
          <w:sz w:val="20"/>
          <w:szCs w:val="20"/>
          <w:color w:val="auto"/>
        </w:rPr>
      </w:pPr>
      <w:r>
        <w:rPr>
          <w:rFonts w:ascii="Times New Roman" w:cs="Times New Roman" w:eastAsia="Times New Roman" w:hAnsi="Times New Roman"/>
          <w:sz w:val="16"/>
          <w:szCs w:val="16"/>
          <w:color w:val="auto"/>
        </w:rPr>
        <w:t>The outstanding shares of United’s common stock are, and, upon payment of consideration payable therefor, any shares of common stock issued by United in the future will be, fully paid and nonassessable. United’s common stock does not have any conversion rights and is not subject to any redemption provisions. No shares of any class of United’s capital stock are subject to any sinking fund provisions or to calls, assessments by or liabilities of United.</w:t>
      </w:r>
    </w:p>
    <w:p>
      <w:pPr>
        <w:spacing w:after="0" w:line="15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Issuance of Non-voting Common Stock</w:t>
      </w:r>
    </w:p>
    <w:p>
      <w:pPr>
        <w:spacing w:after="0" w:line="140" w:lineRule="exact"/>
        <w:rPr>
          <w:sz w:val="20"/>
          <w:szCs w:val="20"/>
          <w:color w:val="auto"/>
        </w:rPr>
      </w:pPr>
    </w:p>
    <w:p>
      <w:pPr>
        <w:ind w:left="1100" w:right="1419" w:firstLine="318"/>
        <w:spacing w:after="0" w:line="263" w:lineRule="auto"/>
        <w:rPr>
          <w:sz w:val="20"/>
          <w:szCs w:val="20"/>
          <w:color w:val="auto"/>
        </w:rPr>
      </w:pPr>
      <w:r>
        <w:rPr>
          <w:rFonts w:ascii="Times New Roman" w:cs="Times New Roman" w:eastAsia="Times New Roman" w:hAnsi="Times New Roman"/>
          <w:sz w:val="16"/>
          <w:szCs w:val="16"/>
          <w:color w:val="auto"/>
        </w:rPr>
        <w:t>United’s non-voting common stock is issuable at any time, and from time to time, bearing such dividend, conversion, liquidation and other rights and preferences as United’s board of directors may</w:t>
      </w:r>
    </w:p>
    <w:p>
      <w:pPr>
        <w:spacing w:after="0" w:line="3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79"/>
        <w:spacing w:after="0" w:line="256" w:lineRule="auto"/>
        <w:rPr>
          <w:sz w:val="20"/>
          <w:szCs w:val="20"/>
          <w:color w:val="auto"/>
        </w:rPr>
      </w:pPr>
      <w:r>
        <w:rPr>
          <w:rFonts w:ascii="Times New Roman" w:cs="Times New Roman" w:eastAsia="Times New Roman" w:hAnsi="Times New Roman"/>
          <w:sz w:val="16"/>
          <w:szCs w:val="16"/>
          <w:color w:val="auto"/>
        </w:rPr>
        <w:t>determine. The non-voting common stock could be issued for any lawful corporate purpose without further action by United’s shareholders. The issuance of any non-voting common stock having conversion rights could have the effect of diluting the interests of the other shareholders. Shares of non-voting common stock also could be issued with such rights, privileges and preferences as would deter a tender or exchange offer or to discourage the acquisition of control of United.</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Issuance of Preferred Stock</w:t>
      </w:r>
    </w:p>
    <w:p>
      <w:pPr>
        <w:spacing w:after="0" w:line="140" w:lineRule="exact"/>
        <w:rPr>
          <w:sz w:val="20"/>
          <w:szCs w:val="20"/>
          <w:color w:val="auto"/>
        </w:rPr>
      </w:pPr>
    </w:p>
    <w:p>
      <w:pPr>
        <w:ind w:left="1100" w:right="959" w:firstLine="318"/>
        <w:spacing w:after="0" w:line="253" w:lineRule="auto"/>
        <w:rPr>
          <w:sz w:val="20"/>
          <w:szCs w:val="20"/>
          <w:color w:val="auto"/>
        </w:rPr>
      </w:pPr>
      <w:r>
        <w:rPr>
          <w:rFonts w:ascii="Times New Roman" w:cs="Times New Roman" w:eastAsia="Times New Roman" w:hAnsi="Times New Roman"/>
          <w:sz w:val="16"/>
          <w:szCs w:val="16"/>
          <w:color w:val="auto"/>
        </w:rPr>
        <w:t>United’s preferred stock is issuable at any time, and from time to time, in such amounts and series and bearing such voting, dividend, conversion, liquidation and other rights and preferences as United’s board of directors may determine. The preferred stock could be issued for any lawful corporate purpose without further action by United’s shareholders. The issuance of any preferred stock having conversion rights could have the effect of diluting the interests of the other shareholders. Shares of preferred stock also could be issued with such rights, privileges and preferences as would deter a tender or exchange offer or to discourage the acquisition of control of United.</w:t>
      </w:r>
    </w:p>
    <w:p>
      <w:pPr>
        <w:spacing w:after="0" w:line="16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Provisions in United’s Articles of Incorporation</w:t>
      </w:r>
    </w:p>
    <w:p>
      <w:pPr>
        <w:spacing w:after="0" w:line="140" w:lineRule="exact"/>
        <w:rPr>
          <w:sz w:val="20"/>
          <w:szCs w:val="20"/>
          <w:color w:val="auto"/>
        </w:rPr>
      </w:pPr>
    </w:p>
    <w:p>
      <w:pPr>
        <w:ind w:left="1100" w:right="1019" w:firstLine="318"/>
        <w:spacing w:after="0" w:line="279" w:lineRule="auto"/>
        <w:rPr>
          <w:sz w:val="20"/>
          <w:szCs w:val="20"/>
          <w:color w:val="auto"/>
        </w:rPr>
      </w:pPr>
      <w:r>
        <w:rPr>
          <w:rFonts w:ascii="Times New Roman" w:cs="Times New Roman" w:eastAsia="Times New Roman" w:hAnsi="Times New Roman"/>
          <w:sz w:val="16"/>
          <w:szCs w:val="16"/>
          <w:color w:val="auto"/>
        </w:rPr>
        <w:t>United’s articles of incorporation contain certain other provisions that could impede or delay a change in control of United, including:</w:t>
      </w:r>
    </w:p>
    <w:p>
      <w:pPr>
        <w:spacing w:after="0" w:line="49" w:lineRule="exact"/>
        <w:rPr>
          <w:sz w:val="20"/>
          <w:szCs w:val="20"/>
          <w:color w:val="auto"/>
        </w:rPr>
      </w:pPr>
    </w:p>
    <w:p>
      <w:pPr>
        <w:ind w:left="1580" w:right="1019" w:hanging="160"/>
        <w:spacing w:after="0" w:line="258" w:lineRule="auto"/>
        <w:tabs>
          <w:tab w:leader="none" w:pos="15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provision that allows directors, in discharging their fiduciary duties, in addition to considering the effects of any action on United or its shareholders, to consider interests of United’s employees, customers, suppliers and creditors, and the communities in which United’s offices or other establishments are located when considering an acquisition proposal;</w:t>
      </w:r>
    </w:p>
    <w:p>
      <w:pPr>
        <w:spacing w:after="0" w:line="66" w:lineRule="exact"/>
        <w:rPr>
          <w:rFonts w:ascii="Times New Roman" w:cs="Times New Roman" w:eastAsia="Times New Roman" w:hAnsi="Times New Roman"/>
          <w:sz w:val="16"/>
          <w:szCs w:val="16"/>
          <w:color w:val="auto"/>
        </w:rPr>
      </w:pPr>
    </w:p>
    <w:p>
      <w:pPr>
        <w:ind w:left="1580" w:right="999" w:hanging="160"/>
        <w:spacing w:after="0" w:line="252" w:lineRule="auto"/>
        <w:tabs>
          <w:tab w:leader="none" w:pos="15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provision that requires, in addition to any affirmative vote required by law, and subject to the provisions of any series of preferred stock that may at the time be outstanding, the affirmative vote of the holders of not less than 75% of the outstanding shares of United’s common stock other than those beneficially owned (as defined in United’s articles of incorporation) by an Interested Shareholder (as defined in United’s articles of incorporation, but generally a person who owns 10% or more of the shares of United common stock) for the approval or authorization of any Business Combination (as defined in United’s articles of incorporation, but including transactions such as a merger or other acquisition) of United with such Interested Shareholder; provided, that the 75% voting requirement is not applicable if the Business Combination is approved by three-fourths of all members of United’s board of directors;</w:t>
      </w:r>
    </w:p>
    <w:p>
      <w:pPr>
        <w:spacing w:after="0" w:line="69" w:lineRule="exact"/>
        <w:rPr>
          <w:rFonts w:ascii="Times New Roman" w:cs="Times New Roman" w:eastAsia="Times New Roman" w:hAnsi="Times New Roman"/>
          <w:sz w:val="16"/>
          <w:szCs w:val="16"/>
          <w:color w:val="auto"/>
        </w:rPr>
      </w:pPr>
    </w:p>
    <w:p>
      <w:pPr>
        <w:ind w:left="1580" w:right="939" w:hanging="160"/>
        <w:spacing w:after="0" w:line="263" w:lineRule="auto"/>
        <w:tabs>
          <w:tab w:leader="none" w:pos="15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provision that amendments to United’s articles of incorporation and certain provisions in United’s bylaws must be approved by a majority of the outstanding shares of United’s capital stock entitled to vote;</w:t>
      </w:r>
    </w:p>
    <w:p>
      <w:pPr>
        <w:spacing w:after="0" w:line="62" w:lineRule="exact"/>
        <w:rPr>
          <w:rFonts w:ascii="Times New Roman" w:cs="Times New Roman" w:eastAsia="Times New Roman" w:hAnsi="Times New Roman"/>
          <w:sz w:val="16"/>
          <w:szCs w:val="16"/>
          <w:color w:val="auto"/>
        </w:rPr>
      </w:pPr>
    </w:p>
    <w:p>
      <w:pPr>
        <w:ind w:left="1580" w:right="1019" w:hanging="160"/>
        <w:spacing w:after="0" w:line="263" w:lineRule="auto"/>
        <w:tabs>
          <w:tab w:leader="none" w:pos="15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provision that any annual meeting of shareholders may be called only by United’s chairman, chief executive officer, president, chief financial officer, board of directors or the holders of 25% of the outstanding shares of United’s capital stock entitled to vote; and</w:t>
      </w:r>
    </w:p>
    <w:p>
      <w:pPr>
        <w:spacing w:after="0" w:line="62" w:lineRule="exact"/>
        <w:rPr>
          <w:rFonts w:ascii="Times New Roman" w:cs="Times New Roman" w:eastAsia="Times New Roman" w:hAnsi="Times New Roman"/>
          <w:sz w:val="16"/>
          <w:szCs w:val="16"/>
          <w:color w:val="auto"/>
        </w:rPr>
      </w:pPr>
    </w:p>
    <w:p>
      <w:pPr>
        <w:ind w:left="1580" w:right="1019" w:hanging="160"/>
        <w:spacing w:after="0" w:line="279" w:lineRule="auto"/>
        <w:tabs>
          <w:tab w:leader="none" w:pos="15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provision establishing certain advance notice procedures for matters to be considered at an annual meeting of United’s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 OF PEACH</w:t>
      </w:r>
    </w:p>
    <w:p>
      <w:pPr>
        <w:spacing w:after="0" w:line="2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STATE</w:t>
      </w:r>
    </w:p>
    <w:p>
      <w:pPr>
        <w:spacing w:after="0" w:line="121" w:lineRule="exact"/>
        <w:rPr>
          <w:sz w:val="20"/>
          <w:szCs w:val="20"/>
          <w:color w:val="auto"/>
        </w:rPr>
      </w:pPr>
    </w:p>
    <w:p>
      <w:pPr>
        <w:ind w:left="1100" w:right="979" w:firstLine="318"/>
        <w:spacing w:after="0" w:line="256" w:lineRule="auto"/>
        <w:rPr>
          <w:sz w:val="20"/>
          <w:szCs w:val="20"/>
          <w:color w:val="auto"/>
        </w:rPr>
      </w:pPr>
      <w:r>
        <w:rPr>
          <w:rFonts w:ascii="Times New Roman" w:cs="Times New Roman" w:eastAsia="Times New Roman" w:hAnsi="Times New Roman"/>
          <w:sz w:val="16"/>
          <w:szCs w:val="16"/>
          <w:color w:val="auto"/>
        </w:rPr>
        <w:t>The following sets forth the beneficial ownership of Peach State Bancshares, Inc. (“Peach State”) outstanding shares of common stock as of March 31, 2026 by (i) each director and executive officer of Peach State, (ii) all directors and executive officers of Peach State as a group and (iii) each person or entity who is known by Peach Sate to beneficially own more than 5% of the outstanding shares of Peach State common stock.</w:t>
      </w:r>
    </w:p>
    <w:p>
      <w:pPr>
        <w:spacing w:after="0" w:line="103" w:lineRule="exact"/>
        <w:rPr>
          <w:sz w:val="20"/>
          <w:szCs w:val="20"/>
          <w:color w:val="auto"/>
        </w:rPr>
      </w:pPr>
    </w:p>
    <w:p>
      <w:pPr>
        <w:ind w:left="1100" w:right="939" w:firstLine="318"/>
        <w:spacing w:after="0" w:line="254" w:lineRule="auto"/>
        <w:rPr>
          <w:sz w:val="20"/>
          <w:szCs w:val="20"/>
          <w:color w:val="auto"/>
        </w:rPr>
      </w:pPr>
      <w:r>
        <w:rPr>
          <w:rFonts w:ascii="Times New Roman" w:cs="Times New Roman" w:eastAsia="Times New Roman" w:hAnsi="Times New Roman"/>
          <w:sz w:val="16"/>
          <w:szCs w:val="16"/>
          <w:color w:val="auto"/>
        </w:rPr>
        <w:t>The percentage of beneficial ownership by class is calculated in relation to the 3,000,542 outstanding shares of Peach State common stock. Beneficial ownership is determined in accordance with the rules of the SEC, which generally attribute beneficial ownership of securities to persons who possess sole or shared voting or investment power with respect to those securities. Except as otherwise indicated, to Peach State’s knowledge, the persons or entities identified in the table below have sole voting and investment power with respect to all shares shown as beneficially owned by them.</w:t>
      </w:r>
    </w:p>
    <w:p>
      <w:pPr>
        <w:spacing w:after="0" w:line="113" w:lineRule="exact"/>
        <w:rPr>
          <w:sz w:val="20"/>
          <w:szCs w:val="20"/>
          <w:color w:val="auto"/>
        </w:rPr>
      </w:pPr>
    </w:p>
    <w:tbl>
      <w:tblPr>
        <w:tblLayout w:type="fixed"/>
        <w:tblInd w:w="1100" w:type="dxa"/>
        <w:tblCellMar>
          <w:top w:w="0" w:type="dxa"/>
          <w:left w:w="0" w:type="dxa"/>
          <w:bottom w:w="0" w:type="dxa"/>
          <w:right w:w="0" w:type="dxa"/>
        </w:tblCellMar>
      </w:tblPr>
      <w:tr>
        <w:trPr>
          <w:trHeight w:val="201"/>
        </w:trPr>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 ​</w:t>
            </w:r>
          </w:p>
        </w:tc>
        <w:tc>
          <w:tcPr>
            <w:tcW w:w="3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49"/>
        </w:trPr>
        <w:tc>
          <w:tcPr>
            <w:tcW w:w="4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Amount and Nature of</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98"/>
              </w:rPr>
              <w:t>Percent of</w:t>
            </w:r>
          </w:p>
        </w:tc>
        <w:tc>
          <w:tcPr>
            <w:tcW w:w="20" w:type="dxa"/>
            <w:vAlign w:val="bottom"/>
          </w:tcPr>
          <w:p>
            <w:pPr>
              <w:spacing w:after="0"/>
              <w:rPr>
                <w:sz w:val="12"/>
                <w:szCs w:val="12"/>
                <w:color w:val="auto"/>
              </w:rPr>
            </w:pP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 and Address of 5% holders of the shares</w:t>
            </w:r>
          </w:p>
        </w:tc>
        <w:tc>
          <w:tcPr>
            <w:tcW w:w="58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Beneficial Ownership</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7"/>
              </w:rPr>
              <w:t>Class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4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4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Directors and Executive Officers</w:t>
            </w:r>
          </w:p>
        </w:tc>
        <w:tc>
          <w:tcPr>
            <w:tcW w:w="58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i w:val="1"/>
                <w:i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20" w:type="dxa"/>
            <w:vAlign w:val="bottom"/>
          </w:tcPr>
          <w:p>
            <w:pPr>
              <w:spacing w:after="0"/>
              <w:rPr>
                <w:sz w:val="18"/>
                <w:szCs w:val="18"/>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w:t>
            </w:r>
          </w:p>
        </w:tc>
      </w:tr>
      <w:tr>
        <w:trPr>
          <w:trHeight w:val="22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Ron Quinn</w:t>
            </w:r>
          </w:p>
        </w:tc>
        <w:tc>
          <w:tcPr>
            <w:tcW w:w="58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37,681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1.26%</w:t>
            </w:r>
            <w:r>
              <w:rPr>
                <w:rFonts w:ascii="Times New Roman" w:cs="Times New Roman" w:eastAsia="Times New Roman" w:hAnsi="Times New Roman"/>
                <w:sz w:val="16"/>
                <w:szCs w:val="16"/>
                <w:b w:val="1"/>
                <w:bCs w:val="1"/>
                <w:color w:val="auto"/>
              </w:rPr>
              <w:t>​</w:t>
            </w:r>
          </w:p>
        </w:tc>
      </w:tr>
      <w:tr>
        <w:trPr>
          <w:trHeight w:val="22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Charles Blair</w:t>
            </w:r>
          </w:p>
        </w:tc>
        <w:tc>
          <w:tcPr>
            <w:tcW w:w="58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11,000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0"/>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Stewart Teaver</w:t>
            </w:r>
            <w:r>
              <w:rPr>
                <w:rFonts w:ascii="Times New Roman" w:cs="Times New Roman" w:eastAsia="Times New Roman" w:hAnsi="Times New Roman"/>
                <w:sz w:val="20"/>
                <w:szCs w:val="20"/>
                <w:color w:val="auto"/>
                <w:vertAlign w:val="superscript"/>
              </w:rPr>
              <w:t>(a)</w:t>
            </w:r>
          </w:p>
        </w:tc>
        <w:tc>
          <w:tcPr>
            <w:tcW w:w="58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425,115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1"/>
                <w:szCs w:val="21"/>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​14.17%</w:t>
            </w:r>
            <w:r>
              <w:rPr>
                <w:rFonts w:ascii="Times New Roman" w:cs="Times New Roman" w:eastAsia="Times New Roman" w:hAnsi="Times New Roman"/>
                <w:sz w:val="16"/>
                <w:szCs w:val="16"/>
                <w:b w:val="1"/>
                <w:bCs w:val="1"/>
                <w:color w:val="auto"/>
              </w:rPr>
              <w:t>​</w:t>
            </w:r>
          </w:p>
        </w:tc>
      </w:tr>
      <w:tr>
        <w:trPr>
          <w:trHeight w:val="22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Steve McKibbon</w:t>
            </w:r>
          </w:p>
        </w:tc>
        <w:tc>
          <w:tcPr>
            <w:tcW w:w="58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313,456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​10.45%</w:t>
            </w:r>
            <w:r>
              <w:rPr>
                <w:rFonts w:ascii="Times New Roman" w:cs="Times New Roman" w:eastAsia="Times New Roman" w:hAnsi="Times New Roman"/>
                <w:sz w:val="16"/>
                <w:szCs w:val="16"/>
                <w:b w:val="1"/>
                <w:bCs w:val="1"/>
                <w:color w:val="auto"/>
              </w:rPr>
              <w:t>​</w:t>
            </w:r>
          </w:p>
        </w:tc>
      </w:tr>
      <w:tr>
        <w:trPr>
          <w:trHeight w:val="22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Wesley E. Martin</w:t>
            </w:r>
          </w:p>
        </w:tc>
        <w:tc>
          <w:tcPr>
            <w:tcW w:w="58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124,432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4.15%</w:t>
            </w:r>
            <w:r>
              <w:rPr>
                <w:rFonts w:ascii="Times New Roman" w:cs="Times New Roman" w:eastAsia="Times New Roman" w:hAnsi="Times New Roman"/>
                <w:sz w:val="16"/>
                <w:szCs w:val="16"/>
                <w:b w:val="1"/>
                <w:bCs w:val="1"/>
                <w:color w:val="auto"/>
              </w:rPr>
              <w:t>​</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Joe M. Hatfield</w:t>
            </w:r>
          </w:p>
        </w:tc>
        <w:tc>
          <w:tcPr>
            <w:tcW w:w="58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116,182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3.87%</w:t>
            </w:r>
            <w:r>
              <w:rPr>
                <w:rFonts w:ascii="Times New Roman" w:cs="Times New Roman" w:eastAsia="Times New Roman" w:hAnsi="Times New Roman"/>
                <w:sz w:val="16"/>
                <w:szCs w:val="16"/>
                <w:b w:val="1"/>
                <w:bCs w:val="1"/>
                <w:color w:val="auto"/>
              </w:rPr>
              <w:t>​</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Clifton Hastings</w:t>
            </w:r>
          </w:p>
        </w:tc>
        <w:tc>
          <w:tcPr>
            <w:tcW w:w="58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73,300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2.44%</w:t>
            </w:r>
            <w:r>
              <w:rPr>
                <w:rFonts w:ascii="Times New Roman" w:cs="Times New Roman" w:eastAsia="Times New Roman" w:hAnsi="Times New Roman"/>
                <w:sz w:val="16"/>
                <w:szCs w:val="16"/>
                <w:b w:val="1"/>
                <w:bCs w:val="1"/>
                <w:color w:val="auto"/>
              </w:rPr>
              <w:t>​</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 Andrew Fuller</w:t>
            </w:r>
          </w:p>
        </w:tc>
        <w:tc>
          <w:tcPr>
            <w:tcW w:w="58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58,182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1.94%</w:t>
            </w:r>
            <w:r>
              <w:rPr>
                <w:rFonts w:ascii="Times New Roman" w:cs="Times New Roman" w:eastAsia="Times New Roman" w:hAnsi="Times New Roman"/>
                <w:sz w:val="16"/>
                <w:szCs w:val="16"/>
                <w:b w:val="1"/>
                <w:bCs w:val="1"/>
                <w:color w:val="auto"/>
              </w:rPr>
              <w:t>​</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Ricky Presley</w:t>
            </w:r>
          </w:p>
        </w:tc>
        <w:tc>
          <w:tcPr>
            <w:tcW w:w="58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33,000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1.10%</w:t>
            </w:r>
            <w:r>
              <w:rPr>
                <w:rFonts w:ascii="Times New Roman" w:cs="Times New Roman" w:eastAsia="Times New Roman" w:hAnsi="Times New Roman"/>
                <w:sz w:val="16"/>
                <w:szCs w:val="16"/>
                <w:b w:val="1"/>
                <w:bCs w:val="1"/>
                <w:color w:val="auto"/>
              </w:rPr>
              <w:t>​</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Nancy Norton</w:t>
            </w:r>
          </w:p>
        </w:tc>
        <w:tc>
          <w:tcPr>
            <w:tcW w:w="58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6,200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Tracy Vardeman</w:t>
            </w:r>
          </w:p>
        </w:tc>
        <w:tc>
          <w:tcPr>
            <w:tcW w:w="58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3,200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Terry Baker</w:t>
            </w:r>
          </w:p>
        </w:tc>
        <w:tc>
          <w:tcPr>
            <w:tcW w:w="58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19,548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All directors and executive officers as a group (12) persons</w:t>
            </w:r>
          </w:p>
        </w:tc>
        <w:tc>
          <w:tcPr>
            <w:tcW w:w="58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1,221,296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​40.70%</w:t>
            </w:r>
            <w:r>
              <w:rPr>
                <w:rFonts w:ascii="Times New Roman" w:cs="Times New Roman" w:eastAsia="Times New Roman" w:hAnsi="Times New Roman"/>
                <w:sz w:val="16"/>
                <w:szCs w:val="16"/>
                <w:b w:val="1"/>
                <w:bCs w:val="1"/>
                <w:color w:val="auto"/>
              </w:rPr>
              <w:t>​</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Non-Director 5% Shareholders</w:t>
            </w:r>
          </w:p>
        </w:tc>
        <w:tc>
          <w:tcPr>
            <w:tcW w:w="58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i w:val="1"/>
                <w:i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c>
          <w:tcPr>
            <w:tcW w:w="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3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w:t>
            </w:r>
          </w:p>
        </w:tc>
      </w:tr>
      <w:tr>
        <w:trPr>
          <w:trHeight w:val="19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William House</w:t>
            </w:r>
          </w:p>
        </w:tc>
        <w:tc>
          <w:tcPr>
            <w:tcW w:w="5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208,200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7"/>
                <w:szCs w:val="17"/>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6.94%</w:t>
            </w:r>
            <w:r>
              <w:rPr>
                <w:rFonts w:ascii="Times New Roman" w:cs="Times New Roman" w:eastAsia="Times New Roman" w:hAnsi="Times New Roman"/>
                <w:sz w:val="16"/>
                <w:szCs w:val="16"/>
                <w:b w:val="1"/>
                <w:bCs w:val="1"/>
                <w:color w:val="auto"/>
              </w:rPr>
              <w:t>​</w:t>
            </w:r>
          </w:p>
        </w:tc>
      </w:tr>
      <w:tr>
        <w:trPr>
          <w:trHeight w:val="191"/>
        </w:trPr>
        <w:tc>
          <w:tcPr>
            <w:tcW w:w="4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7166 Britt Gailey Rd.</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Clermont, GA 30527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Alvin Gibson</w:t>
            </w:r>
          </w:p>
        </w:tc>
        <w:tc>
          <w:tcPr>
            <w:tcW w:w="58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178,182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5.94%</w:t>
            </w:r>
            <w:r>
              <w:rPr>
                <w:rFonts w:ascii="Times New Roman" w:cs="Times New Roman" w:eastAsia="Times New Roman" w:hAnsi="Times New Roman"/>
                <w:sz w:val="16"/>
                <w:szCs w:val="16"/>
                <w:b w:val="1"/>
                <w:bCs w:val="1"/>
                <w:color w:val="auto"/>
              </w:rPr>
              <w:t>​</w:t>
            </w:r>
          </w:p>
        </w:tc>
      </w:tr>
      <w:tr>
        <w:trPr>
          <w:trHeight w:val="191"/>
        </w:trPr>
        <w:tc>
          <w:tcPr>
            <w:tcW w:w="4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3136 Edgewater Dr.</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Gainesville, GA 30501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-2722880</wp:posOffset>
            </wp:positionV>
            <wp:extent cx="4599305" cy="143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-2419985</wp:posOffset>
            </wp:positionV>
            <wp:extent cx="4599305" cy="143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-2132965</wp:posOffset>
            </wp:positionV>
            <wp:extent cx="4599305" cy="1511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-1830070</wp:posOffset>
            </wp:positionV>
            <wp:extent cx="4599305" cy="1511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-1527810</wp:posOffset>
            </wp:positionV>
            <wp:extent cx="4599305" cy="1511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-1224915</wp:posOffset>
            </wp:positionV>
            <wp:extent cx="4599305" cy="1511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-922655</wp:posOffset>
            </wp:positionV>
            <wp:extent cx="4599305" cy="1511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-377825</wp:posOffset>
            </wp:positionV>
            <wp:extent cx="4599305" cy="3930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4599305" cy="39306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-3017520</wp:posOffset>
            </wp:positionV>
            <wp:extent cx="4599305" cy="1511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143510</wp:posOffset>
            </wp:positionV>
            <wp:extent cx="108902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332" w:lineRule="exact"/>
        <w:rPr>
          <w:sz w:val="20"/>
          <w:szCs w:val="20"/>
          <w:color w:val="auto"/>
        </w:rPr>
      </w:pPr>
    </w:p>
    <w:p>
      <w:pPr>
        <w:ind w:left="1420" w:hanging="317"/>
        <w:spacing w:after="0"/>
        <w:tabs>
          <w:tab w:leader="none" w:pos="14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66" w:lineRule="exact"/>
        <w:rPr>
          <w:sz w:val="20"/>
          <w:szCs w:val="20"/>
          <w:color w:val="auto"/>
        </w:rPr>
      </w:pPr>
    </w:p>
    <w:p>
      <w:pPr>
        <w:ind w:left="1420" w:hanging="317"/>
        <w:spacing w:after="0"/>
        <w:tabs>
          <w:tab w:leader="none" w:pos="14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held by a trust of which he is the trustee.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05" w:lineRule="exact"/>
        <w:rPr>
          <w:rFonts w:ascii="Times New Roman" w:cs="Times New Roman" w:eastAsia="Times New Roman" w:hAnsi="Times New Roman"/>
          <w:sz w:val="16"/>
          <w:szCs w:val="16"/>
          <w:color w:val="auto"/>
        </w:rPr>
      </w:pPr>
    </w:p>
    <w:p>
      <w:pPr>
        <w:ind w:left="4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COMPARISON OF SHAREHOLDERS’ RIGHTS</w:t>
      </w:r>
    </w:p>
    <w:p>
      <w:pPr>
        <w:spacing w:after="0" w:line="138" w:lineRule="exact"/>
        <w:rPr>
          <w:sz w:val="20"/>
          <w:szCs w:val="20"/>
          <w:color w:val="auto"/>
        </w:rPr>
      </w:pPr>
    </w:p>
    <w:p>
      <w:pPr>
        <w:ind w:left="1100" w:right="979" w:firstLine="318"/>
        <w:spacing w:after="0" w:line="255" w:lineRule="auto"/>
        <w:rPr>
          <w:sz w:val="20"/>
          <w:szCs w:val="20"/>
          <w:color w:val="auto"/>
        </w:rPr>
      </w:pPr>
      <w:r>
        <w:rPr>
          <w:rFonts w:ascii="Times New Roman" w:cs="Times New Roman" w:eastAsia="Times New Roman" w:hAnsi="Times New Roman"/>
          <w:sz w:val="16"/>
          <w:szCs w:val="16"/>
          <w:i w:val="1"/>
          <w:iCs w:val="1"/>
          <w:color w:val="auto"/>
        </w:rPr>
        <w:t>If the merger is completed, Peach State shareholders who receive stock consideration will receive shares of United common stock in the merger. Both United and Peach State are organized under the laws of the State of Georgia. The following is a summary of the material differences between (1) the current rights of Peach State shareholders under the Peach State articles of incorporation and bylaws, as amended and restated, and (2) the current rights of United shareholders under the United articles of incorporation and bylaws, as amended and restated.</w:t>
      </w:r>
    </w:p>
    <w:p>
      <w:pPr>
        <w:spacing w:after="0" w:line="102" w:lineRule="exact"/>
        <w:rPr>
          <w:sz w:val="20"/>
          <w:szCs w:val="20"/>
          <w:color w:val="auto"/>
        </w:rPr>
      </w:pPr>
    </w:p>
    <w:p>
      <w:pPr>
        <w:ind w:left="1100" w:right="919" w:firstLine="318"/>
        <w:spacing w:after="0" w:line="256" w:lineRule="auto"/>
        <w:rPr>
          <w:sz w:val="20"/>
          <w:szCs w:val="20"/>
          <w:color w:val="auto"/>
        </w:rPr>
      </w:pPr>
      <w:r>
        <w:rPr>
          <w:rFonts w:ascii="Times New Roman" w:cs="Times New Roman" w:eastAsia="Times New Roman" w:hAnsi="Times New Roman"/>
          <w:sz w:val="16"/>
          <w:szCs w:val="16"/>
          <w:i w:val="1"/>
          <w:iCs w:val="1"/>
          <w:color w:val="auto"/>
        </w:rPr>
        <w:t>United and Peach State believe that this summary describes the material differences between the rights of United shareholders as of the date of this proxy statement/prospectus and the rights of Peach State shareholders as of the date of this proxy statement/prospectus; however, it does not purport to be a complete description of those differences. Copies of United’s governing documents have been filed with the SEC. To find out where copies of these documents can be obtained, see “Where You Can Find More Information.”</w:t>
      </w:r>
    </w:p>
    <w:p>
      <w:pPr>
        <w:spacing w:after="0" w:line="111" w:lineRule="exact"/>
        <w:rPr>
          <w:sz w:val="20"/>
          <w:szCs w:val="20"/>
          <w:color w:val="auto"/>
        </w:rPr>
      </w:pPr>
    </w:p>
    <w:tbl>
      <w:tblPr>
        <w:tblLayout w:type="fixed"/>
        <w:tblInd w:w="1100" w:type="dxa"/>
        <w:tblCellMar>
          <w:top w:w="0" w:type="dxa"/>
          <w:left w:w="0" w:type="dxa"/>
          <w:bottom w:w="0" w:type="dxa"/>
          <w:right w:w="0" w:type="dxa"/>
        </w:tblCellMar>
      </w:tblPr>
      <w:tr>
        <w:trPr>
          <w:trHeight w:val="201"/>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3"/>
                <w:szCs w:val="13"/>
                <w:b w:val="1"/>
                <w:bCs w:val="1"/>
                <w:color w:val="auto"/>
              </w:rPr>
              <w:t>PEACH STATE</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 ​</w:t>
            </w:r>
          </w:p>
        </w:tc>
        <w:tc>
          <w:tcPr>
            <w:tcW w:w="2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UNITED</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tcPr>
          <w:p>
            <w:pPr>
              <w:spacing w:after="0"/>
              <w:rPr>
                <w:sz w:val="17"/>
                <w:szCs w:val="17"/>
                <w:color w:val="auto"/>
              </w:rPr>
            </w:pPr>
          </w:p>
        </w:tc>
        <w:tc>
          <w:tcPr>
            <w:tcW w:w="2700" w:type="dxa"/>
            <w:vAlign w:val="bottom"/>
            <w:vMerge w:val="restart"/>
          </w:tcPr>
          <w:p>
            <w:pPr>
              <w:jc w:val="center"/>
              <w:ind w:right="9"/>
              <w:spacing w:after="0"/>
              <w:rPr>
                <w:sz w:val="20"/>
                <w:szCs w:val="20"/>
                <w:color w:val="auto"/>
              </w:rPr>
            </w:pPr>
            <w:r>
              <w:rPr>
                <w:rFonts w:ascii="Times New Roman" w:cs="Times New Roman" w:eastAsia="Times New Roman" w:hAnsi="Times New Roman"/>
                <w:sz w:val="16"/>
                <w:szCs w:val="16"/>
                <w:b w:val="1"/>
                <w:bCs w:val="1"/>
                <w:color w:val="auto"/>
                <w:w w:val="95"/>
              </w:rPr>
              <w:t>AUTHORIZED CAPITAL STOCK</w:t>
            </w:r>
          </w:p>
        </w:tc>
        <w:tc>
          <w:tcPr>
            <w:tcW w:w="222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01"/>
        </w:trPr>
        <w:tc>
          <w:tcPr>
            <w:tcW w:w="7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-203835</wp:posOffset>
            </wp:positionV>
            <wp:extent cx="12128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p>
      <w:pPr>
        <w:ind w:left="1100"/>
        <w:spacing w:after="0" w:line="188" w:lineRule="auto"/>
        <w:rPr>
          <w:sz w:val="20"/>
          <w:szCs w:val="20"/>
          <w:color w:val="auto"/>
        </w:rPr>
      </w:pPr>
      <w:r>
        <w:rPr>
          <w:rFonts w:ascii="Times New Roman" w:cs="Times New Roman" w:eastAsia="Times New Roman" w:hAnsi="Times New Roman"/>
          <w:sz w:val="12"/>
          <w:szCs w:val="12"/>
          <w:color w:val="auto"/>
        </w:rPr>
        <w:t>​</w:t>
      </w:r>
    </w:p>
    <w:p>
      <w:pPr>
        <w:ind w:left="1100"/>
        <w:spacing w:after="0" w:line="249" w:lineRule="auto"/>
        <w:rPr>
          <w:sz w:val="20"/>
          <w:szCs w:val="20"/>
          <w:color w:val="auto"/>
        </w:rPr>
      </w:pPr>
      <w:r>
        <w:rPr>
          <w:rFonts w:ascii="Times New Roman" w:cs="Times New Roman" w:eastAsia="Times New Roman" w:hAnsi="Times New Roman"/>
          <w:sz w:val="16"/>
          <w:szCs w:val="16"/>
          <w:color w:val="auto"/>
        </w:rPr>
        <w:t>Peach State is authorized to issue up to 10,000,000 shares of common stock, par value of $5.00 par value, and 2,000,000 shares of preferred stock, no par value. As of April 20, 2026, there were 3,000,542 shares of Peach State common stock outstanding and no shares of Peach State preferred stock outstanding.</w:t>
      </w:r>
    </w:p>
    <w:p>
      <w:pPr>
        <w:spacing w:after="0" w:line="20" w:lineRule="exact"/>
        <w:rPr>
          <w:sz w:val="20"/>
          <w:szCs w:val="20"/>
          <w:color w:val="auto"/>
        </w:rPr>
      </w:pPr>
      <w:r>
        <w:rPr>
          <w:sz w:val="20"/>
          <w:szCs w:val="20"/>
          <w:color w:val="auto"/>
        </w:rPr>
        <w:br w:type="column"/>
      </w:r>
    </w:p>
    <w:p>
      <w:pPr>
        <w:ind w:left="1" w:right="859" w:hanging="190"/>
        <w:spacing w:after="0" w:line="182" w:lineRule="auto"/>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xml:space="preserve"> United is authorized to issue up to (i) 200,000,000</w:t>
      </w:r>
      <w:r>
        <w:rPr>
          <w:sz w:val="20"/>
          <w:szCs w:val="20"/>
          <w:color w:val="auto"/>
        </w:rPr>
        <w:t xml:space="preserve"> </w:t>
      </w:r>
      <w:r>
        <w:rPr>
          <w:rFonts w:ascii="Times New Roman" w:cs="Times New Roman" w:eastAsia="Times New Roman" w:hAnsi="Times New Roman"/>
          <w:sz w:val="28"/>
          <w:szCs w:val="28"/>
          <w:color w:val="auto"/>
          <w:vertAlign w:val="superscript"/>
        </w:rPr>
        <w:t>​ shares of common stock, par value $1.00 per share,</w:t>
      </w:r>
    </w:p>
    <w:p>
      <w:pPr>
        <w:ind w:left="1" w:right="919" w:hanging="1"/>
        <w:spacing w:after="0" w:line="248" w:lineRule="auto"/>
        <w:tabs>
          <w:tab w:leader="none" w:pos="25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30,000,000 shares of non-voting common stock, $1.00 par value per share and (iii) 10,000,000 shares of preferred stock, $1.00 par value per share. As of April 30, 2026, there were 119,686,643 shares of United common stock outstanding, no shares of United non-voting common stock outstanding and no shares of United preferred stock outstanding.</w:t>
      </w:r>
    </w:p>
    <w:p>
      <w:pPr>
        <w:spacing w:after="0" w:line="1" w:lineRule="exact"/>
        <w:rPr>
          <w:sz w:val="20"/>
          <w:szCs w:val="20"/>
          <w:color w:val="auto"/>
        </w:rPr>
      </w:pPr>
    </w:p>
    <w:p>
      <w:pPr>
        <w:sectPr>
          <w:pgSz w:w="11900" w:h="16838" w:orient="portrait"/>
          <w:cols w:equalWidth="0" w:num="2">
            <w:col w:w="4480" w:space="339"/>
            <w:col w:w="4420"/>
          </w:cols>
          <w:pgMar w:left="1220" w:top="94" w:right="1440" w:bottom="1440" w:gutter="0" w:footer="0" w:header="0"/>
          <w:type w:val="continuous"/>
        </w:sectPr>
      </w:pPr>
    </w:p>
    <w:tbl>
      <w:tblPr>
        <w:tblLayout w:type="fixed"/>
        <w:tblInd w:w="1100" w:type="dxa"/>
        <w:tblCellMar>
          <w:top w:w="0" w:type="dxa"/>
          <w:left w:w="0" w:type="dxa"/>
          <w:bottom w:w="0" w:type="dxa"/>
          <w:right w:w="0" w:type="dxa"/>
        </w:tblCellMar>
      </w:tblPr>
      <w:tr>
        <w:trPr>
          <w:trHeight w:val="146"/>
        </w:trPr>
        <w:tc>
          <w:tcPr>
            <w:tcW w:w="3480" w:type="dxa"/>
            <w:vAlign w:val="bottom"/>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0" w:type="dxa"/>
            <w:vAlign w:val="bottom"/>
            <w:gridSpan w:val="3"/>
          </w:tcPr>
          <w:p>
            <w:pPr>
              <w:ind w:left="2780"/>
              <w:spacing w:after="0" w:line="162" w:lineRule="exact"/>
              <w:rPr>
                <w:sz w:val="20"/>
                <w:szCs w:val="20"/>
                <w:color w:val="auto"/>
              </w:rPr>
            </w:pPr>
            <w:r>
              <w:rPr>
                <w:rFonts w:ascii="Times New Roman" w:cs="Times New Roman" w:eastAsia="Times New Roman" w:hAnsi="Times New Roman"/>
                <w:sz w:val="16"/>
                <w:szCs w:val="16"/>
                <w:b w:val="1"/>
                <w:bCs w:val="1"/>
                <w:color w:val="auto"/>
              </w:rPr>
              <w:t>VOTING LIMITATIONS</w:t>
            </w:r>
          </w:p>
        </w:tc>
        <w:tc>
          <w:tcPr>
            <w:tcW w:w="0" w:type="dxa"/>
            <w:vAlign w:val="bottom"/>
          </w:tcPr>
          <w:p>
            <w:pPr>
              <w:spacing w:after="0"/>
              <w:rPr>
                <w:sz w:val="1"/>
                <w:szCs w:val="1"/>
                <w:color w:val="auto"/>
              </w:rPr>
            </w:pPr>
          </w:p>
        </w:tc>
      </w:tr>
      <w:tr>
        <w:trPr>
          <w:trHeight w:val="159"/>
        </w:trPr>
        <w:tc>
          <w:tcPr>
            <w:tcW w:w="34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Each share of United common stock is entitled to</w:t>
            </w: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6"/>
                <w:szCs w:val="16"/>
                <w:color w:val="auto"/>
              </w:rPr>
              <w:t>Each share of Peach State common stock is entitled</w:t>
            </w:r>
          </w:p>
        </w:tc>
        <w:tc>
          <w:tcPr>
            <w:tcW w:w="220" w:type="dxa"/>
            <w:vAlign w:val="bottom"/>
          </w:tcPr>
          <w:p>
            <w:pPr>
              <w:spacing w:after="0"/>
              <w:rPr>
                <w:sz w:val="12"/>
                <w:szCs w:val="12"/>
                <w:color w:val="auto"/>
              </w:rPr>
            </w:pPr>
          </w:p>
        </w:tc>
        <w:tc>
          <w:tcPr>
            <w:tcW w:w="3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to one vote on each matter voted on at a meeting of</w:t>
            </w:r>
          </w:p>
        </w:tc>
        <w:tc>
          <w:tcPr>
            <w:tcW w:w="220" w:type="dxa"/>
            <w:vAlign w:val="bottom"/>
          </w:tcPr>
          <w:p>
            <w:pPr>
              <w:spacing w:after="0"/>
              <w:rPr>
                <w:sz w:val="16"/>
                <w:szCs w:val="16"/>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one vote on each matter voted on at a meeting of</w:t>
            </w:r>
          </w:p>
        </w:tc>
        <w:tc>
          <w:tcPr>
            <w:tcW w:w="0" w:type="dxa"/>
            <w:vAlign w:val="bottom"/>
          </w:tcPr>
          <w:p>
            <w:pPr>
              <w:spacing w:after="0"/>
              <w:rPr>
                <w:sz w:val="1"/>
                <w:szCs w:val="1"/>
                <w:color w:val="auto"/>
              </w:rPr>
            </w:pPr>
          </w:p>
        </w:tc>
      </w:t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Peach State’s shareholders.</w:t>
            </w:r>
          </w:p>
        </w:tc>
        <w:tc>
          <w:tcPr>
            <w:tcW w:w="2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United’s shareholders.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12" w:lineRule="exact"/>
        <w:rPr>
          <w:sz w:val="20"/>
          <w:szCs w:val="20"/>
          <w:color w:val="auto"/>
        </w:rPr>
      </w:pPr>
    </w:p>
    <w:p>
      <w:pPr>
        <w:sectPr>
          <w:pgSz w:w="11900" w:h="16838" w:orient="portrait"/>
          <w:cols w:equalWidth="0" w:num="2">
            <w:col w:w="8100" w:space="240"/>
            <w:col w:w="899"/>
          </w:cols>
          <w:pgMar w:left="1220" w:top="94" w:right="1440" w:bottom="1440" w:gutter="0" w:footer="0" w:header="0"/>
          <w:type w:val="continuous"/>
        </w:sectPr>
      </w:pPr>
    </w:p>
    <w:tbl>
      <w:tblPr>
        <w:tblLayout w:type="fixed"/>
        <w:tblInd w:w="1100" w:type="dxa"/>
        <w:tblCellMar>
          <w:top w:w="0" w:type="dxa"/>
          <w:left w:w="0" w:type="dxa"/>
          <w:bottom w:w="0" w:type="dxa"/>
          <w:right w:w="0" w:type="dxa"/>
        </w:tblCellMar>
      </w:tblPr>
      <w:tr>
        <w:trPr>
          <w:trHeight w:val="209"/>
        </w:trPr>
        <w:tc>
          <w:tcPr>
            <w:tcW w:w="2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RIGHTS OF PREFERRED STOCK</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0"/>
        </w:trPr>
        <w:tc>
          <w:tcPr>
            <w:tcW w:w="2340" w:type="dxa"/>
            <w:vAlign w:val="bottom"/>
          </w:tcPr>
          <w:p>
            <w:pPr>
              <w:spacing w:after="0"/>
              <w:rPr>
                <w:sz w:val="5"/>
                <w:szCs w:val="5"/>
                <w:color w:val="auto"/>
              </w:rPr>
            </w:pPr>
          </w:p>
        </w:tc>
        <w:tc>
          <w:tcPr>
            <w:tcW w:w="49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34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3"/>
                <w:szCs w:val="13"/>
                <w:color w:val="auto"/>
              </w:rPr>
            </w:pPr>
          </w:p>
        </w:tc>
        <w:tc>
          <w:tcPr>
            <w:tcW w:w="1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United’s articles of incorporation provide that the</w:t>
            </w:r>
          </w:p>
        </w:tc>
        <w:tc>
          <w:tcPr>
            <w:tcW w:w="4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3"/>
        </w:trPr>
        <w:tc>
          <w:tcPr>
            <w:tcW w:w="35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Peach State’s articles of incorporation provide that</w:t>
            </w:r>
          </w:p>
        </w:tc>
        <w:tc>
          <w:tcPr>
            <w:tcW w:w="180" w:type="dxa"/>
            <w:vAlign w:val="bottom"/>
          </w:tcPr>
          <w:p>
            <w:pPr>
              <w:spacing w:after="0"/>
              <w:rPr>
                <w:sz w:val="8"/>
                <w:szCs w:val="8"/>
                <w:color w:val="auto"/>
              </w:rPr>
            </w:pPr>
          </w:p>
        </w:tc>
        <w:tc>
          <w:tcPr>
            <w:tcW w:w="3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its board of directors may, without further</w:t>
            </w:r>
          </w:p>
        </w:tc>
        <w:tc>
          <w:tcPr>
            <w:tcW w:w="18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board of directors may issue, without any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shareholder action, issue shares of preferred stock in</w:t>
            </w:r>
          </w:p>
        </w:tc>
        <w:tc>
          <w:tcPr>
            <w:tcW w:w="18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further vote or action by the shareholders, shares of</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one or more series and establish the number of</w:t>
            </w:r>
          </w:p>
        </w:tc>
        <w:tc>
          <w:tcPr>
            <w:tcW w:w="18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in one or more series and, 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and the designation, powers, preferences and</w:t>
            </w:r>
          </w:p>
        </w:tc>
        <w:tc>
          <w:tcPr>
            <w:tcW w:w="18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 to each such series, fix the number of shares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relative rights of the shares of each such series and</w:t>
            </w:r>
          </w:p>
        </w:tc>
        <w:tc>
          <w:tcPr>
            <w:tcW w:w="18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constituting the series and the designation of the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qualifications, or restrictions thereof.</w:t>
            </w:r>
          </w:p>
        </w:tc>
        <w:tc>
          <w:tcPr>
            <w:tcW w:w="18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the voting rights (if any) of the shares of the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and the powers, preferences and relative,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participation, optional and other special rights, if</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any, and any qualifications, limitations 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restrictions, of the shares of such series.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234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As of April 30, 2026, there were no shares of United</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3520" w:type="dxa"/>
            <w:vAlign w:val="bottom"/>
            <w:gridSpan w:val="2"/>
          </w:tcPr>
          <w:p>
            <w:pPr>
              <w:spacing w:after="0" w:line="55" w:lineRule="exact"/>
              <w:rPr>
                <w:sz w:val="20"/>
                <w:szCs w:val="20"/>
                <w:color w:val="auto"/>
              </w:rPr>
            </w:pPr>
            <w:r>
              <w:rPr>
                <w:rFonts w:ascii="Times New Roman" w:cs="Times New Roman" w:eastAsia="Times New Roman" w:hAnsi="Times New Roman"/>
                <w:sz w:val="6"/>
                <w:szCs w:val="6"/>
                <w:color w:val="auto"/>
              </w:rPr>
              <w:t>As of the date hereof, there were no shares of Peach</w:t>
            </w:r>
          </w:p>
        </w:tc>
        <w:tc>
          <w:tcPr>
            <w:tcW w:w="180" w:type="dxa"/>
            <w:vAlign w:val="bottom"/>
          </w:tcPr>
          <w:p>
            <w:pPr>
              <w:spacing w:after="0"/>
              <w:rPr>
                <w:sz w:val="4"/>
                <w:szCs w:val="4"/>
                <w:color w:val="auto"/>
              </w:rPr>
            </w:pPr>
          </w:p>
        </w:tc>
        <w:tc>
          <w:tcPr>
            <w:tcW w:w="35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State preferred stock outstanding.</w:t>
            </w: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outstanding. The designations,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powers, preferences, limitations, restrictions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820"/>
        <w:spacing w:after="0"/>
        <w:rPr>
          <w:sz w:val="20"/>
          <w:szCs w:val="20"/>
          <w:color w:val="auto"/>
        </w:rPr>
      </w:pPr>
      <w:r>
        <w:rPr>
          <w:rFonts w:ascii="Times New Roman" w:cs="Times New Roman" w:eastAsia="Times New Roman" w:hAnsi="Times New Roman"/>
          <w:sz w:val="16"/>
          <w:szCs w:val="16"/>
          <w:color w:val="auto"/>
        </w:rPr>
        <w:t>relative rights of such preferred stock are set forth in</w:t>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United’s articles of incorporation.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0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PEACH STATE</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 ​</w:t>
            </w:r>
          </w:p>
        </w:tc>
        <w:tc>
          <w:tcPr>
            <w:tcW w:w="35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3"/>
                <w:szCs w:val="13"/>
                <w:b w:val="1"/>
                <w:bCs w:val="1"/>
                <w:color w:val="auto"/>
              </w:rPr>
              <w:t>UNITED</w:t>
            </w:r>
          </w:p>
        </w:tc>
        <w:tc>
          <w:tcPr>
            <w:tcW w:w="1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1"/>
        </w:trPr>
        <w:tc>
          <w:tcPr>
            <w:tcW w:w="110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60" w:type="dxa"/>
            <w:vAlign w:val="bottom"/>
            <w:gridSpan w:val="3"/>
            <w:vMerge w:val="restart"/>
          </w:tcPr>
          <w:p>
            <w:pPr>
              <w:jc w:val="center"/>
              <w:ind w:right="901"/>
              <w:spacing w:after="0"/>
              <w:rPr>
                <w:sz w:val="20"/>
                <w:szCs w:val="20"/>
                <w:color w:val="auto"/>
              </w:rPr>
            </w:pPr>
            <w:r>
              <w:rPr>
                <w:rFonts w:ascii="Times New Roman" w:cs="Times New Roman" w:eastAsia="Times New Roman" w:hAnsi="Times New Roman"/>
                <w:sz w:val="16"/>
                <w:szCs w:val="16"/>
                <w:b w:val="1"/>
                <w:bCs w:val="1"/>
                <w:color w:val="auto"/>
                <w:w w:val="96"/>
              </w:rPr>
              <w:t>SIZE OF BOARD OF DIRECTORS</w:t>
            </w:r>
          </w:p>
        </w:tc>
        <w:tc>
          <w:tcPr>
            <w:tcW w:w="1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0"/>
        </w:trPr>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260" w:type="dxa"/>
            <w:vAlign w:val="bottom"/>
            <w:gridSpan w:val="3"/>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1100" w:type="dxa"/>
            <w:vAlign w:val="bottom"/>
          </w:tcPr>
          <w:p>
            <w:pPr>
              <w:spacing w:after="0"/>
              <w:rPr>
                <w:sz w:val="13"/>
                <w:szCs w:val="13"/>
                <w:color w:val="auto"/>
              </w:rPr>
            </w:pPr>
          </w:p>
        </w:tc>
        <w:tc>
          <w:tcPr>
            <w:tcW w:w="9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540" w:type="dxa"/>
            <w:vAlign w:val="bottom"/>
          </w:tcPr>
          <w:p>
            <w:pPr>
              <w:spacing w:after="0"/>
              <w:rPr>
                <w:sz w:val="13"/>
                <w:szCs w:val="13"/>
                <w:color w:val="auto"/>
              </w:rPr>
            </w:pPr>
          </w:p>
        </w:tc>
        <w:tc>
          <w:tcPr>
            <w:tcW w:w="2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United’s bylaws provide that the number of directors</w:t>
            </w:r>
          </w:p>
        </w:tc>
        <w:tc>
          <w:tcPr>
            <w:tcW w:w="11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8"/>
        </w:trPr>
        <w:tc>
          <w:tcPr>
            <w:tcW w:w="1100" w:type="dxa"/>
            <w:vAlign w:val="bottom"/>
          </w:tcPr>
          <w:p>
            <w:pPr>
              <w:spacing w:after="0"/>
              <w:rPr>
                <w:sz w:val="12"/>
                <w:szCs w:val="12"/>
                <w:color w:val="auto"/>
              </w:rPr>
            </w:pPr>
          </w:p>
        </w:tc>
        <w:tc>
          <w:tcPr>
            <w:tcW w:w="3520" w:type="dxa"/>
            <w:vAlign w:val="bottom"/>
            <w:gridSpan w:val="2"/>
          </w:tcPr>
          <w:p>
            <w:pPr>
              <w:spacing w:after="0" w:line="138" w:lineRule="exact"/>
              <w:rPr>
                <w:sz w:val="20"/>
                <w:szCs w:val="20"/>
                <w:color w:val="auto"/>
              </w:rPr>
            </w:pPr>
            <w:r>
              <w:rPr>
                <w:rFonts w:ascii="Times New Roman" w:cs="Times New Roman" w:eastAsia="Times New Roman" w:hAnsi="Times New Roman"/>
                <w:sz w:val="16"/>
                <w:szCs w:val="16"/>
                <w:color w:val="auto"/>
              </w:rPr>
              <w:t>Peach State’s bylaws provide that the board of</w:t>
            </w:r>
          </w:p>
        </w:tc>
        <w:tc>
          <w:tcPr>
            <w:tcW w:w="20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directors shall consist of not less than three</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on United’s board of directors may range from eight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directors, with the exact number to be determined</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to 14. The number of directors may be increased or</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from time to time by the board of directors or the</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decreased from time to time by the board of</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shareholders. Peach State’s board is currently</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directors by resolution, but no decrease shall have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comprised of eleven directors.</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the effect of shortening the term of an incumbent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director. United’s board of directors is currently</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00" w:type="dxa"/>
            <w:vAlign w:val="bottom"/>
          </w:tcPr>
          <w:p>
            <w:pPr>
              <w:spacing w:after="0"/>
              <w:rPr>
                <w:sz w:val="18"/>
                <w:szCs w:val="18"/>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comprised of 12 directors.</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9"/>
        </w:trPr>
        <w:tc>
          <w:tcPr>
            <w:tcW w:w="1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6260" w:type="dxa"/>
            <w:vAlign w:val="bottom"/>
            <w:gridSpan w:val="3"/>
            <w:vMerge w:val="restart"/>
          </w:tcPr>
          <w:p>
            <w:pPr>
              <w:jc w:val="center"/>
              <w:ind w:right="901"/>
              <w:spacing w:after="0"/>
              <w:rPr>
                <w:sz w:val="20"/>
                <w:szCs w:val="20"/>
                <w:color w:val="auto"/>
              </w:rPr>
            </w:pPr>
            <w:r>
              <w:rPr>
                <w:rFonts w:ascii="Times New Roman" w:cs="Times New Roman" w:eastAsia="Times New Roman" w:hAnsi="Times New Roman"/>
                <w:sz w:val="16"/>
                <w:szCs w:val="16"/>
                <w:b w:val="1"/>
                <w:bCs w:val="1"/>
                <w:color w:val="auto"/>
                <w:w w:val="95"/>
              </w:rPr>
              <w:t>CLASSES OF DIRECTORS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6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100" w:type="dxa"/>
            <w:vAlign w:val="bottom"/>
          </w:tcPr>
          <w:p>
            <w:pPr>
              <w:spacing w:after="0"/>
              <w:rPr>
                <w:sz w:val="13"/>
                <w:szCs w:val="13"/>
                <w:color w:val="auto"/>
              </w:rPr>
            </w:pPr>
          </w:p>
        </w:tc>
        <w:tc>
          <w:tcPr>
            <w:tcW w:w="9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540" w:type="dxa"/>
            <w:vAlign w:val="bottom"/>
          </w:tcPr>
          <w:p>
            <w:pPr>
              <w:spacing w:after="0"/>
              <w:rPr>
                <w:sz w:val="13"/>
                <w:szCs w:val="13"/>
                <w:color w:val="auto"/>
              </w:rPr>
            </w:pPr>
          </w:p>
        </w:tc>
        <w:tc>
          <w:tcPr>
            <w:tcW w:w="2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United’s board of directors consists of one class. All</w:t>
            </w:r>
          </w:p>
        </w:tc>
        <w:tc>
          <w:tcPr>
            <w:tcW w:w="11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3"/>
        </w:trPr>
        <w:tc>
          <w:tcPr>
            <w:tcW w:w="1100" w:type="dxa"/>
            <w:vAlign w:val="bottom"/>
          </w:tcPr>
          <w:p>
            <w:pPr>
              <w:spacing w:after="0"/>
              <w:rPr>
                <w:sz w:val="8"/>
                <w:szCs w:val="8"/>
                <w:color w:val="auto"/>
              </w:rPr>
            </w:pPr>
          </w:p>
        </w:tc>
        <w:tc>
          <w:tcPr>
            <w:tcW w:w="35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Peach State’s bylaws provide that the Peach State</w:t>
            </w:r>
          </w:p>
        </w:tc>
        <w:tc>
          <w:tcPr>
            <w:tcW w:w="20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board of directors is divided into three classes,</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directors serve a one-year term, expiring at the next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I, Class II and Class III, which shall be nearly</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annual meeting of shareholders or until their</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equal in number as possible. Each director in Class I</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respective successors are duly elected and qualified.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shall be elected to an initial term of one year, each</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in Class I shall be elected to an initial term</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2 years and each director in Class III shall be</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elected to an initial term of 3 years. Each director</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shall serve until the election and qualification of his</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 her successor or until his or her earlier</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resignation, death or removal from office. Upon the</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expiration of the initial terms of office for each</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the directors of each Class shall be elected for</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terms of 3 years, to serve until the election and</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qualification of their successors or until their earlier</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00" w:type="dxa"/>
            <w:vAlign w:val="bottom"/>
          </w:tcPr>
          <w:p>
            <w:pPr>
              <w:spacing w:after="0"/>
              <w:rPr>
                <w:sz w:val="15"/>
                <w:szCs w:val="15"/>
                <w:color w:val="auto"/>
              </w:rPr>
            </w:pPr>
          </w:p>
        </w:tc>
        <w:tc>
          <w:tcPr>
            <w:tcW w:w="352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resignation, death or removal from office.</w:t>
            </w:r>
          </w:p>
        </w:tc>
        <w:tc>
          <w:tcPr>
            <w:tcW w:w="2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60" w:type="dxa"/>
            <w:vAlign w:val="bottom"/>
            <w:gridSpan w:val="3"/>
            <w:vMerge w:val="restart"/>
          </w:tcPr>
          <w:p>
            <w:pPr>
              <w:jc w:val="center"/>
              <w:ind w:right="881"/>
              <w:spacing w:after="0"/>
              <w:rPr>
                <w:sz w:val="20"/>
                <w:szCs w:val="20"/>
                <w:color w:val="auto"/>
              </w:rPr>
            </w:pPr>
            <w:r>
              <w:rPr>
                <w:rFonts w:ascii="Times New Roman" w:cs="Times New Roman" w:eastAsia="Times New Roman" w:hAnsi="Times New Roman"/>
                <w:sz w:val="16"/>
                <w:szCs w:val="16"/>
                <w:b w:val="1"/>
                <w:bCs w:val="1"/>
                <w:color w:val="auto"/>
                <w:w w:val="94"/>
              </w:rPr>
              <w:t>REMOVAL OF DIRECTORS</w:t>
            </w:r>
          </w:p>
        </w:tc>
        <w:tc>
          <w:tcPr>
            <w:tcW w:w="1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55"/>
        </w:trPr>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6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100" w:type="dxa"/>
            <w:vAlign w:val="bottom"/>
          </w:tcPr>
          <w:p>
            <w:pPr>
              <w:spacing w:after="0"/>
              <w:rPr>
                <w:sz w:val="13"/>
                <w:szCs w:val="13"/>
                <w:color w:val="auto"/>
              </w:rPr>
            </w:pPr>
          </w:p>
        </w:tc>
        <w:tc>
          <w:tcPr>
            <w:tcW w:w="9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540" w:type="dxa"/>
            <w:vAlign w:val="bottom"/>
          </w:tcPr>
          <w:p>
            <w:pPr>
              <w:spacing w:after="0"/>
              <w:rPr>
                <w:sz w:val="13"/>
                <w:szCs w:val="13"/>
                <w:color w:val="auto"/>
              </w:rPr>
            </w:pPr>
          </w:p>
        </w:tc>
        <w:tc>
          <w:tcPr>
            <w:tcW w:w="2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articles of incorporation of United provide that</w:t>
            </w:r>
          </w:p>
        </w:tc>
        <w:tc>
          <w:tcPr>
            <w:tcW w:w="11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3"/>
        </w:trPr>
        <w:tc>
          <w:tcPr>
            <w:tcW w:w="1100" w:type="dxa"/>
            <w:vAlign w:val="bottom"/>
          </w:tcPr>
          <w:p>
            <w:pPr>
              <w:spacing w:after="0"/>
              <w:rPr>
                <w:sz w:val="8"/>
                <w:szCs w:val="8"/>
                <w:color w:val="auto"/>
              </w:rPr>
            </w:pPr>
          </w:p>
        </w:tc>
        <w:tc>
          <w:tcPr>
            <w:tcW w:w="35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Peach State’s bylaws provide that an individual</w:t>
            </w:r>
          </w:p>
        </w:tc>
        <w:tc>
          <w:tcPr>
            <w:tcW w:w="20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or the entire board of directors, may be</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directors may be removed only for cause and only</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removed from office, with or without cause, by the</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upon the affirmative vote of the holders of two-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affirmative vote of shareholders entitled to cast at</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thirds of the issued and outstanding shares entitled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least a majority of the votes that all shareholders</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to vote on the removal.</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would be entitled to cast at an annual election of</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00" w:type="dxa"/>
            <w:vAlign w:val="bottom"/>
          </w:tcPr>
          <w:p>
            <w:pPr>
              <w:spacing w:after="0"/>
              <w:rPr>
                <w:sz w:val="15"/>
                <w:szCs w:val="15"/>
                <w:color w:val="auto"/>
              </w:rPr>
            </w:pPr>
          </w:p>
        </w:tc>
        <w:tc>
          <w:tcPr>
            <w:tcW w:w="9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directors.</w:t>
            </w:r>
          </w:p>
        </w:tc>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60" w:type="dxa"/>
            <w:vAlign w:val="bottom"/>
            <w:gridSpan w:val="3"/>
            <w:vMerge w:val="restart"/>
          </w:tcPr>
          <w:p>
            <w:pPr>
              <w:jc w:val="center"/>
              <w:ind w:right="901"/>
              <w:spacing w:after="0"/>
              <w:rPr>
                <w:sz w:val="20"/>
                <w:szCs w:val="20"/>
                <w:color w:val="auto"/>
              </w:rPr>
            </w:pPr>
            <w:r>
              <w:rPr>
                <w:rFonts w:ascii="Times New Roman" w:cs="Times New Roman" w:eastAsia="Times New Roman" w:hAnsi="Times New Roman"/>
                <w:sz w:val="16"/>
                <w:szCs w:val="16"/>
                <w:b w:val="1"/>
                <w:bCs w:val="1"/>
                <w:color w:val="auto"/>
                <w:w w:val="95"/>
              </w:rPr>
              <w:t>FILLING VACANCIES ON THE BOARD OF DIRECTORS</w:t>
            </w:r>
          </w:p>
        </w:tc>
        <w:tc>
          <w:tcPr>
            <w:tcW w:w="1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55"/>
        </w:trPr>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6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100" w:type="dxa"/>
            <w:vAlign w:val="bottom"/>
          </w:tcPr>
          <w:p>
            <w:pPr>
              <w:spacing w:after="0"/>
              <w:rPr>
                <w:sz w:val="13"/>
                <w:szCs w:val="13"/>
                <w:color w:val="auto"/>
              </w:rPr>
            </w:pPr>
          </w:p>
        </w:tc>
        <w:tc>
          <w:tcPr>
            <w:tcW w:w="9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540" w:type="dxa"/>
            <w:vAlign w:val="bottom"/>
          </w:tcPr>
          <w:p>
            <w:pPr>
              <w:spacing w:after="0"/>
              <w:rPr>
                <w:sz w:val="13"/>
                <w:szCs w:val="13"/>
                <w:color w:val="auto"/>
              </w:rPr>
            </w:pPr>
          </w:p>
        </w:tc>
        <w:tc>
          <w:tcPr>
            <w:tcW w:w="2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United’s bylaws provide that a vacancy occurring in</w:t>
            </w:r>
          </w:p>
        </w:tc>
        <w:tc>
          <w:tcPr>
            <w:tcW w:w="11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3"/>
        </w:trPr>
        <w:tc>
          <w:tcPr>
            <w:tcW w:w="1100" w:type="dxa"/>
            <w:vAlign w:val="bottom"/>
          </w:tcPr>
          <w:p>
            <w:pPr>
              <w:spacing w:after="0"/>
              <w:rPr>
                <w:sz w:val="8"/>
                <w:szCs w:val="8"/>
                <w:color w:val="auto"/>
              </w:rPr>
            </w:pPr>
          </w:p>
        </w:tc>
        <w:tc>
          <w:tcPr>
            <w:tcW w:w="35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Peach State’s bylaws provide that a vacancy</w:t>
            </w:r>
          </w:p>
        </w:tc>
        <w:tc>
          <w:tcPr>
            <w:tcW w:w="20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occurring on its board of directors, including a</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the board of directors for any reason may be filled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vacancy created by an increase in the number of</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for the unexpired term, unless the shareholders have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directors, may be filled by the board of directors,</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elected a successor, by the affirmative vote of 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even if less than a quorum. A director elected to fill</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majority of the remaining directors, whether or not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vacancy serves until the expiration of the term of</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the remaining directors constitute a quorum.</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director whose place has become vacant, or in</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case of an increase in the number of directors,</w:t>
            </w:r>
          </w:p>
        </w:tc>
        <w:tc>
          <w:tcPr>
            <w:tcW w:w="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00" w:type="dxa"/>
            <w:vAlign w:val="bottom"/>
          </w:tcPr>
          <w:p>
            <w:pPr>
              <w:spacing w:after="0"/>
              <w:rPr>
                <w:sz w:val="15"/>
                <w:szCs w:val="15"/>
                <w:color w:val="auto"/>
              </w:rPr>
            </w:pPr>
          </w:p>
        </w:tc>
        <w:tc>
          <w:tcPr>
            <w:tcW w:w="352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until the next meeting of the shareholders.</w:t>
            </w:r>
          </w:p>
        </w:tc>
        <w:tc>
          <w:tcPr>
            <w:tcW w:w="2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60" w:type="dxa"/>
            <w:vAlign w:val="bottom"/>
            <w:gridSpan w:val="3"/>
            <w:vMerge w:val="restart"/>
          </w:tcPr>
          <w:p>
            <w:pPr>
              <w:jc w:val="center"/>
              <w:ind w:right="881"/>
              <w:spacing w:after="0"/>
              <w:rPr>
                <w:sz w:val="20"/>
                <w:szCs w:val="20"/>
                <w:color w:val="auto"/>
              </w:rPr>
            </w:pPr>
            <w:r>
              <w:rPr>
                <w:rFonts w:ascii="Times New Roman" w:cs="Times New Roman" w:eastAsia="Times New Roman" w:hAnsi="Times New Roman"/>
                <w:sz w:val="16"/>
                <w:szCs w:val="16"/>
                <w:b w:val="1"/>
                <w:bCs w:val="1"/>
                <w:color w:val="auto"/>
                <w:w w:val="95"/>
              </w:rPr>
              <w:t>SPECIAL MEETINGS OF SHAREHOLDERS</w:t>
            </w:r>
          </w:p>
        </w:tc>
        <w:tc>
          <w:tcPr>
            <w:tcW w:w="1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55"/>
        </w:trPr>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6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100" w:type="dxa"/>
            <w:vAlign w:val="bottom"/>
          </w:tcPr>
          <w:p>
            <w:pPr>
              <w:spacing w:after="0"/>
              <w:rPr>
                <w:sz w:val="13"/>
                <w:szCs w:val="13"/>
                <w:color w:val="auto"/>
              </w:rPr>
            </w:pPr>
          </w:p>
        </w:tc>
        <w:tc>
          <w:tcPr>
            <w:tcW w:w="9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540" w:type="dxa"/>
            <w:vAlign w:val="bottom"/>
          </w:tcPr>
          <w:p>
            <w:pPr>
              <w:spacing w:after="0"/>
              <w:rPr>
                <w:sz w:val="13"/>
                <w:szCs w:val="13"/>
                <w:color w:val="auto"/>
              </w:rPr>
            </w:pPr>
          </w:p>
        </w:tc>
        <w:tc>
          <w:tcPr>
            <w:tcW w:w="2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United’s bylaws provide that special meetings may</w:t>
            </w:r>
          </w:p>
        </w:tc>
        <w:tc>
          <w:tcPr>
            <w:tcW w:w="11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3"/>
        </w:trPr>
        <w:tc>
          <w:tcPr>
            <w:tcW w:w="1100" w:type="dxa"/>
            <w:vAlign w:val="bottom"/>
          </w:tcPr>
          <w:p>
            <w:pPr>
              <w:spacing w:after="0"/>
              <w:rPr>
                <w:sz w:val="8"/>
                <w:szCs w:val="8"/>
                <w:color w:val="auto"/>
              </w:rPr>
            </w:pPr>
          </w:p>
        </w:tc>
        <w:tc>
          <w:tcPr>
            <w:tcW w:w="35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Peach State’s bylaws provide that special meetings</w:t>
            </w:r>
          </w:p>
        </w:tc>
        <w:tc>
          <w:tcPr>
            <w:tcW w:w="20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the shareholders may be called by the president,</w:t>
            </w:r>
          </w:p>
        </w:tc>
        <w:tc>
          <w:tcPr>
            <w:tcW w:w="2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be called by the board of directors, the chairman of</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0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chairman of the board, the board of directors or by</w:t>
            </w:r>
          </w:p>
        </w:tc>
        <w:tc>
          <w:tcPr>
            <w:tcW w:w="2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the board of directors, the chief executive officer,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89</w:t>
            </w:r>
          </w:p>
        </w:tc>
        <w:tc>
          <w:tcPr>
            <w:tcW w:w="3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-6860540</wp:posOffset>
            </wp:positionV>
            <wp:extent cx="12128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121285" cy="7620"/>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-27305</wp:posOffset>
            </wp:positionV>
            <wp:extent cx="33020"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-27305</wp:posOffset>
            </wp:positionV>
            <wp:extent cx="33020"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440"/>
          </w:cols>
          <w:pgMar w:left="1220" w:top="94" w:right="1239" w:bottom="1440" w:gutter="0" w:footer="0" w:header="0"/>
        </w:sectPr>
      </w:pPr>
    </w:p>
    <w:bookmarkStart w:id="98" w:name="page99"/>
    <w:bookmarkEnd w:id="9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20" w:type="dxa"/>
            <w:vAlign w:val="bottom"/>
            <w:gridSpan w:val="2"/>
          </w:tcPr>
          <w:p>
            <w:pPr>
              <w:ind w:left="1100"/>
              <w:spacing w:after="0"/>
              <w:rPr>
                <w:sz w:val="20"/>
                <w:szCs w:val="20"/>
                <w:color w:val="auto"/>
              </w:rPr>
            </w:pPr>
            <w:r>
              <w:rPr>
                <w:rFonts w:ascii="Times New Roman" w:cs="Times New Roman" w:eastAsia="Times New Roman" w:hAnsi="Times New Roman"/>
                <w:sz w:val="13"/>
                <w:szCs w:val="13"/>
                <w:b w:val="1"/>
                <w:bCs w:val="1"/>
                <w:color w:val="auto"/>
              </w:rPr>
              <w:t>​</w:t>
            </w:r>
          </w:p>
        </w:tc>
        <w:tc>
          <w:tcPr>
            <w:tcW w:w="260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PEACH STATE</w:t>
            </w:r>
          </w:p>
        </w:tc>
        <w:tc>
          <w:tcPr>
            <w:tcW w:w="2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w:t>
            </w:r>
          </w:p>
        </w:tc>
        <w:tc>
          <w:tcPr>
            <w:tcW w:w="3520" w:type="dxa"/>
            <w:vAlign w:val="bottom"/>
          </w:tcPr>
          <w:p>
            <w:pPr>
              <w:ind w:left="1520"/>
              <w:spacing w:after="0"/>
              <w:rPr>
                <w:sz w:val="20"/>
                <w:szCs w:val="20"/>
                <w:color w:val="auto"/>
              </w:rPr>
            </w:pPr>
            <w:r>
              <w:rPr>
                <w:rFonts w:ascii="Times New Roman" w:cs="Times New Roman" w:eastAsia="Times New Roman" w:hAnsi="Times New Roman"/>
                <w:sz w:val="13"/>
                <w:szCs w:val="13"/>
                <w:b w:val="1"/>
                <w:bCs w:val="1"/>
                <w:color w:val="auto"/>
              </w:rPr>
              <w:t>UNITED</w:t>
            </w:r>
          </w:p>
        </w:tc>
        <w:tc>
          <w:tcPr>
            <w:tcW w:w="1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92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2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 ​</w:t>
            </w:r>
          </w:p>
        </w:tc>
        <w:tc>
          <w:tcPr>
            <w:tcW w:w="3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the president or the chief financial officer and by the</w:t>
            </w:r>
          </w:p>
        </w:tc>
        <w:tc>
          <w:tcPr>
            <w:tcW w:w="110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4620" w:type="dxa"/>
            <w:vAlign w:val="bottom"/>
            <w:gridSpan w:val="3"/>
          </w:tcPr>
          <w:p>
            <w:pPr>
              <w:ind w:left="1100"/>
              <w:spacing w:after="0" w:line="55" w:lineRule="exact"/>
              <w:rPr>
                <w:sz w:val="20"/>
                <w:szCs w:val="20"/>
                <w:color w:val="auto"/>
              </w:rPr>
            </w:pPr>
            <w:r>
              <w:rPr>
                <w:rFonts w:ascii="Times New Roman" w:cs="Times New Roman" w:eastAsia="Times New Roman" w:hAnsi="Times New Roman"/>
                <w:sz w:val="6"/>
                <w:szCs w:val="6"/>
                <w:color w:val="auto"/>
              </w:rPr>
              <w:t>the corporation upon the written request of any one</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or more shareholders owning an aggregate of not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holders of at least 25% of the shares entitled to vote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less than 25% of the outstanding capital stock</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on the matter to be considered at the special</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620" w:type="dxa"/>
            <w:vAlign w:val="bottom"/>
            <w:gridSpan w:val="3"/>
          </w:tcPr>
          <w:p>
            <w:pPr>
              <w:ind w:left="1100"/>
              <w:spacing w:after="0" w:line="177" w:lineRule="exact"/>
              <w:rPr>
                <w:sz w:val="20"/>
                <w:szCs w:val="20"/>
                <w:color w:val="auto"/>
              </w:rPr>
            </w:pPr>
            <w:r>
              <w:rPr>
                <w:rFonts w:ascii="Times New Roman" w:cs="Times New Roman" w:eastAsia="Times New Roman" w:hAnsi="Times New Roman"/>
                <w:sz w:val="16"/>
                <w:szCs w:val="16"/>
                <w:color w:val="auto"/>
              </w:rPr>
              <w:t>entitled to vote in an election of directors.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2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meeting.</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20" w:type="dxa"/>
            <w:vAlign w:val="bottom"/>
            <w:gridSpan w:val="2"/>
          </w:tcPr>
          <w:p>
            <w:pPr>
              <w:ind w:left="1100"/>
              <w:spacing w:after="0"/>
              <w:rPr>
                <w:sz w:val="20"/>
                <w:szCs w:val="20"/>
                <w:color w:val="auto"/>
              </w:rPr>
            </w:pPr>
            <w:r>
              <w:rPr>
                <w:rFonts w:ascii="Times New Roman" w:cs="Times New Roman" w:eastAsia="Times New Roman" w:hAnsi="Times New Roman"/>
                <w:sz w:val="16"/>
                <w:szCs w:val="16"/>
                <w:b w:val="1"/>
                <w:bCs w:val="1"/>
                <w:color w:val="auto"/>
              </w:rPr>
              <w:t>​</w:t>
            </w:r>
          </w:p>
        </w:tc>
        <w:tc>
          <w:tcPr>
            <w:tcW w:w="6320" w:type="dxa"/>
            <w:vAlign w:val="bottom"/>
            <w:gridSpan w:val="4"/>
            <w:vMerge w:val="restart"/>
          </w:tcPr>
          <w:p>
            <w:pPr>
              <w:jc w:val="center"/>
              <w:ind w:right="841"/>
              <w:spacing w:after="0"/>
              <w:rPr>
                <w:sz w:val="20"/>
                <w:szCs w:val="20"/>
                <w:color w:val="auto"/>
              </w:rPr>
            </w:pPr>
            <w:r>
              <w:rPr>
                <w:rFonts w:ascii="Times New Roman" w:cs="Times New Roman" w:eastAsia="Times New Roman" w:hAnsi="Times New Roman"/>
                <w:sz w:val="16"/>
                <w:szCs w:val="16"/>
                <w:b w:val="1"/>
                <w:bCs w:val="1"/>
                <w:color w:val="auto"/>
                <w:w w:val="96"/>
              </w:rPr>
              <w:t>QUORUM</w:t>
            </w:r>
          </w:p>
        </w:tc>
        <w:tc>
          <w:tcPr>
            <w:tcW w:w="1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90"/>
        </w:trPr>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320" w:type="dxa"/>
            <w:vAlign w:val="bottom"/>
            <w:gridSpan w:val="4"/>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20" w:type="dxa"/>
            <w:vAlign w:val="bottom"/>
            <w:gridSpan w:val="2"/>
          </w:tcPr>
          <w:p>
            <w:pPr>
              <w:ind w:left="1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600" w:type="dxa"/>
            <w:vAlign w:val="bottom"/>
          </w:tcPr>
          <w:p>
            <w:pPr>
              <w:spacing w:after="0"/>
              <w:rPr>
                <w:sz w:val="13"/>
                <w:szCs w:val="13"/>
                <w:color w:val="auto"/>
              </w:rPr>
            </w:pPr>
          </w:p>
        </w:tc>
        <w:tc>
          <w:tcPr>
            <w:tcW w:w="2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Under United’s bylaws, except as otherwise</w:t>
            </w:r>
          </w:p>
        </w:tc>
        <w:tc>
          <w:tcPr>
            <w:tcW w:w="11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3"/>
        </w:trPr>
        <w:tc>
          <w:tcPr>
            <w:tcW w:w="4620" w:type="dxa"/>
            <w:vAlign w:val="bottom"/>
            <w:gridSpan w:val="3"/>
          </w:tcPr>
          <w:p>
            <w:pPr>
              <w:ind w:left="1100"/>
              <w:spacing w:after="0" w:line="103" w:lineRule="exact"/>
              <w:rPr>
                <w:sz w:val="20"/>
                <w:szCs w:val="20"/>
                <w:color w:val="auto"/>
              </w:rPr>
            </w:pPr>
            <w:r>
              <w:rPr>
                <w:rFonts w:ascii="Times New Roman" w:cs="Times New Roman" w:eastAsia="Times New Roman" w:hAnsi="Times New Roman"/>
                <w:sz w:val="11"/>
                <w:szCs w:val="11"/>
                <w:color w:val="auto"/>
              </w:rPr>
              <w:t>Under Peach State’s bylaws, a majority of the shares</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entitled to be voted, represented in person or by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provided by law or by United’s articles of</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proxy, constitutes a quorum at a meeting of</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incorporation, the holders of record of a majority of</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shareholders.</w:t>
            </w: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the shares of capital stock of United, issued and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entitled to vote at the meeting, present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 person or by proxy shall constitute a quorum at 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6"/>
                <w:szCs w:val="16"/>
                <w:b w:val="1"/>
                <w:bCs w:val="1"/>
                <w:color w:val="auto"/>
              </w:rPr>
              <w:t>​</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meeting of shareholders.</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9"/>
        </w:trPr>
        <w:tc>
          <w:tcPr>
            <w:tcW w:w="2020" w:type="dxa"/>
            <w:vAlign w:val="bottom"/>
            <w:gridSpan w:val="2"/>
            <w:vMerge w:val="continue"/>
          </w:tcPr>
          <w:p>
            <w:pPr>
              <w:spacing w:after="0"/>
              <w:rPr>
                <w:sz w:val="15"/>
                <w:szCs w:val="15"/>
                <w:color w:val="auto"/>
              </w:rPr>
            </w:pPr>
          </w:p>
        </w:tc>
        <w:tc>
          <w:tcPr>
            <w:tcW w:w="6320" w:type="dxa"/>
            <w:vAlign w:val="bottom"/>
            <w:gridSpan w:val="4"/>
            <w:vMerge w:val="restart"/>
          </w:tcPr>
          <w:p>
            <w:pPr>
              <w:jc w:val="center"/>
              <w:ind w:right="841"/>
              <w:spacing w:after="0"/>
              <w:rPr>
                <w:sz w:val="20"/>
                <w:szCs w:val="20"/>
                <w:color w:val="auto"/>
              </w:rPr>
            </w:pPr>
            <w:r>
              <w:rPr>
                <w:rFonts w:ascii="Times New Roman" w:cs="Times New Roman" w:eastAsia="Times New Roman" w:hAnsi="Times New Roman"/>
                <w:sz w:val="16"/>
                <w:szCs w:val="16"/>
                <w:b w:val="1"/>
                <w:bCs w:val="1"/>
                <w:color w:val="auto"/>
                <w:w w:val="96"/>
              </w:rPr>
              <w:t>NOTICE OF SHAREHOLDER MEETINGS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32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20" w:type="dxa"/>
            <w:vAlign w:val="bottom"/>
            <w:gridSpan w:val="2"/>
          </w:tcPr>
          <w:p>
            <w:pPr>
              <w:ind w:left="1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600" w:type="dxa"/>
            <w:vAlign w:val="bottom"/>
          </w:tcPr>
          <w:p>
            <w:pPr>
              <w:spacing w:after="0"/>
              <w:rPr>
                <w:sz w:val="13"/>
                <w:szCs w:val="13"/>
                <w:color w:val="auto"/>
              </w:rPr>
            </w:pPr>
          </w:p>
        </w:tc>
        <w:tc>
          <w:tcPr>
            <w:tcW w:w="2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United’s bylaws provide that written notice of the</w:t>
            </w:r>
          </w:p>
        </w:tc>
        <w:tc>
          <w:tcPr>
            <w:tcW w:w="11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3"/>
        </w:trPr>
        <w:tc>
          <w:tcPr>
            <w:tcW w:w="4620" w:type="dxa"/>
            <w:vAlign w:val="bottom"/>
            <w:gridSpan w:val="3"/>
          </w:tcPr>
          <w:p>
            <w:pPr>
              <w:ind w:left="1100"/>
              <w:spacing w:after="0" w:line="103" w:lineRule="exact"/>
              <w:rPr>
                <w:sz w:val="20"/>
                <w:szCs w:val="20"/>
                <w:color w:val="auto"/>
              </w:rPr>
            </w:pPr>
            <w:r>
              <w:rPr>
                <w:rFonts w:ascii="Times New Roman" w:cs="Times New Roman" w:eastAsia="Times New Roman" w:hAnsi="Times New Roman"/>
                <w:sz w:val="11"/>
                <w:szCs w:val="11"/>
                <w:color w:val="auto"/>
              </w:rPr>
              <w:t>Peach State’s bylaws provide that written notice of</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the date, time and place of each annual and special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 time and place of each annual and special</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meeting of Peach State’s shareholders will be given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meeting of United’s shareholders will be given no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not less than 10 days nor more than 60 days before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fewer than ten days nor more than 60 days before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the date of the meeting.</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the meeting date to each shareholder of record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6"/>
                <w:szCs w:val="16"/>
                <w:b w:val="1"/>
                <w:bCs w:val="1"/>
                <w:color w:val="auto"/>
              </w:rPr>
              <w:t>​</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entitled to vote at the meeting.</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9"/>
        </w:trPr>
        <w:tc>
          <w:tcPr>
            <w:tcW w:w="2020" w:type="dxa"/>
            <w:vAlign w:val="bottom"/>
            <w:gridSpan w:val="2"/>
            <w:vMerge w:val="continue"/>
          </w:tcPr>
          <w:p>
            <w:pPr>
              <w:spacing w:after="0"/>
              <w:rPr>
                <w:sz w:val="15"/>
                <w:szCs w:val="15"/>
                <w:color w:val="auto"/>
              </w:rPr>
            </w:pPr>
          </w:p>
        </w:tc>
        <w:tc>
          <w:tcPr>
            <w:tcW w:w="6320" w:type="dxa"/>
            <w:vAlign w:val="bottom"/>
            <w:gridSpan w:val="4"/>
            <w:vMerge w:val="restart"/>
          </w:tcPr>
          <w:p>
            <w:pPr>
              <w:jc w:val="center"/>
              <w:ind w:right="841"/>
              <w:spacing w:after="0"/>
              <w:rPr>
                <w:sz w:val="20"/>
                <w:szCs w:val="20"/>
                <w:color w:val="auto"/>
              </w:rPr>
            </w:pPr>
            <w:r>
              <w:rPr>
                <w:rFonts w:ascii="Times New Roman" w:cs="Times New Roman" w:eastAsia="Times New Roman" w:hAnsi="Times New Roman"/>
                <w:sz w:val="16"/>
                <w:szCs w:val="16"/>
                <w:b w:val="1"/>
                <w:bCs w:val="1"/>
                <w:color w:val="auto"/>
                <w:w w:val="95"/>
              </w:rPr>
              <w:t>ADVANCE NOTICE OF SHAREHOLDER PROPOSALS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32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20" w:type="dxa"/>
            <w:vAlign w:val="bottom"/>
            <w:gridSpan w:val="2"/>
          </w:tcPr>
          <w:p>
            <w:pPr>
              <w:ind w:left="1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600" w:type="dxa"/>
            <w:vAlign w:val="bottom"/>
          </w:tcPr>
          <w:p>
            <w:pPr>
              <w:spacing w:after="0"/>
              <w:rPr>
                <w:sz w:val="13"/>
                <w:szCs w:val="13"/>
                <w:color w:val="auto"/>
              </w:rPr>
            </w:pPr>
          </w:p>
        </w:tc>
        <w:tc>
          <w:tcPr>
            <w:tcW w:w="2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United’s bylaws provide that for business to be</w:t>
            </w:r>
          </w:p>
        </w:tc>
        <w:tc>
          <w:tcPr>
            <w:tcW w:w="11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3"/>
        </w:trPr>
        <w:tc>
          <w:tcPr>
            <w:tcW w:w="4620" w:type="dxa"/>
            <w:vAlign w:val="bottom"/>
            <w:gridSpan w:val="3"/>
          </w:tcPr>
          <w:p>
            <w:pPr>
              <w:ind w:left="1100"/>
              <w:spacing w:after="0" w:line="103" w:lineRule="exact"/>
              <w:rPr>
                <w:sz w:val="20"/>
                <w:szCs w:val="20"/>
                <w:color w:val="auto"/>
              </w:rPr>
            </w:pPr>
            <w:r>
              <w:rPr>
                <w:rFonts w:ascii="Times New Roman" w:cs="Times New Roman" w:eastAsia="Times New Roman" w:hAnsi="Times New Roman"/>
                <w:sz w:val="11"/>
                <w:szCs w:val="11"/>
                <w:color w:val="auto"/>
              </w:rPr>
              <w:t>Peach State’s bylaws provide that for nominations</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for election to the board of directors to be brought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brought properly before an annual meeting by 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properly, the shareholder must make the nomination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shareholder, the shareholder must have given timely</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in writing and deliver or mail it to the president not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notice of the business in writing to the Secretary. To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less than 14 days nor more than 50 days prior to any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be timely, the notice must be delivered or mailed to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meeting of shareholders called for the election of</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and received at the principal offices of United on or</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directors; provided, however, that if less than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before the later to occur of (i) 14 days prior to the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21 days’ notice of the meeting is given to</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annual meeting or (ii) five days after notice of the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shareholders, then the nomination must be mailed or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meeting is provided to the shareholders. 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delivered no later than seven days following the day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notice must set forth (i) a brief</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on which the notice of meeting was mailed.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description of each matter of business the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vMerge w:val="restart"/>
          </w:tcPr>
          <w:p>
            <w:pPr>
              <w:ind w:left="1100"/>
              <w:spacing w:after="0"/>
              <w:rPr>
                <w:sz w:val="20"/>
                <w:szCs w:val="20"/>
                <w:color w:val="auto"/>
              </w:rPr>
            </w:pPr>
            <w:r>
              <w:rPr>
                <w:rFonts w:ascii="Times New Roman" w:cs="Times New Roman" w:eastAsia="Times New Roman" w:hAnsi="Times New Roman"/>
                <w:sz w:val="16"/>
                <w:szCs w:val="16"/>
                <w:color w:val="auto"/>
              </w:rPr>
              <w:t>Peach States’ articles of incorporation and its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shareholder proposes to bring before the meeting</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6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and the reasons for conducting the business at the</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620" w:type="dxa"/>
            <w:vAlign w:val="bottom"/>
            <w:gridSpan w:val="3"/>
            <w:vMerge w:val="restart"/>
          </w:tcPr>
          <w:p>
            <w:pPr>
              <w:ind w:left="1100"/>
              <w:spacing w:after="0"/>
              <w:rPr>
                <w:sz w:val="20"/>
                <w:szCs w:val="20"/>
                <w:color w:val="auto"/>
              </w:rPr>
            </w:pPr>
            <w:r>
              <w:rPr>
                <w:rFonts w:ascii="Times New Roman" w:cs="Times New Roman" w:eastAsia="Times New Roman" w:hAnsi="Times New Roman"/>
                <w:sz w:val="16"/>
                <w:szCs w:val="16"/>
                <w:color w:val="auto"/>
              </w:rPr>
              <w:t>bylaws do not contain provisions regarding advance</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6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meeting; (ii) the name, as it appears on United’s</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620" w:type="dxa"/>
            <w:vAlign w:val="bottom"/>
            <w:gridSpan w:val="3"/>
            <w:vMerge w:val="restart"/>
          </w:tcPr>
          <w:p>
            <w:pPr>
              <w:ind w:left="1100"/>
              <w:spacing w:after="0"/>
              <w:rPr>
                <w:sz w:val="20"/>
                <w:szCs w:val="20"/>
                <w:color w:val="auto"/>
              </w:rPr>
            </w:pPr>
            <w:r>
              <w:rPr>
                <w:rFonts w:ascii="Times New Roman" w:cs="Times New Roman" w:eastAsia="Times New Roman" w:hAnsi="Times New Roman"/>
                <w:sz w:val="16"/>
                <w:szCs w:val="16"/>
                <w:color w:val="auto"/>
              </w:rPr>
              <w:t>notice of shareholder proposals other than</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6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books, and address of the shareholder proposing the</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6"/>
                <w:szCs w:val="16"/>
                <w:color w:val="auto"/>
              </w:rPr>
              <w:t>nominations.</w:t>
            </w: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20" w:type="dxa"/>
            <w:vAlign w:val="bottom"/>
            <w:gridSpan w:val="2"/>
            <w:vMerge w:val="continue"/>
          </w:tcPr>
          <w:p>
            <w:pPr>
              <w:spacing w:after="0"/>
              <w:rPr>
                <w:sz w:val="9"/>
                <w:szCs w:val="9"/>
                <w:color w:val="auto"/>
              </w:rPr>
            </w:pPr>
          </w:p>
        </w:tc>
        <w:tc>
          <w:tcPr>
            <w:tcW w:w="2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business; (iii) the series or class and number of</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5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shares of United’s capital stock that are beneficially</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owned by the shareholder; and (iv) any material</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6"/>
                <w:szCs w:val="16"/>
                <w:b w:val="1"/>
                <w:bCs w:val="1"/>
                <w:color w:val="auto"/>
              </w:rPr>
              <w:t>​</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interest of the shareholder in the proposed business.</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9"/>
        </w:trPr>
        <w:tc>
          <w:tcPr>
            <w:tcW w:w="2020" w:type="dxa"/>
            <w:vAlign w:val="bottom"/>
            <w:gridSpan w:val="2"/>
            <w:vMerge w:val="continue"/>
          </w:tcPr>
          <w:p>
            <w:pPr>
              <w:spacing w:after="0"/>
              <w:rPr>
                <w:sz w:val="15"/>
                <w:szCs w:val="15"/>
                <w:color w:val="auto"/>
              </w:rPr>
            </w:pPr>
          </w:p>
        </w:tc>
        <w:tc>
          <w:tcPr>
            <w:tcW w:w="6320" w:type="dxa"/>
            <w:vAlign w:val="bottom"/>
            <w:gridSpan w:val="4"/>
            <w:vMerge w:val="restart"/>
          </w:tcPr>
          <w:p>
            <w:pPr>
              <w:jc w:val="center"/>
              <w:ind w:right="821"/>
              <w:spacing w:after="0"/>
              <w:rPr>
                <w:sz w:val="20"/>
                <w:szCs w:val="20"/>
                <w:color w:val="auto"/>
              </w:rPr>
            </w:pPr>
            <w:r>
              <w:rPr>
                <w:rFonts w:ascii="Times New Roman" w:cs="Times New Roman" w:eastAsia="Times New Roman" w:hAnsi="Times New Roman"/>
                <w:sz w:val="16"/>
                <w:szCs w:val="16"/>
                <w:b w:val="1"/>
                <w:bCs w:val="1"/>
                <w:color w:val="auto"/>
                <w:w w:val="95"/>
              </w:rPr>
              <w:t>LIMITATION OF PERSONAL LIABILITY OF OFFICERS AND DIRECTORS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320" w:type="dxa"/>
            <w:vAlign w:val="bottom"/>
            <w:gridSpan w:val="4"/>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20" w:type="dxa"/>
            <w:vAlign w:val="bottom"/>
            <w:gridSpan w:val="2"/>
          </w:tcPr>
          <w:p>
            <w:pPr>
              <w:ind w:left="1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600" w:type="dxa"/>
            <w:vAlign w:val="bottom"/>
          </w:tcPr>
          <w:p>
            <w:pPr>
              <w:spacing w:after="0"/>
              <w:rPr>
                <w:sz w:val="13"/>
                <w:szCs w:val="13"/>
                <w:color w:val="auto"/>
              </w:rPr>
            </w:pPr>
          </w:p>
        </w:tc>
        <w:tc>
          <w:tcPr>
            <w:tcW w:w="2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United’s articles of incorporation provide that no</w:t>
            </w:r>
          </w:p>
        </w:tc>
        <w:tc>
          <w:tcPr>
            <w:tcW w:w="11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8"/>
        </w:trPr>
        <w:tc>
          <w:tcPr>
            <w:tcW w:w="4620" w:type="dxa"/>
            <w:vAlign w:val="bottom"/>
            <w:gridSpan w:val="3"/>
          </w:tcPr>
          <w:p>
            <w:pPr>
              <w:ind w:left="1100"/>
              <w:spacing w:after="0" w:line="138" w:lineRule="exact"/>
              <w:rPr>
                <w:sz w:val="20"/>
                <w:szCs w:val="20"/>
                <w:color w:val="auto"/>
              </w:rPr>
            </w:pPr>
            <w:r>
              <w:rPr>
                <w:rFonts w:ascii="Times New Roman" w:cs="Times New Roman" w:eastAsia="Times New Roman" w:hAnsi="Times New Roman"/>
                <w:sz w:val="16"/>
                <w:szCs w:val="16"/>
                <w:color w:val="auto"/>
              </w:rPr>
              <w:t>Peach State’s articles of incorporation provide that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no director of Peach State shall be personally liable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director of United shall be personally liable to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to Peach State or its shareholders for monetary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United or its shareholders for breach of his or her</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damages for a breach of any duty as a director,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duty of care or other duty as a director, but only to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except for liability for: (i) any appropriation, in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the extent permitted from time to time by the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violation of his or her duties, of any business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Georgia Business Corporation Code.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opportunity of Peach State; (ii) acts or omissions not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in good faith or that involve intentional misconduct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or a knowing violation of law; (iii) the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7"/>
              </w:rPr>
              <w:t>90</w:t>
            </w:r>
          </w:p>
        </w:tc>
        <w:tc>
          <w:tcPr>
            <w:tcW w:w="3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5978525</wp:posOffset>
            </wp:positionH>
            <wp:positionV relativeFrom="paragraph">
              <wp:posOffset>-27305</wp:posOffset>
            </wp:positionV>
            <wp:extent cx="33020"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-27305</wp:posOffset>
            </wp:positionV>
            <wp:extent cx="33020"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440"/>
          </w:cols>
          <w:pgMar w:left="1220" w:top="94" w:right="1239" w:bottom="1440" w:gutter="0" w:footer="0" w:header="0"/>
        </w:sectPr>
      </w:pPr>
    </w:p>
    <w:bookmarkStart w:id="99" w:name="page100"/>
    <w:bookmarkEnd w:id="9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100" w:type="dxa"/>
        <w:tblCellMar>
          <w:top w:w="0" w:type="dxa"/>
          <w:left w:w="0" w:type="dxa"/>
          <w:bottom w:w="0" w:type="dxa"/>
          <w:right w:w="0" w:type="dxa"/>
        </w:tblCellMar>
      </w:tblPr>
      <w:tr>
        <w:trPr>
          <w:trHeight w:val="201"/>
        </w:trPr>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6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PEACH STATE</w:t>
            </w:r>
          </w:p>
        </w:tc>
        <w:tc>
          <w:tcPr>
            <w:tcW w:w="20" w:type="dxa"/>
            <w:vAlign w:val="bottom"/>
          </w:tcPr>
          <w:p>
            <w:pPr>
              <w:spacing w:after="0"/>
              <w:rPr>
                <w:sz w:val="17"/>
                <w:szCs w:val="17"/>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 ​</w:t>
            </w:r>
          </w:p>
        </w:tc>
        <w:tc>
          <w:tcPr>
            <w:tcW w:w="3520" w:type="dxa"/>
            <w:vAlign w:val="bottom"/>
          </w:tcPr>
          <w:p>
            <w:pPr>
              <w:ind w:left="1520"/>
              <w:spacing w:after="0"/>
              <w:rPr>
                <w:sz w:val="20"/>
                <w:szCs w:val="20"/>
                <w:color w:val="auto"/>
              </w:rPr>
            </w:pPr>
            <w:r>
              <w:rPr>
                <w:rFonts w:ascii="Times New Roman" w:cs="Times New Roman" w:eastAsia="Times New Roman" w:hAnsi="Times New Roman"/>
                <w:sz w:val="13"/>
                <w:szCs w:val="13"/>
                <w:b w:val="1"/>
                <w:bCs w:val="1"/>
                <w:color w:val="auto"/>
              </w:rPr>
              <w:t>UNITED</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26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jc w:val="right"/>
              <w:ind w:right="5"/>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color w:val="auto"/>
              </w:rPr>
              <w:t>​</w:t>
            </w:r>
          </w:p>
        </w:tc>
        <w:tc>
          <w:tcPr>
            <w:tcW w:w="352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3520" w:type="dxa"/>
            <w:vAlign w:val="bottom"/>
            <w:gridSpan w:val="3"/>
          </w:tcPr>
          <w:p>
            <w:pPr>
              <w:spacing w:after="0" w:line="55" w:lineRule="exact"/>
              <w:rPr>
                <w:sz w:val="20"/>
                <w:szCs w:val="20"/>
                <w:color w:val="auto"/>
              </w:rPr>
            </w:pPr>
            <w:r>
              <w:rPr>
                <w:rFonts w:ascii="Times New Roman" w:cs="Times New Roman" w:eastAsia="Times New Roman" w:hAnsi="Times New Roman"/>
                <w:sz w:val="6"/>
                <w:szCs w:val="6"/>
                <w:color w:val="auto"/>
              </w:rPr>
              <w:t>types of liability set forth in Section 14-2-832 of the</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GBCC dealing with unlawful distributions of</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corporate assets to shareholders or (iv) any</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transaction from which the director derived an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52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auto"/>
              </w:rPr>
              <w:t>improper material intangible personal benefit.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0" w:type="dxa"/>
            <w:vAlign w:val="bottom"/>
            <w:gridSpan w:val="5"/>
            <w:vMerge w:val="restart"/>
          </w:tcPr>
          <w:p>
            <w:pPr>
              <w:jc w:val="center"/>
              <w:ind w:right="741"/>
              <w:spacing w:after="0"/>
              <w:rPr>
                <w:sz w:val="20"/>
                <w:szCs w:val="20"/>
                <w:color w:val="auto"/>
              </w:rPr>
            </w:pPr>
            <w:r>
              <w:rPr>
                <w:rFonts w:ascii="Times New Roman" w:cs="Times New Roman" w:eastAsia="Times New Roman" w:hAnsi="Times New Roman"/>
                <w:sz w:val="16"/>
                <w:szCs w:val="16"/>
                <w:b w:val="1"/>
                <w:bCs w:val="1"/>
                <w:color w:val="auto"/>
                <w:w w:val="96"/>
              </w:rPr>
              <w:t>INDEMNIFICATION OF DIRECTORS AND OFFICERS AND INSURANCE</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8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680" w:type="dxa"/>
            <w:vAlign w:val="bottom"/>
          </w:tcPr>
          <w:p>
            <w:pPr>
              <w:spacing w:after="0"/>
              <w:rPr>
                <w:sz w:val="13"/>
                <w:szCs w:val="13"/>
                <w:color w:val="auto"/>
              </w:rPr>
            </w:pPr>
          </w:p>
        </w:tc>
        <w:tc>
          <w:tcPr>
            <w:tcW w:w="80" w:type="dxa"/>
            <w:vAlign w:val="bottom"/>
            <w:gridSpan w:val="2"/>
          </w:tcPr>
          <w:p>
            <w:pPr>
              <w:jc w:val="right"/>
              <w:ind w:right="5"/>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w:t>
            </w: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United’s bylaws require it to indemnify its directors,</w:t>
            </w:r>
          </w:p>
        </w:tc>
        <w:tc>
          <w:tcPr>
            <w:tcW w:w="4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8"/>
        </w:trPr>
        <w:tc>
          <w:tcPr>
            <w:tcW w:w="3520" w:type="dxa"/>
            <w:vAlign w:val="bottom"/>
            <w:gridSpan w:val="3"/>
          </w:tcPr>
          <w:p>
            <w:pPr>
              <w:spacing w:after="0" w:line="138" w:lineRule="exact"/>
              <w:rPr>
                <w:sz w:val="20"/>
                <w:szCs w:val="20"/>
                <w:color w:val="auto"/>
              </w:rPr>
            </w:pPr>
            <w:r>
              <w:rPr>
                <w:rFonts w:ascii="Times New Roman" w:cs="Times New Roman" w:eastAsia="Times New Roman" w:hAnsi="Times New Roman"/>
                <w:sz w:val="16"/>
                <w:szCs w:val="16"/>
                <w:color w:val="auto"/>
              </w:rPr>
              <w:t>Peach State’s articles of incorporation require it to</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indemnify its directors and officers to the fullest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officers, employees, and agents against judgments,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extent permitted by the GBCC from and against any</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fines, penalties, amounts paid in settlement and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and all of the expenses, liabilities or other matters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expenses, including attorneys’ fees, resulting from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referred to in or covered by the GBCC. Any effected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various types of legal actions or proceedings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indemnification shall not be deemed exclusive of</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instituted by third parties if the actions of the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rights to which those indemnified may be entitled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director, officer, employee or agent being</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under any bylaw, vote of shareholders or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indemnified meet the standards of conduct specified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disinterested directors or otherwise, both as to action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therein.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 their official capacity and as to action in another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capacity while holding such office, and shall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continue as to a person who has ceased to be a</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 or officer and shall inure to the benefit of</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heirs, executors and administrators of such a</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person.</w:t>
            </w: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8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680" w:type="dxa"/>
            <w:vAlign w:val="bottom"/>
          </w:tcPr>
          <w:p>
            <w:pPr>
              <w:spacing w:after="0"/>
              <w:rPr>
                <w:sz w:val="13"/>
                <w:szCs w:val="13"/>
                <w:color w:val="auto"/>
              </w:rPr>
            </w:pPr>
          </w:p>
        </w:tc>
        <w:tc>
          <w:tcPr>
            <w:tcW w:w="80" w:type="dxa"/>
            <w:vAlign w:val="bottom"/>
            <w:gridSpan w:val="2"/>
          </w:tcPr>
          <w:p>
            <w:pPr>
              <w:jc w:val="right"/>
              <w:ind w:right="5"/>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w:t>
            </w: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addition, United’s bylaws require it to indemnify</w:t>
            </w:r>
          </w:p>
        </w:tc>
        <w:tc>
          <w:tcPr>
            <w:tcW w:w="4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5"/>
        </w:trPr>
        <w:tc>
          <w:tcPr>
            <w:tcW w:w="3520" w:type="dxa"/>
            <w:vAlign w:val="bottom"/>
            <w:gridSpan w:val="3"/>
          </w:tcPr>
          <w:p>
            <w:pPr>
              <w:spacing w:after="0" w:line="55" w:lineRule="exact"/>
              <w:rPr>
                <w:sz w:val="20"/>
                <w:szCs w:val="20"/>
                <w:color w:val="auto"/>
              </w:rPr>
            </w:pPr>
            <w:r>
              <w:rPr>
                <w:rFonts w:ascii="Times New Roman" w:cs="Times New Roman" w:eastAsia="Times New Roman" w:hAnsi="Times New Roman"/>
                <w:sz w:val="6"/>
                <w:szCs w:val="6"/>
                <w:color w:val="auto"/>
              </w:rPr>
              <w:t>Peach State’s bylaws provide that it must indemnify</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or obligate itself to indemnify an individual made a</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its directors, officers, employees and agents for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party to a proceeding because (a) he or she is or was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expenses actually and reasonably incurred in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 officer of Peach State or (b) while a director or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connection with legal actions or proceedings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officer, he or she is or was serving at the request of</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instituted by or in the right of United to procure 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Peach State as a director, officer, employee or agent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judgment in its favor, if the actions of the director,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of another corporation or of a corporation,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officer, employee or agent being indemnified meet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partnership, limited liability company, joint venture,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the standards of conduct set forth therein. However,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trust or other entity for all expenses, liability and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United will not indemnify a director, officer,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loss, including without limitation counsel fees and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employee, or agent for such expenses if such person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expenses, judgments, fines, ERISA excise taxes or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is adjudged liable to United, unless so ordered by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penalties and amounts paid in settlement, actually</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the court in which the legal action or proceeding is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and reasonably incurred in connection with the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brought.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proceeding if the individual acted in a manner he or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she believed in good faith to be in or not opposed to</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best interests of Peach State and, in the case of</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any criminal proceeding, he or she had no</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reasonable cause to believe his or her conduct was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unlawful.</w:t>
            </w: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8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2680" w:type="dxa"/>
            <w:vAlign w:val="bottom"/>
          </w:tcPr>
          <w:p>
            <w:pPr>
              <w:spacing w:after="0"/>
              <w:rPr>
                <w:sz w:val="13"/>
                <w:szCs w:val="13"/>
                <w:color w:val="auto"/>
              </w:rPr>
            </w:pPr>
          </w:p>
        </w:tc>
        <w:tc>
          <w:tcPr>
            <w:tcW w:w="80" w:type="dxa"/>
            <w:vAlign w:val="bottom"/>
            <w:gridSpan w:val="2"/>
          </w:tcPr>
          <w:p>
            <w:pPr>
              <w:jc w:val="right"/>
              <w:ind w:right="5"/>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w:t>
            </w: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 determination concerning whether or not the</w:t>
            </w:r>
          </w:p>
        </w:tc>
        <w:tc>
          <w:tcPr>
            <w:tcW w:w="4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5"/>
        </w:trPr>
        <w:tc>
          <w:tcPr>
            <w:tcW w:w="3520" w:type="dxa"/>
            <w:vAlign w:val="bottom"/>
            <w:gridSpan w:val="3"/>
          </w:tcPr>
          <w:p>
            <w:pPr>
              <w:spacing w:after="0" w:line="55" w:lineRule="exact"/>
              <w:rPr>
                <w:sz w:val="20"/>
                <w:szCs w:val="20"/>
                <w:color w:val="auto"/>
              </w:rPr>
            </w:pPr>
            <w:r>
              <w:rPr>
                <w:rFonts w:ascii="Times New Roman" w:cs="Times New Roman" w:eastAsia="Times New Roman" w:hAnsi="Times New Roman"/>
                <w:sz w:val="6"/>
                <w:szCs w:val="6"/>
                <w:color w:val="auto"/>
              </w:rPr>
              <w:t>In addition, Peach State’s bylaws require it to</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indemnify its directors or officers against reasonable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applicable standard of conduct has been met by 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expenses incurred by him or her in connection with</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director, officer, employee, or agent seeking</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 successful defense, on the merits or otherwise, of</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indemnification must be made by (1) a disinterested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any proceeding to which the director or officer was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majority of the Board of Directors, (2) United’s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 party, or in defense of any claim, issue or matter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legal counsel, if a quorum of disinterested directors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therein because he or she is or was a director or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is not obtainable or if the disinterested directors so</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officer of Peach State.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order or (3) an affirmative vote of a majority of</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the shareholders. No indemnification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820"/>
        <w:spacing w:after="0"/>
        <w:rPr>
          <w:sz w:val="20"/>
          <w:szCs w:val="20"/>
          <w:color w:val="auto"/>
        </w:rPr>
      </w:pPr>
      <w:r>
        <w:rPr>
          <w:rFonts w:ascii="Times New Roman" w:cs="Times New Roman" w:eastAsia="Times New Roman" w:hAnsi="Times New Roman"/>
          <w:sz w:val="16"/>
          <w:szCs w:val="16"/>
          <w:color w:val="auto"/>
        </w:rPr>
        <w:t>may be made to or on behalf of a director, officer,</w:t>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employee or agent in connection with any other</w:t>
      </w:r>
    </w:p>
    <w:p>
      <w:pPr>
        <w:spacing w:after="0" w:line="34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2"/>
          <w:szCs w:val="12"/>
          <w:color w:val="003366"/>
        </w:rPr>
        <w:t>TABLE OF CONTENTS</w:t>
      </w:r>
    </w:p>
    <w:p>
      <w:pPr>
        <w:sectPr>
          <w:pgSz w:w="11900" w:h="16838" w:orient="portrait"/>
          <w:cols w:equalWidth="0" w:num="1">
            <w:col w:w="9239"/>
          </w:cols>
          <w:pgMar w:left="122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100" w:type="dxa"/>
        <w:tblCellMar>
          <w:top w:w="0" w:type="dxa"/>
          <w:left w:w="0" w:type="dxa"/>
          <w:bottom w:w="0" w:type="dxa"/>
          <w:right w:w="0" w:type="dxa"/>
        </w:tblCellMar>
      </w:tblPr>
      <w:tr>
        <w:trPr>
          <w:trHeight w:val="201"/>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3"/>
                <w:szCs w:val="13"/>
                <w:b w:val="1"/>
                <w:bCs w:val="1"/>
                <w:color w:val="auto"/>
              </w:rPr>
              <w:t>PEACH STATE</w:t>
            </w: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3140" w:type="dxa"/>
            <w:vAlign w:val="bottom"/>
          </w:tcPr>
          <w:p>
            <w:pPr>
              <w:ind w:left="1520"/>
              <w:spacing w:after="0"/>
              <w:rPr>
                <w:sz w:val="20"/>
                <w:szCs w:val="20"/>
                <w:color w:val="auto"/>
              </w:rPr>
            </w:pPr>
            <w:r>
              <w:rPr>
                <w:rFonts w:ascii="Times New Roman" w:cs="Times New Roman" w:eastAsia="Times New Roman" w:hAnsi="Times New Roman"/>
                <w:sz w:val="13"/>
                <w:szCs w:val="13"/>
                <w:b w:val="1"/>
                <w:bCs w:val="1"/>
                <w:color w:val="auto"/>
              </w:rPr>
              <w:t>UNITED</w:t>
            </w:r>
          </w:p>
        </w:tc>
      </w:tr>
      <w:tr>
        <w:trPr>
          <w:trHeight w:val="190"/>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84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 proceeding in which such person was adjudged</w:t>
            </w:r>
          </w:p>
        </w:tc>
      </w:tr>
      <w:tr>
        <w:trPr>
          <w:trHeight w:val="191"/>
        </w:trPr>
        <w:tc>
          <w:tcPr>
            <w:tcW w:w="7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liable on the basis that personal benefit was</w:t>
            </w:r>
          </w:p>
        </w:tc>
      </w:tr>
      <w:tr>
        <w:trPr>
          <w:trHeight w:val="207"/>
        </w:trPr>
        <w:tc>
          <w:tcPr>
            <w:tcW w:w="7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improperly received by him or her.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-385445</wp:posOffset>
            </wp:positionV>
            <wp:extent cx="223901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22390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22" w:lineRule="exact"/>
        <w:rPr>
          <w:sz w:val="20"/>
          <w:szCs w:val="20"/>
          <w:color w:val="auto"/>
        </w:rPr>
      </w:pPr>
    </w:p>
    <w:p>
      <w:pPr>
        <w:sectPr>
          <w:pgSz w:w="11900" w:h="16838" w:orient="portrait"/>
          <w:cols w:equalWidth="0" w:num="2">
            <w:col w:w="7960" w:space="380"/>
            <w:col w:w="899"/>
          </w:cols>
          <w:pgMar w:left="1220" w:top="104" w:right="1440" w:bottom="1440" w:gutter="0" w:footer="0" w:header="0"/>
          <w:type w:val="continuous"/>
        </w:sectPr>
      </w:pPr>
    </w:p>
    <w:p>
      <w:pPr>
        <w:ind w:left="1100" w:right="40"/>
        <w:spacing w:after="0" w:line="253" w:lineRule="auto"/>
        <w:rPr>
          <w:sz w:val="20"/>
          <w:szCs w:val="20"/>
          <w:color w:val="auto"/>
        </w:rPr>
      </w:pPr>
      <w:r>
        <w:rPr>
          <w:rFonts w:ascii="Times New Roman" w:cs="Times New Roman" w:eastAsia="Times New Roman" w:hAnsi="Times New Roman"/>
          <w:sz w:val="16"/>
          <w:szCs w:val="16"/>
          <w:color w:val="auto"/>
        </w:rPr>
        <w:t>​Under Peach State’s bylaws, the determination of whether the standard of conduct has been met shall be made (a) by the board of directors by majority vote of a quorum consisting of directors not at the time parties to the proceedings; (b) if a quorum cannot be obtained, by majority vote of a committee duly designated by the board of directors (in which designation directors who are parties may participate), consisting solely of two or more directors not at the time parties to the proceeding;</w:t>
      </w:r>
    </w:p>
    <w:p>
      <w:pPr>
        <w:spacing w:after="0" w:line="2" w:lineRule="exact"/>
        <w:rPr>
          <w:sz w:val="20"/>
          <w:szCs w:val="20"/>
          <w:color w:val="auto"/>
        </w:rPr>
      </w:pPr>
    </w:p>
    <w:p>
      <w:pPr>
        <w:ind w:left="1100" w:right="20" w:firstLine="3"/>
        <w:spacing w:after="0" w:line="249" w:lineRule="auto"/>
        <w:tabs>
          <w:tab w:leader="none" w:pos="1337"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special legal counsel, (i) properly selected by the board of directors or its committee or (ii) if a quorum of the board of directors cannot be obtained and a committee cannot by majority vote of the full board of directors (in which selection directors who are parties may participate), or (4) by the shareholders, but shares owned by or voted under the control of directors who are at the time parties to the proceeding may not be voted on the determination.</w:t>
      </w:r>
    </w:p>
    <w:p>
      <w:pPr>
        <w:spacing w:after="0" w:line="188" w:lineRule="exact"/>
        <w:rPr>
          <w:sz w:val="20"/>
          <w:szCs w:val="20"/>
          <w:color w:val="auto"/>
        </w:rPr>
      </w:pPr>
    </w:p>
    <w:p>
      <w:pPr>
        <w:ind w:left="1100"/>
        <w:spacing w:after="0" w:line="255" w:lineRule="auto"/>
        <w:rPr>
          <w:sz w:val="20"/>
          <w:szCs w:val="20"/>
          <w:color w:val="auto"/>
        </w:rPr>
      </w:pPr>
      <w:r>
        <w:rPr>
          <w:rFonts w:ascii="Times New Roman" w:cs="Times New Roman" w:eastAsia="Times New Roman" w:hAnsi="Times New Roman"/>
          <w:sz w:val="16"/>
          <w:szCs w:val="16"/>
          <w:color w:val="auto"/>
        </w:rPr>
        <w:t>​As provided under Georgia law, the liability of a director may not be eliminated or limited (1) for any appropriation, in violation of his duties, of any business opportunity of Peach State, (2) for acts or omissions which involve intentional misconduct or a knowing violation of law, (3) for unlawful corporation distributions or (4) for any transaction from which the director received an improper benefit.</w:t>
      </w:r>
    </w:p>
    <w:p>
      <w:pPr>
        <w:spacing w:after="0" w:line="20" w:lineRule="exact"/>
        <w:rPr>
          <w:sz w:val="20"/>
          <w:szCs w:val="20"/>
          <w:color w:val="auto"/>
        </w:rPr>
      </w:pPr>
      <w:r>
        <w:rPr>
          <w:sz w:val="20"/>
          <w:szCs w:val="20"/>
          <w:color w:val="auto"/>
        </w:rPr>
        <w:br w:type="column"/>
      </w:r>
    </w:p>
    <w:p>
      <w:pPr>
        <w:ind w:left="191" w:hanging="191"/>
        <w:spacing w:after="0" w:line="252" w:lineRule="auto"/>
        <w:tabs>
          <w:tab w:leader="none" w:pos="96"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As provided under Georgia law, the liability of a director may not be eliminated or limited (1) for any appropriation, in violation of his duties, of any business opportunity of United, (2) for acts or omissions which involve intentional misconduct or a knowing violation of law, (3) for unlawful corporate distributions or (4) for any transaction from which the director received an improper benefit. Insofar as indemnification for liabilities arising under the Securities Act of 1933 may be permitted to United’s directors, officers and controlling persons pursuant to the foregoing provisions, or otherwise, United has been advised that in the opinion of the SEC, such indemnification is against public policy as expressed in the Securities Act of 1933 and is, therefore, unenforceable.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51" w:lineRule="exact"/>
        <w:rPr>
          <w:rFonts w:ascii="Times New Roman" w:cs="Times New Roman" w:eastAsia="Times New Roman" w:hAnsi="Times New Roman"/>
          <w:sz w:val="16"/>
          <w:szCs w:val="16"/>
          <w:color w:val="auto"/>
        </w:rPr>
      </w:pPr>
    </w:p>
    <w:p>
      <w:pPr>
        <w:ind w:left="191" w:right="160" w:hanging="191"/>
        <w:spacing w:after="0" w:line="269" w:lineRule="auto"/>
        <w:tabs>
          <w:tab w:leader="none" w:pos="96"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United’s directors and officers are insured against losses arising from any claim against them as such for wrongful acts or omission, subject to certain limitations.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530" w:lineRule="exact"/>
        <w:rPr>
          <w:sz w:val="20"/>
          <w:szCs w:val="20"/>
          <w:color w:val="auto"/>
        </w:rPr>
      </w:pPr>
    </w:p>
    <w:p>
      <w:pPr>
        <w:sectPr>
          <w:pgSz w:w="11900" w:h="16838" w:orient="portrait"/>
          <w:cols w:equalWidth="0" w:num="3">
            <w:col w:w="4620" w:space="9"/>
            <w:col w:w="3711" w:space="0"/>
            <w:col w:w="899"/>
          </w:cols>
          <w:pgMar w:left="1220" w:top="104" w:right="1440" w:bottom="1440" w:gutter="0" w:footer="0" w:header="0"/>
          <w:type w:val="continuous"/>
        </w:sectPr>
      </w:pPr>
    </w:p>
    <w:tbl>
      <w:tblPr>
        <w:tblLayout w:type="fixed"/>
        <w:tblInd w:w="1100" w:type="dxa"/>
        <w:tblCellMar>
          <w:top w:w="0" w:type="dxa"/>
          <w:left w:w="0" w:type="dxa"/>
          <w:bottom w:w="0" w:type="dxa"/>
          <w:right w:w="0" w:type="dxa"/>
        </w:tblCellMar>
      </w:tblP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980" w:type="dxa"/>
            <w:vAlign w:val="bottom"/>
            <w:gridSpan w:val="3"/>
          </w:tcPr>
          <w:p>
            <w:pPr>
              <w:ind w:left="5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AMENDMENTS TO CERTIFICATE OR ARTICLES OF INCORPORATION AND BYLAWS</w:t>
            </w:r>
          </w:p>
        </w:tc>
        <w:tc>
          <w:tcPr>
            <w:tcW w:w="0" w:type="dxa"/>
            <w:vAlign w:val="bottom"/>
          </w:tcPr>
          <w:p>
            <w:pPr>
              <w:spacing w:after="0"/>
              <w:rPr>
                <w:sz w:val="1"/>
                <w:szCs w:val="1"/>
                <w:color w:val="auto"/>
              </w:rPr>
            </w:pPr>
          </w:p>
        </w:tc>
      </w:tr>
      <w:tr>
        <w:trPr>
          <w:trHeight w:val="159"/>
        </w:trPr>
        <w:tc>
          <w:tcPr>
            <w:tcW w:w="35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 ​</w:t>
            </w:r>
          </w:p>
        </w:tc>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United’s articles of incorporation specifically</w:t>
            </w:r>
          </w:p>
        </w:tc>
        <w:tc>
          <w:tcPr>
            <w:tcW w:w="0" w:type="dxa"/>
            <w:vAlign w:val="bottom"/>
          </w:tcPr>
          <w:p>
            <w:pPr>
              <w:spacing w:after="0"/>
              <w:rPr>
                <w:sz w:val="1"/>
                <w:szCs w:val="1"/>
                <w:color w:val="auto"/>
              </w:rPr>
            </w:pPr>
          </w:p>
        </w:tc>
      </w:tr>
      <w:tr>
        <w:trPr>
          <w:trHeight w:val="138"/>
        </w:trPr>
        <w:tc>
          <w:tcPr>
            <w:tcW w:w="3520" w:type="dxa"/>
            <w:vAlign w:val="bottom"/>
          </w:tcPr>
          <w:p>
            <w:pPr>
              <w:spacing w:after="0" w:line="138" w:lineRule="exact"/>
              <w:rPr>
                <w:sz w:val="20"/>
                <w:szCs w:val="20"/>
                <w:color w:val="auto"/>
              </w:rPr>
            </w:pPr>
            <w:r>
              <w:rPr>
                <w:rFonts w:ascii="Times New Roman" w:cs="Times New Roman" w:eastAsia="Times New Roman" w:hAnsi="Times New Roman"/>
                <w:sz w:val="16"/>
                <w:szCs w:val="16"/>
                <w:color w:val="auto"/>
              </w:rPr>
              <w:t>Peach State’s articles of incorporation may be</w:t>
            </w:r>
          </w:p>
        </w:tc>
        <w:tc>
          <w:tcPr>
            <w:tcW w:w="180" w:type="dxa"/>
            <w:vAlign w:val="bottom"/>
          </w:tcPr>
          <w:p>
            <w:pPr>
              <w:spacing w:after="0"/>
              <w:rPr>
                <w:sz w:val="12"/>
                <w:szCs w:val="12"/>
                <w:color w:val="auto"/>
              </w:rPr>
            </w:pPr>
          </w:p>
        </w:tc>
        <w:tc>
          <w:tcPr>
            <w:tcW w:w="3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amended by the vote of shareholders, generally</w:t>
            </w:r>
          </w:p>
        </w:tc>
        <w:tc>
          <w:tcPr>
            <w:tcW w:w="180" w:type="dxa"/>
            <w:vAlign w:val="bottom"/>
          </w:tcPr>
          <w:p>
            <w:pPr>
              <w:spacing w:after="0"/>
              <w:rPr>
                <w:sz w:val="16"/>
                <w:szCs w:val="16"/>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provide that any amendment or repeal of any</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requiring a majority vote, unless a greater two-thirds</w:t>
            </w:r>
          </w:p>
        </w:tc>
        <w:tc>
          <w:tcPr>
            <w:tcW w:w="180" w:type="dxa"/>
            <w:vAlign w:val="bottom"/>
          </w:tcPr>
          <w:p>
            <w:pPr>
              <w:spacing w:after="0"/>
              <w:rPr>
                <w:sz w:val="16"/>
                <w:szCs w:val="16"/>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of the articles of incorporation or</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vote is explicitly required for certain provisions.</w:t>
            </w:r>
          </w:p>
        </w:tc>
        <w:tc>
          <w:tcPr>
            <w:tcW w:w="180" w:type="dxa"/>
            <w:vAlign w:val="bottom"/>
          </w:tcPr>
          <w:p>
            <w:pPr>
              <w:spacing w:after="0"/>
              <w:rPr>
                <w:sz w:val="16"/>
                <w:szCs w:val="16"/>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II (Shareholders’ Meetings) or Article III</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of Directors) of the bylaws requires the</w:t>
            </w:r>
          </w:p>
        </w:tc>
        <w:tc>
          <w:tcPr>
            <w:tcW w:w="0" w:type="dxa"/>
            <w:vAlign w:val="bottom"/>
          </w:tcPr>
          <w:p>
            <w:pPr>
              <w:spacing w:after="0"/>
              <w:rPr>
                <w:sz w:val="1"/>
                <w:szCs w:val="1"/>
                <w:color w:val="auto"/>
              </w:rPr>
            </w:pPr>
          </w:p>
        </w:tc>
      </w:tr>
      <w:tr>
        <w:trPr>
          <w:trHeight w:val="207"/>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affirmative vote of holders of a majority of the</w:t>
            </w:r>
          </w:p>
        </w:tc>
        <w:tc>
          <w:tcPr>
            <w:tcW w:w="0" w:type="dxa"/>
            <w:vAlign w:val="bottom"/>
          </w:tcPr>
          <w:p>
            <w:pPr>
              <w:spacing w:after="0"/>
              <w:rPr>
                <w:sz w:val="1"/>
                <w:szCs w:val="1"/>
                <w:color w:val="auto"/>
              </w:rPr>
            </w:pPr>
          </w:p>
        </w:tc>
      </w:tr>
    </w:tbl>
    <w:p>
      <w:pPr>
        <w:ind w:left="4820"/>
        <w:spacing w:after="0"/>
        <w:rPr>
          <w:sz w:val="20"/>
          <w:szCs w:val="20"/>
          <w:color w:val="auto"/>
        </w:rPr>
      </w:pPr>
      <w:r>
        <w:rPr>
          <w:rFonts w:ascii="Times New Roman" w:cs="Times New Roman" w:eastAsia="Times New Roman" w:hAnsi="Times New Roman"/>
          <w:sz w:val="16"/>
          <w:szCs w:val="16"/>
          <w:color w:val="auto"/>
        </w:rPr>
        <w:t>shares of United’s capital stock then issued and</w:t>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outstanding and entitled to vote on such matters.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65" w:lineRule="exact"/>
        <w:rPr>
          <w:sz w:val="20"/>
          <w:szCs w:val="20"/>
          <w:color w:val="auto"/>
        </w:rPr>
      </w:pPr>
    </w:p>
    <w:p>
      <w:pPr>
        <w:sectPr>
          <w:pgSz w:w="11900" w:h="16838" w:orient="portrait"/>
          <w:cols w:equalWidth="0" w:num="2">
            <w:col w:w="8080" w:space="260"/>
            <w:col w:w="899"/>
          </w:cols>
          <w:pgMar w:left="1220" w:top="104" w:right="1440" w:bottom="1440" w:gutter="0" w:footer="0" w:header="0"/>
          <w:type w:val="continuous"/>
        </w:sectPr>
      </w:pPr>
    </w:p>
    <w:p>
      <w:pPr>
        <w:ind w:left="1100"/>
        <w:spacing w:after="0" w:line="267" w:lineRule="auto"/>
        <w:rPr>
          <w:sz w:val="20"/>
          <w:szCs w:val="20"/>
          <w:color w:val="auto"/>
        </w:rPr>
      </w:pPr>
      <w:r>
        <w:rPr>
          <w:rFonts w:ascii="Times New Roman" w:cs="Times New Roman" w:eastAsia="Times New Roman" w:hAnsi="Times New Roman"/>
          <w:sz w:val="16"/>
          <w:szCs w:val="16"/>
          <w:color w:val="auto"/>
        </w:rPr>
        <w:t>​Peach State’s bylaws may be amended by either the board of directors or the shareholders, subject to certain provisions requiring a two-thirds vote for changes relating to the number of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 ​ United’s bylaws provide that United’s board of</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directors may alter, amend or repeal United’s bylaws</w:t>
            </w:r>
          </w:p>
        </w:tc>
        <w:tc>
          <w:tcPr>
            <w:tcW w:w="40" w:type="dxa"/>
            <w:vAlign w:val="bottom"/>
          </w:tcPr>
          <w:p>
            <w:pPr>
              <w:spacing w:after="0"/>
              <w:rPr>
                <w:sz w:val="16"/>
                <w:szCs w:val="16"/>
                <w:color w:val="auto"/>
              </w:rPr>
            </w:pPr>
          </w:p>
        </w:tc>
      </w:tr>
      <w:tr>
        <w:trPr>
          <w:trHeight w:val="191"/>
        </w:trPr>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 adopt new bylaws, subject to the voting</w:t>
            </w:r>
          </w:p>
        </w:tc>
        <w:tc>
          <w:tcPr>
            <w:tcW w:w="40" w:type="dxa"/>
            <w:vAlign w:val="bottom"/>
          </w:tcPr>
          <w:p>
            <w:pPr>
              <w:spacing w:after="0"/>
              <w:rPr>
                <w:sz w:val="16"/>
                <w:szCs w:val="16"/>
                <w:color w:val="auto"/>
              </w:rPr>
            </w:pPr>
          </w:p>
        </w:tc>
      </w:tr>
      <w:tr>
        <w:trPr>
          <w:trHeight w:val="191"/>
        </w:trPr>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requirement included in United’s articles of</w:t>
            </w:r>
          </w:p>
        </w:tc>
        <w:tc>
          <w:tcPr>
            <w:tcW w:w="40" w:type="dxa"/>
            <w:vAlign w:val="bottom"/>
          </w:tcPr>
          <w:p>
            <w:pPr>
              <w:spacing w:after="0"/>
              <w:rPr>
                <w:sz w:val="16"/>
                <w:szCs w:val="16"/>
                <w:color w:val="auto"/>
              </w:rPr>
            </w:pPr>
          </w:p>
        </w:tc>
      </w:tr>
      <w:tr>
        <w:trPr>
          <w:trHeight w:val="191"/>
        </w:trPr>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incorporation. Any bylaws adopted by United’s</w:t>
            </w:r>
          </w:p>
        </w:tc>
        <w:tc>
          <w:tcPr>
            <w:tcW w:w="40" w:type="dxa"/>
            <w:vAlign w:val="bottom"/>
          </w:tcPr>
          <w:p>
            <w:pPr>
              <w:spacing w:after="0"/>
              <w:rPr>
                <w:sz w:val="16"/>
                <w:szCs w:val="16"/>
                <w:color w:val="auto"/>
              </w:rPr>
            </w:pPr>
          </w:p>
        </w:tc>
      </w:tr>
      <w:tr>
        <w:trPr>
          <w:trHeight w:val="191"/>
        </w:trPr>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board of directors may be altered, amended or</w:t>
            </w:r>
          </w:p>
        </w:tc>
        <w:tc>
          <w:tcPr>
            <w:tcW w:w="40" w:type="dxa"/>
            <w:vAlign w:val="bottom"/>
          </w:tcPr>
          <w:p>
            <w:pPr>
              <w:spacing w:after="0"/>
              <w:rPr>
                <w:sz w:val="16"/>
                <w:szCs w:val="16"/>
                <w:color w:val="auto"/>
              </w:rPr>
            </w:pPr>
          </w:p>
        </w:tc>
      </w:tr>
      <w:tr>
        <w:trPr>
          <w:trHeight w:val="191"/>
        </w:trPr>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repealed, and new bylaws adopted, by the</w:t>
            </w:r>
          </w:p>
        </w:tc>
        <w:tc>
          <w:tcPr>
            <w:tcW w:w="40" w:type="dxa"/>
            <w:vAlign w:val="bottom"/>
          </w:tcPr>
          <w:p>
            <w:pPr>
              <w:spacing w:after="0"/>
              <w:rPr>
                <w:sz w:val="16"/>
                <w:szCs w:val="16"/>
                <w:color w:val="auto"/>
              </w:rPr>
            </w:pPr>
          </w:p>
        </w:tc>
      </w:tr>
      <w:tr>
        <w:trPr>
          <w:trHeight w:val="207"/>
        </w:trPr>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shareholders of United.</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4540" w:space="80"/>
            <w:col w:w="4619"/>
          </w:cols>
          <w:pgMar w:left="1220" w:top="104" w:right="1440" w:bottom="1440" w:gutter="0" w:footer="0" w:header="0"/>
          <w:type w:val="continuous"/>
        </w:sectPr>
      </w:pPr>
    </w:p>
    <w:p>
      <w:pPr>
        <w:spacing w:after="0" w:line="15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104"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100" w:type="dxa"/>
        <w:tblCellMar>
          <w:top w:w="0" w:type="dxa"/>
          <w:left w:w="0" w:type="dxa"/>
          <w:bottom w:w="0" w:type="dxa"/>
          <w:right w:w="0" w:type="dxa"/>
        </w:tblCellMar>
      </w:tblPr>
      <w:tr>
        <w:trPr>
          <w:trHeight w:val="201"/>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3"/>
                <w:szCs w:val="13"/>
                <w:b w:val="1"/>
                <w:bCs w:val="1"/>
                <w:color w:val="auto"/>
              </w:rPr>
              <w:t>PEACH STATE</w:t>
            </w:r>
          </w:p>
        </w:tc>
        <w:tc>
          <w:tcPr>
            <w:tcW w:w="16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 ​</w:t>
            </w:r>
          </w:p>
        </w:tc>
        <w:tc>
          <w:tcPr>
            <w:tcW w:w="27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3"/>
                <w:szCs w:val="13"/>
                <w:b w:val="1"/>
                <w:bCs w:val="1"/>
                <w:color w:val="auto"/>
              </w:rPr>
              <w:t>UNITED</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540" w:type="dxa"/>
            <w:vAlign w:val="bottom"/>
            <w:gridSpan w:val="3"/>
            <w:vMerge w:val="restart"/>
          </w:tcPr>
          <w:p>
            <w:pPr>
              <w:jc w:val="center"/>
              <w:ind w:right="617"/>
              <w:spacing w:after="0"/>
              <w:rPr>
                <w:sz w:val="20"/>
                <w:szCs w:val="20"/>
                <w:color w:val="auto"/>
              </w:rPr>
            </w:pPr>
            <w:r>
              <w:rPr>
                <w:rFonts w:ascii="Times New Roman" w:cs="Times New Roman" w:eastAsia="Times New Roman" w:hAnsi="Times New Roman"/>
                <w:sz w:val="16"/>
                <w:szCs w:val="16"/>
                <w:b w:val="1"/>
                <w:bCs w:val="1"/>
                <w:color w:val="auto"/>
                <w:w w:val="96"/>
              </w:rPr>
              <w:t>ACTION BY WRITTEN CONSENT OF THE SHAREHOLDERS</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01"/>
        </w:trPr>
        <w:tc>
          <w:tcPr>
            <w:tcW w:w="700" w:type="dxa"/>
            <w:vAlign w:val="bottom"/>
          </w:tcPr>
          <w:p>
            <w:pPr>
              <w:spacing w:after="0"/>
              <w:rPr>
                <w:sz w:val="8"/>
                <w:szCs w:val="8"/>
                <w:color w:val="auto"/>
              </w:rPr>
            </w:pPr>
          </w:p>
        </w:tc>
        <w:tc>
          <w:tcPr>
            <w:tcW w:w="65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-203835</wp:posOffset>
            </wp:positionV>
            <wp:extent cx="12128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p>
      <w:pPr>
        <w:ind w:left="1100"/>
        <w:spacing w:after="0" w:line="188" w:lineRule="auto"/>
        <w:rPr>
          <w:sz w:val="20"/>
          <w:szCs w:val="20"/>
          <w:color w:val="auto"/>
        </w:rPr>
      </w:pPr>
      <w:r>
        <w:rPr>
          <w:rFonts w:ascii="Times New Roman" w:cs="Times New Roman" w:eastAsia="Times New Roman" w:hAnsi="Times New Roman"/>
          <w:sz w:val="12"/>
          <w:szCs w:val="12"/>
          <w:color w:val="auto"/>
        </w:rPr>
        <w:t>​</w:t>
      </w:r>
    </w:p>
    <w:p>
      <w:pPr>
        <w:ind w:left="1100"/>
        <w:spacing w:after="0" w:line="250" w:lineRule="auto"/>
        <w:rPr>
          <w:sz w:val="20"/>
          <w:szCs w:val="20"/>
          <w:color w:val="auto"/>
        </w:rPr>
      </w:pPr>
      <w:r>
        <w:rPr>
          <w:rFonts w:ascii="Times New Roman" w:cs="Times New Roman" w:eastAsia="Times New Roman" w:hAnsi="Times New Roman"/>
          <w:sz w:val="16"/>
          <w:szCs w:val="16"/>
          <w:color w:val="auto"/>
        </w:rPr>
        <w:t>Peach State’s bylaws provide that any action required by the GBCC to be taken at a meeting of the shareholders, or any action that may be taken at a meeting of the shareholders, may be taken without a meeting if a written consent is signed by each of the shareholders entitled to vote on the action.</w:t>
      </w:r>
    </w:p>
    <w:p>
      <w:pPr>
        <w:spacing w:after="0" w:line="20" w:lineRule="exact"/>
        <w:rPr>
          <w:sz w:val="20"/>
          <w:szCs w:val="20"/>
          <w:color w:val="auto"/>
        </w:rPr>
      </w:pPr>
      <w:r>
        <w:rPr>
          <w:sz w:val="20"/>
          <w:szCs w:val="20"/>
          <w:color w:val="auto"/>
        </w:rPr>
        <w:br w:type="column"/>
      </w:r>
    </w:p>
    <w:p>
      <w:pPr>
        <w:ind w:right="859" w:hanging="190"/>
        <w:spacing w:after="0"/>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xml:space="preserve"> United’s bylaws provide that any action required or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permitted to be taken at a meeting of shareholders may be taken without a meeting if a written consent (or consents) has been signed by the holders of outstanding United capital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must be given to those shareholders who have not consented in writing.</w:t>
      </w:r>
    </w:p>
    <w:p>
      <w:pPr>
        <w:spacing w:after="0" w:line="200" w:lineRule="exact"/>
        <w:rPr>
          <w:sz w:val="20"/>
          <w:szCs w:val="20"/>
          <w:color w:val="auto"/>
        </w:rPr>
      </w:pPr>
    </w:p>
    <w:p>
      <w:pPr>
        <w:sectPr>
          <w:pgSz w:w="11900" w:h="16838" w:orient="portrait"/>
          <w:cols w:equalWidth="0" w:num="2">
            <w:col w:w="4580" w:space="240"/>
            <w:col w:w="4419"/>
          </w:cols>
          <w:pgMar w:left="1220" w:top="9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DISSENTERS’ RIGHTS</w:t>
      </w:r>
    </w:p>
    <w:p>
      <w:pPr>
        <w:spacing w:after="0" w:line="138" w:lineRule="exact"/>
        <w:rPr>
          <w:sz w:val="20"/>
          <w:szCs w:val="20"/>
          <w:color w:val="auto"/>
        </w:rPr>
      </w:pPr>
    </w:p>
    <w:p>
      <w:pPr>
        <w:ind w:left="1100" w:right="999" w:firstLine="318"/>
        <w:spacing w:after="0" w:line="255" w:lineRule="auto"/>
        <w:rPr>
          <w:sz w:val="20"/>
          <w:szCs w:val="20"/>
          <w:color w:val="auto"/>
        </w:rPr>
      </w:pPr>
      <w:r>
        <w:rPr>
          <w:rFonts w:ascii="Times New Roman" w:cs="Times New Roman" w:eastAsia="Times New Roman" w:hAnsi="Times New Roman"/>
          <w:sz w:val="16"/>
          <w:szCs w:val="16"/>
          <w:i w:val="1"/>
          <w:iCs w:val="1"/>
          <w:color w:val="auto"/>
        </w:rPr>
        <w:t>The following discussion is not a complete description of the law relating to rights of dissent and appraisal available under Georgia law. This description is qualified in its entirety by the full text of the relevant provision of the GBCC, which is reprinted in its entirety as Annex D to this proxy statement/prospectus. If you desire to exercise your dissenters’ rights of appraisal, you should review carefully the GBCC and are urged to consult a legal advisor before electing or attempting to exercise these rights.</w:t>
      </w:r>
    </w:p>
    <w:p>
      <w:pPr>
        <w:spacing w:after="0" w:line="299" w:lineRule="exact"/>
        <w:rPr>
          <w:sz w:val="20"/>
          <w:szCs w:val="20"/>
          <w:color w:val="auto"/>
        </w:rPr>
      </w:pPr>
    </w:p>
    <w:p>
      <w:pPr>
        <w:ind w:left="1100" w:right="959" w:firstLine="318"/>
        <w:spacing w:after="0" w:line="252" w:lineRule="auto"/>
        <w:rPr>
          <w:sz w:val="20"/>
          <w:szCs w:val="20"/>
          <w:color w:val="auto"/>
        </w:rPr>
      </w:pPr>
      <w:r>
        <w:rPr>
          <w:rFonts w:ascii="Times New Roman" w:cs="Times New Roman" w:eastAsia="Times New Roman" w:hAnsi="Times New Roman"/>
          <w:sz w:val="16"/>
          <w:szCs w:val="16"/>
          <w:color w:val="auto"/>
        </w:rPr>
        <w:t>Holders of Peach State common stock as of the record date are entitled to dissenters’ rights under the GBCC. Pursuant to the full text of Article 13 of the GBCC (O.C.G.A. §§ 14-2-1301 through 14-2-1340), a Peach State shareholder who does not wish to accept the consideration to be received pursuant to the terms of the merger agreement may dissent from the merger and elect to receive the payment of the fair value of such shareholder’s shares as determined in accordance with Georgia law, excluding any appreciation or depreciation in anticipation of the merger unless exclusion would be inequitable, and without discounting for lack of marketability or minority status. Under the terms of the merger agreement, if 5% or more of the outstanding shares of Peach State common stock validly exercise their appraisal rights, then United will not be obligated to complete the merger.</w:t>
      </w:r>
    </w:p>
    <w:p>
      <w:pPr>
        <w:spacing w:after="0" w:line="96" w:lineRule="exact"/>
        <w:rPr>
          <w:sz w:val="20"/>
          <w:szCs w:val="20"/>
          <w:color w:val="auto"/>
        </w:rPr>
      </w:pPr>
    </w:p>
    <w:p>
      <w:pPr>
        <w:ind w:left="1100" w:right="959" w:firstLine="318"/>
        <w:spacing w:after="0" w:line="254" w:lineRule="auto"/>
        <w:rPr>
          <w:sz w:val="20"/>
          <w:szCs w:val="20"/>
          <w:color w:val="auto"/>
        </w:rPr>
      </w:pPr>
      <w:r>
        <w:rPr>
          <w:rFonts w:ascii="Times New Roman" w:cs="Times New Roman" w:eastAsia="Times New Roman" w:hAnsi="Times New Roman"/>
          <w:sz w:val="16"/>
          <w:szCs w:val="16"/>
          <w:color w:val="auto"/>
        </w:rPr>
        <w:t xml:space="preserve">Under the GBCC, where a merger is to be submitted to a vote at a shareholders’ meeting for which dissenters’ rights are available, the meeting notice must state that the corporation has concluded that shareholders are entitled to assert dissenters’ rights under Article 13 of the GBCC and include a copy of the applicable statutory provisions. </w:t>
      </w:r>
      <w:r>
        <w:rPr>
          <w:rFonts w:ascii="Times New Roman" w:cs="Times New Roman" w:eastAsia="Times New Roman" w:hAnsi="Times New Roman"/>
          <w:sz w:val="16"/>
          <w:szCs w:val="16"/>
          <w:b w:val="1"/>
          <w:bCs w:val="1"/>
          <w:color w:val="auto"/>
        </w:rPr>
        <w:t>This proxy statement/prospectus constitutes Peach State’s notice to its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stockholders that dissenters’ rights are available in connection with the merger, and the full text of Article 13 of the GBCC is attached to this proxy statement/prospectus as Annex D.</w:t>
      </w:r>
    </w:p>
    <w:p>
      <w:pPr>
        <w:spacing w:after="0" w:line="106" w:lineRule="exact"/>
        <w:rPr>
          <w:sz w:val="20"/>
          <w:szCs w:val="20"/>
          <w:color w:val="auto"/>
        </w:rPr>
      </w:pPr>
    </w:p>
    <w:p>
      <w:pPr>
        <w:ind w:left="1100" w:right="1019" w:firstLine="318"/>
        <w:spacing w:after="0" w:line="254" w:lineRule="auto"/>
        <w:rPr>
          <w:sz w:val="20"/>
          <w:szCs w:val="20"/>
          <w:color w:val="auto"/>
        </w:rPr>
      </w:pPr>
      <w:r>
        <w:rPr>
          <w:rFonts w:ascii="Times New Roman" w:cs="Times New Roman" w:eastAsia="Times New Roman" w:hAnsi="Times New Roman"/>
          <w:sz w:val="16"/>
          <w:szCs w:val="16"/>
          <w:color w:val="auto"/>
        </w:rPr>
        <w:t>In order to exercise dissenters’ rights, a dissenting Peach State shareholder must strictly comply with the procedures set forth in Article 13 of the GBCC, which are summarized below. This summary is not a complete statement of the law and is qualified in its entirety by reference to the full text of the applicable statutory provisions. Peach State shareholders are urged to read Annex D in its entirety and to consult their legal advisors. Failure to strictly comply with the requirements of Georgia law will result in the loss of dissenters’ rights.</w:t>
      </w:r>
    </w:p>
    <w:p>
      <w:pPr>
        <w:spacing w:after="0" w:line="1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Procedures for Exercising Dissenters’ Rights</w:t>
      </w:r>
    </w:p>
    <w:p>
      <w:pPr>
        <w:spacing w:after="0" w:line="140" w:lineRule="exact"/>
        <w:rPr>
          <w:sz w:val="20"/>
          <w:szCs w:val="20"/>
          <w:color w:val="auto"/>
        </w:rPr>
      </w:pPr>
    </w:p>
    <w:p>
      <w:pPr>
        <w:ind w:left="1100" w:right="979" w:firstLine="318"/>
        <w:spacing w:after="0" w:line="252" w:lineRule="auto"/>
        <w:rPr>
          <w:sz w:val="20"/>
          <w:szCs w:val="20"/>
          <w:color w:val="auto"/>
        </w:rPr>
      </w:pPr>
      <w:r>
        <w:rPr>
          <w:rFonts w:ascii="Times New Roman" w:cs="Times New Roman" w:eastAsia="Times New Roman" w:hAnsi="Times New Roman"/>
          <w:sz w:val="16"/>
          <w:szCs w:val="16"/>
          <w:color w:val="auto"/>
        </w:rPr>
        <w:t>Under the terms of applicable Georgia law, holders of Peach State common stock will be entitled to dissent from the merger and to obtain payment in cash of the fair value of their shares of Peach State common stock. Set forth below is a summary of the procedures that must be followed by the holders of Peach State common stock to exercise their dissenters’ rights of appraisal. This summary is qualified in its entirety by reference to the text of the applicable Georgia statutes, a copy of which is attached to this joint proxy statement/prospectus as Annex D. Any holder of record of Peach State common stock who objects to the Peach State merger proposal, and who fully complies with all of the provisions of Article 13 of the GBCC (but not otherwise) will be entitled to demand and receive payment for all of his or her shares of Peach State common stock if the merger is consummated.</w:t>
      </w:r>
    </w:p>
    <w:p>
      <w:pPr>
        <w:spacing w:after="0" w:line="96" w:lineRule="exact"/>
        <w:rPr>
          <w:sz w:val="20"/>
          <w:szCs w:val="20"/>
          <w:color w:val="auto"/>
        </w:rPr>
      </w:pPr>
    </w:p>
    <w:p>
      <w:pPr>
        <w:ind w:left="1100" w:right="939" w:firstLine="318"/>
        <w:spacing w:after="0" w:line="255" w:lineRule="auto"/>
        <w:rPr>
          <w:sz w:val="20"/>
          <w:szCs w:val="20"/>
          <w:color w:val="auto"/>
        </w:rPr>
      </w:pPr>
      <w:r>
        <w:rPr>
          <w:rFonts w:ascii="Times New Roman" w:cs="Times New Roman" w:eastAsia="Times New Roman" w:hAnsi="Times New Roman"/>
          <w:sz w:val="16"/>
          <w:szCs w:val="16"/>
          <w:color w:val="auto"/>
        </w:rPr>
        <w:t>A shareholder of Peach State who objects to the Peach State merger proposal and desires to receive payment of the “fair value” of his or her Peach State common stock: (i) must deliver to Peach State, prior to the time the shareholder vote on the Peach State merger proposal is taken, a written notice of such shareholder’s intent to demand payment for those shares registered in the dissenting shareholder’s name if the merger is completed; and (ii) must not vote his or her shares in favor of the approval of the Peach State merger proposal.</w:t>
      </w:r>
    </w:p>
    <w:p>
      <w:pPr>
        <w:spacing w:after="0" w:line="297" w:lineRule="exact"/>
        <w:rPr>
          <w:sz w:val="20"/>
          <w:szCs w:val="20"/>
          <w:color w:val="auto"/>
        </w:rPr>
      </w:pPr>
    </w:p>
    <w:p>
      <w:pPr>
        <w:ind w:left="1100" w:right="979" w:firstLine="318"/>
        <w:spacing w:after="0" w:line="258" w:lineRule="auto"/>
        <w:rPr>
          <w:sz w:val="20"/>
          <w:szCs w:val="20"/>
          <w:color w:val="auto"/>
        </w:rPr>
      </w:pPr>
      <w:r>
        <w:rPr>
          <w:rFonts w:ascii="Times New Roman" w:cs="Times New Roman" w:eastAsia="Times New Roman" w:hAnsi="Times New Roman"/>
          <w:sz w:val="16"/>
          <w:szCs w:val="16"/>
          <w:color w:val="auto"/>
        </w:rPr>
        <w:t>A failure to vote against the Peach State merger proposal will not constitute a waiver of dissenters’ rights. A vote against the approval of the Peach State merger proposal alone will not constitute the separate written notice and demand for payment referred to immediately above. Dissenting shareholders must separately comply with the above conditions.</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Any notice required to be given to Peach State must be sent to Peach State Bancshares, Inc., 121 E.E.</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Butler Parkway, Gainesville, Georgia 30501, Attention: Ron Quinn.</w:t>
      </w:r>
    </w:p>
    <w:p>
      <w:pPr>
        <w:spacing w:after="0" w:line="33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firstLine="318"/>
        <w:spacing w:after="0" w:line="251" w:lineRule="auto"/>
        <w:rPr>
          <w:sz w:val="20"/>
          <w:szCs w:val="20"/>
          <w:color w:val="auto"/>
        </w:rPr>
      </w:pPr>
      <w:r>
        <w:rPr>
          <w:rFonts w:ascii="Times New Roman" w:cs="Times New Roman" w:eastAsia="Times New Roman" w:hAnsi="Times New Roman"/>
          <w:sz w:val="16"/>
          <w:szCs w:val="16"/>
          <w:color w:val="auto"/>
        </w:rPr>
        <w:t>If the Peach State merger proposal is approved, Peach State (or United as successor to Peach State in connection with the merger) will mail, no later than 10 days after the effective date of the merger, by certified mail to each shareholder who has timely submitted a written notice of intent to dissent, written notice addressed to the shareholder at such address as the shareholder has furnished Peach State in writing or, if none, at the shareholder’s address as it appears on the records of Peach State. The dissenter’s notice will: (i) state where the dissenting shareholder must send a payment demand, and where and when the certificates for the dissenting shareholder’s shares, if any, are to be deposited; (ii) inform holders of uncertificated shares to what extent transfer of the shares will be restricted after the payment demand is received; (iii) set a date by which Peach State must receive the shareholder’s payment demand (which date may not be fewer than 30 nor more than 60 days after the date the dissenters’ notice is delivered) and (iv) be accompanied by a copy of Article 13 of the GBCC.</w:t>
      </w:r>
    </w:p>
    <w:p>
      <w:pPr>
        <w:spacing w:after="0" w:line="111" w:lineRule="exact"/>
        <w:rPr>
          <w:sz w:val="20"/>
          <w:szCs w:val="20"/>
          <w:color w:val="auto"/>
        </w:rPr>
      </w:pPr>
    </w:p>
    <w:p>
      <w:pPr>
        <w:ind w:left="1100" w:right="1139" w:firstLine="318"/>
        <w:spacing w:after="0" w:line="253" w:lineRule="auto"/>
        <w:rPr>
          <w:sz w:val="20"/>
          <w:szCs w:val="20"/>
          <w:color w:val="auto"/>
        </w:rPr>
      </w:pPr>
      <w:r>
        <w:rPr>
          <w:rFonts w:ascii="Times New Roman" w:cs="Times New Roman" w:eastAsia="Times New Roman" w:hAnsi="Times New Roman"/>
          <w:sz w:val="16"/>
          <w:szCs w:val="16"/>
          <w:color w:val="auto"/>
        </w:rPr>
        <w:t>Within 10 days after the later of the effective date of the merger, or the date on which Peach State receives a payment demand, Peach State will send a written offer to each shareholder who complied with the provisions set forth in the dissenters’ notice to pay each such shareholder an amount that Peach State estimates to be the fair value of those shares, plus accrued interest. The offer of payment will be accompanied by: (i) Peach State’s balance sheet as of the end of a fiscal year ending not more than</w:t>
      </w:r>
    </w:p>
    <w:p>
      <w:pPr>
        <w:ind w:left="1100" w:right="919"/>
        <w:spacing w:after="0" w:line="248" w:lineRule="auto"/>
        <w:rPr>
          <w:sz w:val="20"/>
          <w:szCs w:val="20"/>
          <w:color w:val="auto"/>
        </w:rPr>
      </w:pPr>
      <w:r>
        <w:rPr>
          <w:rFonts w:ascii="Times New Roman" w:cs="Times New Roman" w:eastAsia="Times New Roman" w:hAnsi="Times New Roman"/>
          <w:sz w:val="16"/>
          <w:szCs w:val="16"/>
          <w:color w:val="auto"/>
        </w:rPr>
        <w:t>16 months before the date of making the offer, an income statement for that year, a statement of changes in shareholders’ equity for that year, and the latest available interim statements, if any; (ii) a statement of Peach State’s estimate of the fair value of the shares; (iii) an explanation of how any interest was calculated;</w:t>
      </w:r>
    </w:p>
    <w:p>
      <w:pPr>
        <w:spacing w:after="0" w:line="1" w:lineRule="exact"/>
        <w:rPr>
          <w:sz w:val="20"/>
          <w:szCs w:val="20"/>
          <w:color w:val="auto"/>
        </w:rPr>
      </w:pPr>
    </w:p>
    <w:p>
      <w:pPr>
        <w:ind w:left="1100" w:right="1439" w:firstLine="3"/>
        <w:spacing w:after="0" w:line="257" w:lineRule="auto"/>
        <w:tabs>
          <w:tab w:leader="none" w:pos="1385"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of the dissenting shareholder’s right to demand payment of a different amount under Section 14-2-1327 of the GBCC and (v) a copy of Article 13 of the GBCC.</w:t>
      </w:r>
    </w:p>
    <w:p>
      <w:pPr>
        <w:spacing w:after="0" w:line="101" w:lineRule="exact"/>
        <w:rPr>
          <w:sz w:val="20"/>
          <w:szCs w:val="20"/>
          <w:color w:val="auto"/>
        </w:rPr>
      </w:pPr>
    </w:p>
    <w:p>
      <w:pPr>
        <w:ind w:left="1100" w:right="979" w:firstLine="318"/>
        <w:spacing w:after="0" w:line="254" w:lineRule="auto"/>
        <w:rPr>
          <w:sz w:val="20"/>
          <w:szCs w:val="20"/>
          <w:color w:val="auto"/>
        </w:rPr>
      </w:pPr>
      <w:r>
        <w:rPr>
          <w:rFonts w:ascii="Times New Roman" w:cs="Times New Roman" w:eastAsia="Times New Roman" w:hAnsi="Times New Roman"/>
          <w:sz w:val="16"/>
          <w:szCs w:val="16"/>
          <w:color w:val="auto"/>
        </w:rPr>
        <w:t>A dissenting shareholder choosing to accept Peach State’s offer of payment must do so by written notice to Peach State within 30 days after receipt of Peach State’s offer of payment. A dissenting shareholder not responding to that offer within the 30-day period will be deemed to have accepted the offer of payment. Peach State must make payment to each shareholder who responds to the offer of payment within 60 days after the making of the offer of payment, or the effective date of the merger, whichever is later. Upon payment, the dissenting shareholder will cease to have any interest in his or her shares of Peach State common stock.</w:t>
      </w:r>
    </w:p>
    <w:p>
      <w:pPr>
        <w:spacing w:after="0" w:line="285" w:lineRule="exact"/>
        <w:rPr>
          <w:sz w:val="20"/>
          <w:szCs w:val="20"/>
          <w:color w:val="auto"/>
        </w:rPr>
      </w:pPr>
    </w:p>
    <w:p>
      <w:pPr>
        <w:ind w:left="1100" w:right="919" w:firstLine="318"/>
        <w:spacing w:after="0" w:line="253" w:lineRule="auto"/>
        <w:rPr>
          <w:sz w:val="20"/>
          <w:szCs w:val="20"/>
          <w:color w:val="auto"/>
        </w:rPr>
      </w:pPr>
      <w:r>
        <w:rPr>
          <w:rFonts w:ascii="Times New Roman" w:cs="Times New Roman" w:eastAsia="Times New Roman" w:hAnsi="Times New Roman"/>
          <w:sz w:val="16"/>
          <w:szCs w:val="16"/>
          <w:color w:val="auto"/>
        </w:rPr>
        <w:t>If a dissenting shareholder does not accept, within 30 days after Peach State’s offer, the estimate of fair value in payment for such shares and interest due thereon and demands payment of some other estimate of the fair value of the shares and interest due thereon, then Peach State, within 60 days after receiving the payment demand of a different amount from a dissenting shareholder, must commence a proceeding in superior court of the county where its main office is located to determine the rights of the dissenting shareholder and the fair value of his or her shares. If Peach State does not commence the proceedings within the 60-day period, then it must pay each dissenter whose demand remains unsettled the amount demanded by the dissenting shareholder.</w:t>
      </w:r>
    </w:p>
    <w:p>
      <w:pPr>
        <w:spacing w:after="0" w:line="298" w:lineRule="exact"/>
        <w:rPr>
          <w:sz w:val="20"/>
          <w:szCs w:val="20"/>
          <w:color w:val="auto"/>
        </w:rPr>
      </w:pPr>
    </w:p>
    <w:p>
      <w:pPr>
        <w:ind w:left="1100" w:right="919" w:firstLine="318"/>
        <w:spacing w:after="0" w:line="250" w:lineRule="auto"/>
        <w:rPr>
          <w:sz w:val="20"/>
          <w:szCs w:val="20"/>
          <w:color w:val="auto"/>
        </w:rPr>
      </w:pPr>
      <w:r>
        <w:rPr>
          <w:rFonts w:ascii="Times New Roman" w:cs="Times New Roman" w:eastAsia="Times New Roman" w:hAnsi="Times New Roman"/>
          <w:sz w:val="16"/>
          <w:szCs w:val="16"/>
          <w:color w:val="auto"/>
        </w:rPr>
        <w:t>In the event of a court proceeding, the court will determine all costs of the proceeding, including the reasonable compensation and expenses of appraisers appointed by the court, but not including fees and expenses of attorneys and experts for the respective parties. The court will assess these costs against Peach State, except that the court may assess these costs against all or some of the dissenters in amounts the court finds equitable to the extent the court finds the dissenters acted arbitrarily or not in good faith in demanding payment under the dissenters’ provisions. The court may also assess the fees and expenses of attorneys and experts for the respective parties in amounts the court finds equitable: (i) against Peach State and in favor of any or all dissenters if the court finds Peach State did not substantially comply with the dissenters’ provisions; or (ii) against Peach State or a dissenter in favor of any other party if the court finds that the party against whom fees and expenses are assessed acted arbitrarily or not in good faith with respect to the rights provided by the dissenters’ provisions. If the court finds that the services of attorneys for any dissenter were of substantial benefit to other dissenters similarly situated and that the fees for those services should not be assessed against Peach State, the court may award these attorneys reasonable fees to be paid out of the amounts awarded the dissenters who were benefited.</w:t>
      </w:r>
    </w:p>
    <w:p>
      <w:pPr>
        <w:spacing w:after="0" w:line="116" w:lineRule="exact"/>
        <w:rPr>
          <w:sz w:val="20"/>
          <w:szCs w:val="20"/>
          <w:color w:val="auto"/>
        </w:rPr>
      </w:pPr>
    </w:p>
    <w:p>
      <w:pPr>
        <w:ind w:left="1100" w:right="899" w:firstLine="318"/>
        <w:spacing w:after="0" w:line="263" w:lineRule="auto"/>
        <w:rPr>
          <w:sz w:val="20"/>
          <w:szCs w:val="20"/>
          <w:color w:val="auto"/>
        </w:rPr>
      </w:pPr>
      <w:r>
        <w:rPr>
          <w:rFonts w:ascii="Times New Roman" w:cs="Times New Roman" w:eastAsia="Times New Roman" w:hAnsi="Times New Roman"/>
          <w:sz w:val="16"/>
          <w:szCs w:val="16"/>
          <w:color w:val="auto"/>
        </w:rPr>
        <w:t>Peach State shareholders should be aware that cash paid to dissenting shareholders in satisfaction of the fair value of their shares of Peach State common stock will result in the recognition of any gain or loss realized for U.S. federal income tax purposes.</w:t>
      </w:r>
    </w:p>
    <w:p>
      <w:pPr>
        <w:spacing w:after="0" w:line="3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39" w:firstLine="318"/>
        <w:spacing w:after="0" w:line="256" w:lineRule="auto"/>
        <w:rPr>
          <w:sz w:val="20"/>
          <w:szCs w:val="20"/>
          <w:color w:val="auto"/>
        </w:rPr>
      </w:pPr>
      <w:r>
        <w:rPr>
          <w:rFonts w:ascii="Times New Roman" w:cs="Times New Roman" w:eastAsia="Times New Roman" w:hAnsi="Times New Roman"/>
          <w:sz w:val="16"/>
          <w:szCs w:val="16"/>
          <w:color w:val="auto"/>
        </w:rPr>
        <w:t>Failure by a Peach State shareholder to follow the steps required by the GBCC for perfecting dissenters’ rights may result in the loss of such rights. In view of the complexity of these provisions and the requirement that they be strictly complied with, if you hold shares of Peach State common stock and are considering dissenting from the approval of the Peach State merger proposal and exercising your dissenters’ rights under the GBCC, you should consult your legal advisors.</w:t>
      </w:r>
    </w:p>
    <w:p>
      <w:pPr>
        <w:spacing w:after="0" w:line="103" w:lineRule="exact"/>
        <w:rPr>
          <w:sz w:val="20"/>
          <w:szCs w:val="20"/>
          <w:color w:val="auto"/>
        </w:rPr>
      </w:pPr>
    </w:p>
    <w:p>
      <w:pPr>
        <w:ind w:left="1100" w:right="1299" w:firstLine="318"/>
        <w:spacing w:after="0" w:line="279" w:lineRule="auto"/>
        <w:rPr>
          <w:sz w:val="20"/>
          <w:szCs w:val="20"/>
          <w:color w:val="auto"/>
        </w:rPr>
      </w:pPr>
      <w:r>
        <w:rPr>
          <w:rFonts w:ascii="Times New Roman" w:cs="Times New Roman" w:eastAsia="Times New Roman" w:hAnsi="Times New Roman"/>
          <w:sz w:val="16"/>
          <w:szCs w:val="16"/>
          <w:color w:val="auto"/>
        </w:rPr>
        <w:t>For a discussion of tax consequences with respect to dissenting shares, see “Material U.S. Federal Income Tax Consequences of the Merger.”</w:t>
      </w:r>
    </w:p>
    <w:p>
      <w:pPr>
        <w:spacing w:after="0" w:line="82" w:lineRule="exact"/>
        <w:rPr>
          <w:sz w:val="20"/>
          <w:szCs w:val="20"/>
          <w:color w:val="auto"/>
        </w:rPr>
      </w:pPr>
    </w:p>
    <w:p>
      <w:pPr>
        <w:jc w:val="both"/>
        <w:ind w:left="1100" w:right="1239" w:firstLine="318"/>
        <w:spacing w:after="0" w:line="290" w:lineRule="auto"/>
        <w:rPr>
          <w:sz w:val="20"/>
          <w:szCs w:val="20"/>
          <w:color w:val="auto"/>
        </w:rPr>
      </w:pPr>
      <w:r>
        <w:rPr>
          <w:rFonts w:ascii="Times New Roman" w:cs="Times New Roman" w:eastAsia="Times New Roman" w:hAnsi="Times New Roman"/>
          <w:sz w:val="15"/>
          <w:szCs w:val="15"/>
          <w:b w:val="1"/>
          <w:bCs w:val="1"/>
          <w:color w:val="auto"/>
        </w:rPr>
        <w:t>BECAUSE OF THE COMPLEXITY OF THE PROVISIONS OF GEORGIA LAW RELATING TO DISSENTERS’ APPRAISAL RIGHTS, SHAREHOLDERS WHO ARE CONSIDERING DISSENTING FROM THE MERGER ARE URGED TO CONSULT THEIR OWN LEGAL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40" w:lineRule="exact"/>
        <w:rPr>
          <w:sz w:val="20"/>
          <w:szCs w:val="20"/>
          <w:color w:val="auto"/>
        </w:rPr>
      </w:pPr>
    </w:p>
    <w:p>
      <w:pPr>
        <w:ind w:left="1100" w:right="1219" w:firstLine="318"/>
        <w:spacing w:after="0" w:line="279" w:lineRule="auto"/>
        <w:rPr>
          <w:sz w:val="20"/>
          <w:szCs w:val="20"/>
          <w:color w:val="auto"/>
        </w:rPr>
      </w:pPr>
      <w:r>
        <w:rPr>
          <w:rFonts w:ascii="Times New Roman" w:cs="Times New Roman" w:eastAsia="Times New Roman" w:hAnsi="Times New Roman"/>
          <w:sz w:val="16"/>
          <w:szCs w:val="16"/>
          <w:color w:val="auto"/>
        </w:rPr>
        <w:t>The validity of the United common stock to be issued in connection with the merger will be passed upon for United by Squire Patton Boggs (US) LLP.</w:t>
      </w:r>
    </w:p>
    <w:p>
      <w:pPr>
        <w:spacing w:after="0" w:line="84" w:lineRule="exact"/>
        <w:rPr>
          <w:sz w:val="20"/>
          <w:szCs w:val="20"/>
          <w:color w:val="auto"/>
        </w:rPr>
      </w:pPr>
    </w:p>
    <w:p>
      <w:pPr>
        <w:ind w:left="1100" w:right="979" w:firstLine="318"/>
        <w:spacing w:after="0" w:line="279" w:lineRule="auto"/>
        <w:rPr>
          <w:sz w:val="20"/>
          <w:szCs w:val="20"/>
          <w:color w:val="auto"/>
        </w:rPr>
      </w:pPr>
      <w:r>
        <w:rPr>
          <w:rFonts w:ascii="Times New Roman" w:cs="Times New Roman" w:eastAsia="Times New Roman" w:hAnsi="Times New Roman"/>
          <w:sz w:val="16"/>
          <w:szCs w:val="16"/>
          <w:color w:val="auto"/>
        </w:rPr>
        <w:t>Certain U.S. federal income tax consequences relating to the merger will be passed upon for United by Wachtell, Lipton, Rosen &amp; Katz and for Peach State by Alston &amp; Bird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United</w:t>
      </w:r>
    </w:p>
    <w:p>
      <w:pPr>
        <w:spacing w:after="0" w:line="140" w:lineRule="exact"/>
        <w:rPr>
          <w:sz w:val="20"/>
          <w:szCs w:val="20"/>
          <w:color w:val="auto"/>
        </w:rPr>
      </w:pPr>
    </w:p>
    <w:p>
      <w:pPr>
        <w:ind w:left="1100" w:right="1079" w:firstLine="318"/>
        <w:spacing w:after="0" w:line="254" w:lineRule="auto"/>
        <w:rPr>
          <w:rFonts w:ascii="Times New Roman" w:cs="Times New Roman" w:eastAsia="Times New Roman" w:hAnsi="Times New Roman"/>
          <w:sz w:val="16"/>
          <w:szCs w:val="16"/>
          <w:color w:val="0000EE"/>
        </w:rPr>
      </w:pPr>
      <w:r>
        <w:rPr>
          <w:rFonts w:ascii="Times New Roman" w:cs="Times New Roman" w:eastAsia="Times New Roman" w:hAnsi="Times New Roman"/>
          <w:sz w:val="16"/>
          <w:szCs w:val="16"/>
          <w:color w:val="auto"/>
        </w:rPr>
        <w:t xml:space="preserve">The financial statements and management’s assessment of the effectiveness of internal control over financial reporting (which is included in Management’s Report on Internal Control Over Financial </w:t>
      </w:r>
      <w:hyperlink r:id="rId211">
        <w:r>
          <w:rPr>
            <w:rFonts w:ascii="Times New Roman" w:cs="Times New Roman" w:eastAsia="Times New Roman" w:hAnsi="Times New Roman"/>
            <w:sz w:val="16"/>
            <w:szCs w:val="16"/>
            <w:color w:val="auto"/>
          </w:rPr>
          <w:t xml:space="preserve">Reporting) incorporated in this prospectus by reference to United’s </w:t>
        </w:r>
        <w:r>
          <w:rPr>
            <w:rFonts w:ascii="Times New Roman" w:cs="Times New Roman" w:eastAsia="Times New Roman" w:hAnsi="Times New Roman"/>
            <w:sz w:val="16"/>
            <w:szCs w:val="16"/>
            <w:u w:val="single" w:color="auto"/>
            <w:color w:val="0000EE"/>
          </w:rPr>
          <w:t>Annual Report on Form 10-K for the</w:t>
        </w:r>
      </w:hyperlink>
      <w:r>
        <w:rPr>
          <w:rFonts w:ascii="Times New Roman" w:cs="Times New Roman" w:eastAsia="Times New Roman" w:hAnsi="Times New Roman"/>
          <w:sz w:val="16"/>
          <w:szCs w:val="16"/>
          <w:color w:val="auto"/>
        </w:rPr>
        <w:t xml:space="preserve"> </w:t>
      </w:r>
      <w:hyperlink r:id="rId211">
        <w:r>
          <w:rPr>
            <w:rFonts w:ascii="Times New Roman" w:cs="Times New Roman" w:eastAsia="Times New Roman" w:hAnsi="Times New Roman"/>
            <w:sz w:val="16"/>
            <w:szCs w:val="16"/>
            <w:u w:val="single" w:color="auto"/>
            <w:color w:val="0000EE"/>
          </w:rPr>
          <w:t>year ended December 31, 2025</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have been so incorporated in reliance on the report of</w:t>
        </w:r>
      </w:hyperlink>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40" w:lineRule="exact"/>
        <w:rPr>
          <w:sz w:val="20"/>
          <w:szCs w:val="20"/>
          <w:color w:val="auto"/>
        </w:rPr>
      </w:pPr>
    </w:p>
    <w:p>
      <w:pPr>
        <w:ind w:left="1100" w:right="959" w:firstLine="318"/>
        <w:spacing w:after="0" w:line="245" w:lineRule="auto"/>
        <w:rPr>
          <w:sz w:val="20"/>
          <w:szCs w:val="20"/>
          <w:color w:val="auto"/>
        </w:rPr>
      </w:pPr>
      <w:r>
        <w:rPr>
          <w:rFonts w:ascii="Times New Roman" w:cs="Times New Roman" w:eastAsia="Times New Roman" w:hAnsi="Times New Roman"/>
          <w:sz w:val="16"/>
          <w:szCs w:val="16"/>
          <w:color w:val="auto"/>
        </w:rPr>
        <w:t>United has filed with the SEC a registration statement under the Securities Act of 1933, as amended, that registers the issuance of the shares of United common stock to be issued in connection with the merger. This proxy statement/prospectus is a part of that registration statement and constitutes the prospectus of United and a proxy statement for Peach State shareholders. The registration statement, including this proxy statement/prospectus and the attached annexes, exhibits and schedules, contains additional relevant information about United and United common stock.</w:t>
      </w:r>
    </w:p>
    <w:p>
      <w:pPr>
        <w:spacing w:after="0" w:line="100" w:lineRule="exact"/>
        <w:rPr>
          <w:sz w:val="20"/>
          <w:szCs w:val="20"/>
          <w:color w:val="auto"/>
        </w:rPr>
      </w:pPr>
    </w:p>
    <w:p>
      <w:pPr>
        <w:ind w:left="1100" w:right="959" w:firstLine="318"/>
        <w:spacing w:after="0" w:line="241" w:lineRule="auto"/>
        <w:rPr>
          <w:sz w:val="20"/>
          <w:szCs w:val="20"/>
          <w:color w:val="auto"/>
        </w:rPr>
      </w:pPr>
      <w:r>
        <w:rPr>
          <w:rFonts w:ascii="Times New Roman" w:cs="Times New Roman" w:eastAsia="Times New Roman" w:hAnsi="Times New Roman"/>
          <w:sz w:val="16"/>
          <w:szCs w:val="16"/>
          <w:color w:val="auto"/>
        </w:rPr>
        <w:t>United also files reports, proxy statements, and other information with the SEC under the Securities Exchange Act of 1934, which we refer to as the Exchange Act. The SEC maintains an Internet website that contains reports, proxy statements, and other information about issuers, such as United, who file electronically with the SEC. The address of the site is http://www.sec.gov. The reports and other information filed by United with the SEC are also available at United’s website at www.ucbi.com. The web addresses of the SEC and United are included as inactive textual references only. Except as specifically incorporated by reference into this proxy statement/prospectus, information on those web sites is not part of this proxy statement/prospectus.</w:t>
      </w:r>
    </w:p>
    <w:p>
      <w:pPr>
        <w:spacing w:after="0" w:line="291" w:lineRule="exact"/>
        <w:rPr>
          <w:sz w:val="20"/>
          <w:szCs w:val="20"/>
          <w:color w:val="auto"/>
        </w:rPr>
      </w:pPr>
    </w:p>
    <w:p>
      <w:pPr>
        <w:ind w:left="1100" w:right="939" w:firstLine="318"/>
        <w:spacing w:after="0" w:line="241" w:lineRule="auto"/>
        <w:rPr>
          <w:sz w:val="20"/>
          <w:szCs w:val="20"/>
          <w:color w:val="auto"/>
        </w:rPr>
      </w:pPr>
      <w:r>
        <w:rPr>
          <w:rFonts w:ascii="Times New Roman" w:cs="Times New Roman" w:eastAsia="Times New Roman" w:hAnsi="Times New Roman"/>
          <w:sz w:val="16"/>
          <w:szCs w:val="16"/>
          <w:color w:val="auto"/>
        </w:rPr>
        <w:t>Peach State is not subject to the informational reporting requirements of the Exchange Act. Therefore, Peach State does not file and is not required to file reports, proxy statements and other informational statements pursuant to the Exchange Act with the SEC or the OCC. Peach State Bank &amp; Trust, a wholly-owned subsidiary of Peach State, does file unaudited, periodic reports of income and condition, or call reports, with the FDIC. Peach State Bank &amp; Trust’s call reports can be accessed through the Federal Financial Institutions Examination Council, or FFIEC’s, website (https://cdr.ffiec.gov/public/). Reference to the call reports is for informational purposes only, and such call reports are not incorporated by reference into this proxy statement/prospectus.</w:t>
      </w:r>
    </w:p>
    <w:p>
      <w:pPr>
        <w:spacing w:after="0" w:line="291" w:lineRule="exact"/>
        <w:rPr>
          <w:sz w:val="20"/>
          <w:szCs w:val="20"/>
          <w:color w:val="auto"/>
        </w:rPr>
      </w:pPr>
    </w:p>
    <w:p>
      <w:pPr>
        <w:ind w:left="1100" w:right="1099" w:firstLine="318"/>
        <w:spacing w:after="0" w:line="244" w:lineRule="auto"/>
        <w:rPr>
          <w:sz w:val="20"/>
          <w:szCs w:val="20"/>
          <w:color w:val="auto"/>
        </w:rPr>
      </w:pPr>
      <w:r>
        <w:rPr>
          <w:rFonts w:ascii="Times New Roman" w:cs="Times New Roman" w:eastAsia="Times New Roman" w:hAnsi="Times New Roman"/>
          <w:sz w:val="16"/>
          <w:szCs w:val="16"/>
          <w:color w:val="auto"/>
        </w:rPr>
        <w:t>The SEC allows United to incorporate by reference information in this proxy statement/prospectus. This means that United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w:t>
      </w:r>
    </w:p>
    <w:p>
      <w:pPr>
        <w:spacing w:after="0" w:line="101" w:lineRule="exact"/>
        <w:rPr>
          <w:sz w:val="20"/>
          <w:szCs w:val="20"/>
          <w:color w:val="auto"/>
        </w:rPr>
      </w:pPr>
    </w:p>
    <w:p>
      <w:pPr>
        <w:ind w:left="1100" w:right="1119" w:firstLine="318"/>
        <w:spacing w:after="0" w:line="246" w:lineRule="auto"/>
        <w:rPr>
          <w:sz w:val="20"/>
          <w:szCs w:val="20"/>
          <w:color w:val="auto"/>
        </w:rPr>
      </w:pPr>
      <w:r>
        <w:rPr>
          <w:rFonts w:ascii="Times New Roman" w:cs="Times New Roman" w:eastAsia="Times New Roman" w:hAnsi="Times New Roman"/>
          <w:sz w:val="16"/>
          <w:szCs w:val="16"/>
          <w:color w:val="auto"/>
        </w:rPr>
        <w:t>This proxy statement/prospectus incorporates by reference the documents listed below that United previously filed with the SEC (other than, in each case, documents or information deemed to have been furnished and not filed according to SEC rules). They contain important information about United and its financial condition.</w:t>
      </w:r>
    </w:p>
    <w:p>
      <w:pPr>
        <w:sectPr>
          <w:pgSz w:w="11900" w:h="16838" w:orient="portrait"/>
          <w:cols w:equalWidth="0" w:num="1">
            <w:col w:w="9239"/>
          </w:cols>
          <w:pgMar w:left="1220" w:top="94" w:right="1440" w:bottom="1440" w:gutter="0" w:footer="0" w:header="0"/>
        </w:sectPr>
      </w:pPr>
    </w:p>
    <w:p>
      <w:pPr>
        <w:spacing w:after="0" w:line="1" w:lineRule="exact"/>
        <w:rPr>
          <w:sz w:val="20"/>
          <w:szCs w:val="20"/>
          <w:color w:val="auto"/>
        </w:rPr>
      </w:pPr>
    </w:p>
    <w:p>
      <w:pPr>
        <w:ind w:left="2360" w:hanging="1257"/>
        <w:spacing w:after="0"/>
        <w:tabs>
          <w:tab w:leader="none" w:pos="2360" w:val="left"/>
        </w:tabs>
        <w:numPr>
          <w:ilvl w:val="0"/>
          <w:numId w:val="99"/>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b w:val="1"/>
          <w:bCs w:val="1"/>
          <w:color w:val="auto"/>
        </w:rPr>
        <w:t>United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20955</wp:posOffset>
            </wp:positionV>
            <wp:extent cx="223901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2239010" cy="7620"/>
                    </a:xfrm>
                    <a:prstGeom prst="rect">
                      <a:avLst/>
                    </a:prstGeom>
                    <a:noFill/>
                  </pic:spPr>
                </pic:pic>
              </a:graphicData>
            </a:graphic>
          </wp:anchor>
        </w:drawing>
      </w:r>
    </w:p>
    <w:p>
      <w:pPr>
        <w:ind w:left="1100"/>
        <w:spacing w:after="0" w:line="181" w:lineRule="auto"/>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30"/>
            <w:szCs w:val="30"/>
            <w:color w:val="000000"/>
            <w:vertAlign w:val="superscript"/>
          </w:rPr>
          <w:t>​</w:t>
        </w:r>
        <w:r>
          <w:rPr>
            <w:rFonts w:ascii="Times New Roman" w:cs="Times New Roman" w:eastAsia="Times New Roman" w:hAnsi="Times New Roman"/>
            <w:sz w:val="16"/>
            <w:szCs w:val="16"/>
            <w:u w:val="single" w:color="auto"/>
            <w:color w:val="0000EE"/>
          </w:rPr>
          <w:t>Annual Report on Form 10-K</w:t>
        </w:r>
      </w:hyperlink>
    </w:p>
    <w:p>
      <w:pPr>
        <w:ind w:left="1100"/>
        <w:spacing w:after="0" w:line="183" w:lineRule="auto"/>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Quarterly Reports on Form 10-Q</w:t>
      </w:r>
    </w:p>
    <w:p>
      <w:pPr>
        <w:ind w:left="1100"/>
        <w:spacing w:after="0"/>
        <w:rPr>
          <w:sz w:val="20"/>
          <w:szCs w:val="20"/>
          <w:color w:val="auto"/>
        </w:rPr>
      </w:pPr>
      <w:r>
        <w:rPr>
          <w:rFonts w:ascii="Times New Roman" w:cs="Times New Roman" w:eastAsia="Times New Roman" w:hAnsi="Times New Roman"/>
          <w:sz w:val="16"/>
          <w:szCs w:val="16"/>
          <w:color w:val="auto"/>
        </w:rPr>
        <w:t>Current​ Reports on Form 8-K</w:t>
      </w:r>
    </w:p>
    <w:p>
      <w:pPr>
        <w:spacing w:after="0" w:line="370" w:lineRule="exact"/>
        <w:rPr>
          <w:sz w:val="20"/>
          <w:szCs w:val="20"/>
          <w:color w:val="auto"/>
        </w:rPr>
      </w:pPr>
    </w:p>
    <w:p>
      <w:pPr>
        <w:ind w:left="1100"/>
        <w:spacing w:after="0"/>
        <w:rPr>
          <w:rFonts w:ascii="Times New Roman" w:cs="Times New Roman" w:eastAsia="Times New Roman" w:hAnsi="Times New Roman"/>
          <w:sz w:val="16"/>
          <w:szCs w:val="16"/>
          <w:color w:val="0000EE"/>
        </w:rPr>
      </w:pPr>
      <w:hyperlink r:id="rId213"/>
      <w:r>
        <w:rPr>
          <w:rFonts w:ascii="Times New Roman" w:cs="Times New Roman" w:eastAsia="Times New Roman" w:hAnsi="Times New Roman"/>
          <w:sz w:val="31"/>
          <w:szCs w:val="31"/>
          <w:color w:val="000000"/>
          <w:vertAlign w:val="superscript"/>
        </w:rPr>
        <w:t>​</w:t>
      </w:r>
      <w:hyperlink r:id="rId213">
        <w:r>
          <w:rPr>
            <w:rFonts w:ascii="Times New Roman" w:cs="Times New Roman" w:eastAsia="Times New Roman" w:hAnsi="Times New Roman"/>
            <w:sz w:val="16"/>
            <w:szCs w:val="16"/>
            <w:u w:val="single" w:color="auto"/>
            <w:color w:val="0000EE"/>
          </w:rPr>
          <w:t>Definitive Proxy Statement on Schedule 14A</w:t>
        </w:r>
      </w:hyperlink>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5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3"/>
                <w:szCs w:val="13"/>
                <w:b w:val="1"/>
                <w:bCs w:val="1"/>
                <w:color w:val="auto"/>
              </w:rPr>
              <w:t>Period or Date Filed</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3"/>
        </w:trPr>
        <w:tc>
          <w:tcPr>
            <w:tcW w:w="2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 ​</w:t>
            </w:r>
          </w:p>
        </w:tc>
        <w:tc>
          <w:tcPr>
            <w:tcW w:w="3500" w:type="dxa"/>
            <w:vAlign w:val="bottom"/>
            <w:gridSpan w:val="4"/>
          </w:tcPr>
          <w:p>
            <w:pPr>
              <w:spacing w:after="0" w:line="183"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Year ended December 31, 2025</w:t>
              </w:r>
            </w:hyperlink>
          </w:p>
        </w:tc>
        <w:tc>
          <w:tcPr>
            <w:tcW w:w="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w:t>
            </w:r>
          </w:p>
        </w:tc>
      </w:tr>
      <w:tr>
        <w:trPr>
          <w:trHeight w:val="20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2080" w:type="dxa"/>
            <w:vAlign w:val="bottom"/>
            <w:tcBorders>
              <w:top w:val="single" w:sz="8" w:color="0000EE"/>
            </w:tcBorders>
            <w:gridSpan w:val="4"/>
          </w:tcPr>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Filed on </w:t>
            </w:r>
            <w:hyperlink r:id="rId274">
              <w:r>
                <w:rPr>
                  <w:rFonts w:ascii="Times New Roman" w:cs="Times New Roman" w:eastAsia="Times New Roman" w:hAnsi="Times New Roman"/>
                  <w:sz w:val="16"/>
                  <w:szCs w:val="16"/>
                  <w:color w:val="0000EE"/>
                </w:rPr>
                <w:t>May 6, 2026</w:t>
              </w:r>
            </w:hyperlink>
            <w:r>
              <w:rPr>
                <w:rFonts w:ascii="Times New Roman" w:cs="Times New Roman" w:eastAsia="Times New Roman" w:hAnsi="Times New Roman"/>
                <w:sz w:val="16"/>
                <w:szCs w:val="16"/>
                <w:color w:val="auto"/>
              </w:rPr>
              <w:t>.</w:t>
            </w:r>
          </w:p>
        </w:tc>
        <w:tc>
          <w:tcPr>
            <w:tcW w:w="144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 w:lineRule="exact"/>
        <w:rPr>
          <w:sz w:val="20"/>
          <w:szCs w:val="20"/>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 </w:t>
      </w:r>
      <w:hyperlink r:id="rId275">
        <w:r>
          <w:rPr>
            <w:rFonts w:ascii="Times New Roman" w:cs="Times New Roman" w:eastAsia="Times New Roman" w:hAnsi="Times New Roman"/>
            <w:sz w:val="16"/>
            <w:szCs w:val="16"/>
            <w:color w:val="auto"/>
          </w:rPr>
          <w:t xml:space="preserve">Filed on </w:t>
        </w:r>
        <w:r>
          <w:rPr>
            <w:rFonts w:ascii="Times New Roman" w:cs="Times New Roman" w:eastAsia="Times New Roman" w:hAnsi="Times New Roman"/>
            <w:sz w:val="16"/>
            <w:szCs w:val="16"/>
            <w:u w:val="single" w:color="auto"/>
            <w:color w:val="0000EE"/>
          </w:rPr>
          <w:t>January 14, 2026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April 21, 2026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April 21,</w:t>
        </w:r>
        <w:r>
          <w:rPr>
            <w:rFonts w:ascii="Times New Roman" w:cs="Times New Roman" w:eastAsia="Times New Roman" w:hAnsi="Times New Roman"/>
            <w:sz w:val="16"/>
            <w:szCs w:val="16"/>
            <w:color w:val="auto"/>
          </w:rPr>
          <w:t xml:space="preserve"> </w:t>
        </w:r>
      </w:hyperlink>
      <w:r>
        <w:rPr>
          <w:rFonts w:ascii="Times New Roman" w:cs="Times New Roman" w:eastAsia="Times New Roman" w:hAnsi="Times New Roman"/>
          <w:sz w:val="16"/>
          <w:szCs w:val="16"/>
          <w:color w:val="auto"/>
        </w:rPr>
        <w:t>​</w:t>
      </w:r>
    </w:p>
    <w:p>
      <w:pPr>
        <w:spacing w:after="0" w:line="47" w:lineRule="exact"/>
        <w:rPr>
          <w:sz w:val="20"/>
          <w:szCs w:val="20"/>
          <w:color w:val="auto"/>
        </w:rPr>
      </w:pPr>
    </w:p>
    <w:p>
      <w:pPr>
        <w:ind w:left="200" w:right="1239"/>
        <w:spacing w:after="0" w:line="248" w:lineRule="auto"/>
        <w:rPr>
          <w:rFonts w:ascii="Times New Roman" w:cs="Times New Roman" w:eastAsia="Times New Roman" w:hAnsi="Times New Roman"/>
          <w:sz w:val="16"/>
          <w:szCs w:val="16"/>
          <w:color w:val="0000EE"/>
        </w:rPr>
      </w:pPr>
      <w:hyperlink r:id="rId275">
        <w:r>
          <w:rPr>
            <w:rFonts w:ascii="Times New Roman" w:cs="Times New Roman" w:eastAsia="Times New Roman" w:hAnsi="Times New Roman"/>
            <w:sz w:val="16"/>
            <w:szCs w:val="16"/>
            <w:u w:val="single" w:color="auto"/>
            <w:color w:val="0000EE"/>
          </w:rPr>
          <w:t>2026</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hyperlink>
      <w:hyperlink r:id="rId276">
        <w:r>
          <w:rPr>
            <w:rFonts w:ascii="Times New Roman" w:cs="Times New Roman" w:eastAsia="Times New Roman" w:hAnsi="Times New Roman"/>
            <w:sz w:val="16"/>
            <w:szCs w:val="16"/>
            <w:u w:val="single" w:color="auto"/>
            <w:color w:val="0000EE"/>
          </w:rPr>
          <w:t xml:space="preserve">April 28, 2026 </w:t>
        </w:r>
      </w:hyperlink>
      <w:hyperlink r:id="rId275">
        <w:r>
          <w:rPr>
            <w:rFonts w:ascii="Times New Roman" w:cs="Times New Roman" w:eastAsia="Times New Roman" w:hAnsi="Times New Roman"/>
            <w:sz w:val="16"/>
            <w:szCs w:val="16"/>
            <w:color w:val="000000"/>
          </w:rPr>
          <w:t>(other than the portions of</w:t>
        </w:r>
      </w:hyperlink>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those documents not deemed to be filed)</w:t>
      </w:r>
    </w:p>
    <w:p>
      <w:pPr>
        <w:spacing w:after="0" w:line="234" w:lineRule="auto"/>
        <w:tabs>
          <w:tab w:leader="none" w:pos="3700" w:val="left"/>
        </w:tabs>
        <w:rPr>
          <w:rFonts w:ascii="Times New Roman" w:cs="Times New Roman" w:eastAsia="Times New Roman" w:hAnsi="Times New Roman"/>
          <w:sz w:val="16"/>
          <w:szCs w:val="16"/>
          <w:color w:val="0000EE"/>
        </w:rPr>
      </w:pPr>
      <w:hyperlink r:id="rId213"/>
      <w:r>
        <w:rPr>
          <w:rFonts w:ascii="Times New Roman" w:cs="Times New Roman" w:eastAsia="Times New Roman" w:hAnsi="Times New Roman"/>
          <w:sz w:val="31"/>
          <w:szCs w:val="31"/>
          <w:color w:val="000000"/>
          <w:vertAlign w:val="superscript"/>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31"/>
          <w:szCs w:val="31"/>
          <w:color w:val="000000"/>
          <w:vertAlign w:val="superscript"/>
        </w:rPr>
        <w:t>​</w:t>
      </w:r>
      <w:r>
        <w:rPr>
          <w:rFonts w:ascii="Times New Roman" w:cs="Times New Roman" w:eastAsia="Times New Roman" w:hAnsi="Times New Roman"/>
          <w:sz w:val="16"/>
          <w:szCs w:val="16"/>
          <w:color w:val="0000EE"/>
        </w:rPr>
        <w:t xml:space="preserve"> </w:t>
      </w:r>
      <w:hyperlink r:id="rId213">
        <w:r>
          <w:rPr>
            <w:rFonts w:ascii="Times New Roman" w:cs="Times New Roman" w:eastAsia="Times New Roman" w:hAnsi="Times New Roman"/>
            <w:sz w:val="16"/>
            <w:szCs w:val="16"/>
            <w:u w:val="single" w:color="auto"/>
            <w:color w:val="0000EE"/>
          </w:rPr>
          <w:t>Filed April 1, 2026</w:t>
        </w:r>
      </w:hyperlink>
      <w:r>
        <w:rPr>
          <w:rFonts w:ascii="Times New Roman" w:cs="Times New Roman" w:eastAsia="Times New Roman" w:hAnsi="Times New Roman"/>
          <w:sz w:val="16"/>
          <w:szCs w:val="16"/>
          <w:color w:val="0000EE"/>
        </w:rPr>
        <w:tab/>
      </w:r>
      <w:r>
        <w:rPr>
          <w:rFonts w:ascii="Times New Roman" w:cs="Times New Roman" w:eastAsia="Times New Roman" w:hAnsi="Times New Roman"/>
          <w:sz w:val="32"/>
          <w:szCs w:val="32"/>
          <w:color w:val="0000EE"/>
          <w:vertAlign w:val="superscript"/>
        </w:rPr>
        <w:t>​</w:t>
      </w:r>
    </w:p>
    <w:p>
      <w:pPr>
        <w:spacing w:after="0" w:line="1" w:lineRule="exact"/>
        <w:rPr>
          <w:sz w:val="20"/>
          <w:szCs w:val="20"/>
          <w:color w:val="auto"/>
        </w:rPr>
      </w:pPr>
    </w:p>
    <w:p>
      <w:pPr>
        <w:sectPr>
          <w:pgSz w:w="11900" w:h="16838" w:orient="portrait"/>
          <w:cols w:equalWidth="0" w:num="2">
            <w:col w:w="4100" w:space="520"/>
            <w:col w:w="4619"/>
          </w:cols>
          <w:pgMar w:left="1220" w:top="94" w:right="1440" w:bottom="1440" w:gutter="0" w:footer="0" w:header="0"/>
          <w:type w:val="continuous"/>
        </w:sectPr>
      </w:pPr>
    </w:p>
    <w:p>
      <w:pPr>
        <w:ind w:left="1420"/>
        <w:spacing w:after="0"/>
        <w:rPr>
          <w:rFonts w:ascii="Times New Roman" w:cs="Times New Roman" w:eastAsia="Times New Roman" w:hAnsi="Times New Roman"/>
          <w:sz w:val="16"/>
          <w:szCs w:val="16"/>
          <w:color w:val="auto"/>
        </w:rPr>
      </w:pPr>
      <w:hyperlink r:id="rId277">
        <w:r>
          <w:rPr>
            <w:rFonts w:ascii="Times New Roman" w:cs="Times New Roman" w:eastAsia="Times New Roman" w:hAnsi="Times New Roman"/>
            <w:sz w:val="16"/>
            <w:szCs w:val="16"/>
            <w:color w:val="auto"/>
          </w:rPr>
          <w:t xml:space="preserve">United also incorporates by reference the description of United common stock contained as </w:t>
        </w:r>
        <w:r>
          <w:rPr>
            <w:rFonts w:ascii="Times New Roman" w:cs="Times New Roman" w:eastAsia="Times New Roman" w:hAnsi="Times New Roman"/>
            <w:sz w:val="16"/>
            <w:szCs w:val="16"/>
            <w:u w:val="single" w:color="auto"/>
            <w:color w:val="0000EE"/>
          </w:rPr>
          <w:t>Exhibit 4.1</w:t>
        </w:r>
      </w:hyperlink>
    </w:p>
    <w:p>
      <w:pPr>
        <w:spacing w:after="0" w:line="6" w:lineRule="exact"/>
        <w:rPr>
          <w:sz w:val="20"/>
          <w:szCs w:val="20"/>
          <w:color w:val="auto"/>
        </w:rPr>
      </w:pPr>
    </w:p>
    <w:p>
      <w:pPr>
        <w:ind w:left="1100" w:right="979"/>
        <w:spacing w:after="0" w:line="241" w:lineRule="auto"/>
        <w:rPr>
          <w:rFonts w:ascii="Times New Roman" w:cs="Times New Roman" w:eastAsia="Times New Roman" w:hAnsi="Times New Roman"/>
          <w:sz w:val="16"/>
          <w:szCs w:val="16"/>
          <w:color w:val="0000EE"/>
        </w:rPr>
      </w:pPr>
      <w:hyperlink r:id="rId277">
        <w:r>
          <w:rPr>
            <w:rFonts w:ascii="Times New Roman" w:cs="Times New Roman" w:eastAsia="Times New Roman" w:hAnsi="Times New Roman"/>
            <w:sz w:val="16"/>
            <w:szCs w:val="16"/>
            <w:u w:val="single" w:color="auto"/>
            <w:color w:val="0000EE"/>
          </w:rPr>
          <w:t>to United’s Annual Report on Form 10-K for the year ended December 31, 2025 filed on February 17, 2026</w:t>
        </w:r>
      </w:hyperlink>
      <w:r>
        <w:rPr>
          <w:rFonts w:ascii="Times New Roman" w:cs="Times New Roman" w:eastAsia="Times New Roman" w:hAnsi="Times New Roman"/>
          <w:sz w:val="16"/>
          <w:szCs w:val="16"/>
          <w:u w:val="single" w:color="auto"/>
          <w:color w:val="0000EE"/>
        </w:rPr>
        <w:t xml:space="preserve"> </w:t>
      </w:r>
      <w:hyperlink r:id="rId277">
        <w:r>
          <w:rPr>
            <w:rFonts w:ascii="Times New Roman" w:cs="Times New Roman" w:eastAsia="Times New Roman" w:hAnsi="Times New Roman"/>
            <w:sz w:val="16"/>
            <w:szCs w:val="16"/>
            <w:u w:val="single" w:color="auto"/>
            <w:color w:val="0000EE"/>
          </w:rPr>
          <w:t>with the SEC</w:t>
        </w:r>
        <w:r>
          <w:rPr>
            <w:rFonts w:ascii="Times New Roman" w:cs="Times New Roman" w:eastAsia="Times New Roman" w:hAnsi="Times New Roman"/>
            <w:sz w:val="16"/>
            <w:szCs w:val="16"/>
            <w:color w:val="000000"/>
          </w:rPr>
          <w:t>, including any amendment or report filed for the purpose of updating such description.</w:t>
        </w:r>
      </w:hyperlink>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In addition, United incorporates by reference additional documents filed with the SEC under</w:t>
      </w:r>
    </w:p>
    <w:p>
      <w:pPr>
        <w:spacing w:after="0" w:line="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Sections 13(a), 13(c), 14 and 15(d) of the Exchange Act between the date of this proxy statement/prospectus</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and the date of the Peach State special meeting, provided that United is not incorporating by reference any</w:t>
      </w:r>
    </w:p>
    <w:p>
      <w:pPr>
        <w:ind w:left="1100"/>
        <w:spacing w:after="0"/>
        <w:rPr>
          <w:sz w:val="20"/>
          <w:szCs w:val="20"/>
          <w:color w:val="auto"/>
        </w:rPr>
      </w:pPr>
      <w:r>
        <w:rPr>
          <w:rFonts w:ascii="Times New Roman" w:cs="Times New Roman" w:eastAsia="Times New Roman" w:hAnsi="Times New Roman"/>
          <w:sz w:val="16"/>
          <w:szCs w:val="16"/>
          <w:color w:val="auto"/>
        </w:rPr>
        <w:t>information furnished to, but not filed with, the SEC.</w:t>
      </w:r>
    </w:p>
    <w:p>
      <w:pPr>
        <w:spacing w:after="0" w:line="108" w:lineRule="exact"/>
        <w:rPr>
          <w:sz w:val="20"/>
          <w:szCs w:val="20"/>
          <w:color w:val="auto"/>
        </w:rPr>
      </w:pPr>
    </w:p>
    <w:p>
      <w:pPr>
        <w:jc w:val="both"/>
        <w:ind w:left="1100" w:right="1479" w:firstLine="318"/>
        <w:spacing w:after="0" w:line="256" w:lineRule="auto"/>
        <w:rPr>
          <w:sz w:val="20"/>
          <w:szCs w:val="20"/>
          <w:color w:val="auto"/>
        </w:rPr>
      </w:pPr>
      <w:r>
        <w:rPr>
          <w:rFonts w:ascii="Times New Roman" w:cs="Times New Roman" w:eastAsia="Times New Roman" w:hAnsi="Times New Roman"/>
          <w:sz w:val="16"/>
          <w:szCs w:val="16"/>
          <w:color w:val="auto"/>
        </w:rPr>
        <w:t>Except where the context otherwise indicates, United has supplied all information contained or incorporated by reference in this proxy statement/prospectus relating to United, and Peach State has supplied all information contained in this proxy statement/prospectus relating to Peach State.</w:t>
      </w:r>
    </w:p>
    <w:p>
      <w:pPr>
        <w:spacing w:after="0" w:line="3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39" w:firstLine="318"/>
        <w:spacing w:after="0" w:line="257" w:lineRule="auto"/>
        <w:rPr>
          <w:sz w:val="20"/>
          <w:szCs w:val="20"/>
          <w:color w:val="auto"/>
        </w:rPr>
      </w:pPr>
      <w:r>
        <w:rPr>
          <w:rFonts w:ascii="Times New Roman" w:cs="Times New Roman" w:eastAsia="Times New Roman" w:hAnsi="Times New Roman"/>
          <w:sz w:val="16"/>
          <w:szCs w:val="16"/>
          <w:color w:val="auto"/>
        </w:rPr>
        <w:t>Documents incorporated by reference are available from United without charge, excluding any exhibits to those documents unless the exhibit is specifically incorporated by reference as an exhibit in this proxy statement/prospectus. You can obtain documents incorporated by reference in this proxy statement/prospectus by requesting them in writing or by telephone from United at the following address and phone number:</w:t>
      </w:r>
    </w:p>
    <w:p>
      <w:pPr>
        <w:spacing w:after="0" w:line="29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2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color w:val="auto"/>
        </w:rPr>
        <w:t>200 East Camperdown Way</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color w:val="auto"/>
        </w:rPr>
        <w:t>Greenville, South Carolina 29601</w:t>
      </w:r>
    </w:p>
    <w:p>
      <w:pPr>
        <w:spacing w:after="0" w:line="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color w:val="auto"/>
        </w:rPr>
        <w:t>Attn: Jefferson Harralson</w:t>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color w:val="auto"/>
        </w:rPr>
        <w:t>Telephone: (864) 240-6208</w:t>
      </w:r>
    </w:p>
    <w:p>
      <w:pPr>
        <w:spacing w:after="0" w:line="119" w:lineRule="exact"/>
        <w:rPr>
          <w:sz w:val="20"/>
          <w:szCs w:val="20"/>
          <w:color w:val="auto"/>
        </w:rPr>
      </w:pPr>
    </w:p>
    <w:p>
      <w:pPr>
        <w:ind w:left="1100" w:right="979" w:firstLine="318"/>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Peach State shareholders requesting documents must do so by July 14, 2026 to receive them before the Peach State special meeting. Peach State shareholders will not be charged for any of these documents that you request. </w:t>
      </w:r>
      <w:r>
        <w:rPr>
          <w:rFonts w:ascii="Times New Roman" w:cs="Times New Roman" w:eastAsia="Times New Roman" w:hAnsi="Times New Roman"/>
          <w:sz w:val="16"/>
          <w:szCs w:val="16"/>
          <w:color w:val="auto"/>
        </w:rPr>
        <w:t>If you request any incorporated documents from United, United will mail them to you by first class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mail, or another equally prompt means, within one business day after receiving your request.</w:t>
      </w:r>
    </w:p>
    <w:p>
      <w:pPr>
        <w:spacing w:after="0" w:line="87" w:lineRule="exact"/>
        <w:rPr>
          <w:sz w:val="20"/>
          <w:szCs w:val="20"/>
          <w:color w:val="auto"/>
        </w:rPr>
      </w:pPr>
    </w:p>
    <w:p>
      <w:pPr>
        <w:ind w:left="1100" w:right="939" w:firstLine="318"/>
        <w:spacing w:after="0" w:line="271" w:lineRule="auto"/>
        <w:rPr>
          <w:sz w:val="20"/>
          <w:szCs w:val="20"/>
          <w:color w:val="auto"/>
        </w:rPr>
      </w:pPr>
      <w:r>
        <w:rPr>
          <w:rFonts w:ascii="Times New Roman" w:cs="Times New Roman" w:eastAsia="Times New Roman" w:hAnsi="Times New Roman"/>
          <w:sz w:val="15"/>
          <w:szCs w:val="15"/>
          <w:b w:val="1"/>
          <w:bCs w:val="1"/>
          <w:color w:val="auto"/>
        </w:rPr>
        <w:t>Neither United nor Peach State has authorized anyone to give any information or make any representation about the merger or the companies that is different from, or in addition to, that contained in this proxy statement/​prospectus or in any of the materials that have been incorporated in this proxy statement/prospectus. Therefore, if anyone gives you information of this sort,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speaks only as of the date of this proxy statement/prospectus unless the information specifically indicates that another date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Annex A — Merger Agreement</w:t>
      </w:r>
    </w:p>
    <w:p>
      <w:pPr>
        <w:spacing w:after="0" w:line="1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AGREEMENT AND PLAN OF MERGER</w:t>
      </w:r>
    </w:p>
    <w:p>
      <w:pPr>
        <w:spacing w:after="0" w:line="11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by and between</w:t>
      </w:r>
    </w:p>
    <w:p>
      <w:pPr>
        <w:spacing w:after="0" w:line="10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10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0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PEACH STATE BANCSHARES, INC.</w:t>
      </w:r>
    </w:p>
    <w:p>
      <w:pPr>
        <w:spacing w:after="0" w:line="1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Dated as of April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48" w:lineRule="exact"/>
        <w:rPr>
          <w:sz w:val="20"/>
          <w:szCs w:val="20"/>
          <w:color w:val="auto"/>
        </w:rPr>
      </w:pPr>
    </w:p>
    <w:tbl>
      <w:tblPr>
        <w:tblLayout w:type="fixed"/>
        <w:tblInd w:w="1100" w:type="dxa"/>
        <w:tblCellMar>
          <w:top w:w="0" w:type="dxa"/>
          <w:left w:w="0" w:type="dxa"/>
          <w:bottom w:w="0" w:type="dxa"/>
          <w:right w:w="0" w:type="dxa"/>
        </w:tblCellMar>
      </w:tblPr>
      <w:tr>
        <w:trPr>
          <w:trHeight w:val="335"/>
        </w:trPr>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Page </w:t>
            </w:r>
            <w:r>
              <w:rPr>
                <w:rFonts w:ascii="Times New Roman" w:cs="Times New Roman" w:eastAsia="Times New Roman" w:hAnsi="Times New Roman"/>
                <w:sz w:val="25"/>
                <w:szCs w:val="25"/>
                <w:b w:val="1"/>
                <w:bCs w:val="1"/>
                <w:color w:val="auto"/>
                <w:vertAlign w:val="subscript"/>
              </w:rPr>
              <w:t>​</w:t>
            </w:r>
          </w:p>
        </w:tc>
      </w:tr>
      <w:tr>
        <w:trPr>
          <w:trHeight w:val="20"/>
        </w:trPr>
        <w:tc>
          <w:tcPr>
            <w:tcW w:w="26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06"/>
        </w:trPr>
        <w:tc>
          <w:tcPr>
            <w:tcW w:w="18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0000EE"/>
                <w:w w:val="99"/>
              </w:rPr>
              <w:t>ARTICLE 1 THE MERGER</w:t>
            </w:r>
          </w:p>
        </w:tc>
        <w:tc>
          <w:tcPr>
            <w:tcW w:w="3420" w:type="dxa"/>
            <w:vAlign w:val="bottom"/>
            <w:tcBorders>
              <w:left w:val="single" w:sz="8" w:color="CCEEFF"/>
            </w:tcBorders>
            <w:gridSpan w:val="12"/>
            <w:shd w:val="clear" w:color="auto" w:fill="CCEEFF"/>
          </w:tcPr>
          <w:p>
            <w:pPr>
              <w:spacing w:after="0"/>
              <w:rPr>
                <w:sz w:val="17"/>
                <w:szCs w:val="17"/>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A-9</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0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1.</w:t>
            </w:r>
            <w:r>
              <w:rPr>
                <w:rFonts w:ascii="Times New Roman" w:cs="Times New Roman" w:eastAsia="Times New Roman" w:hAnsi="Times New Roman"/>
                <w:sz w:val="16"/>
                <w:szCs w:val="16"/>
                <w:u w:val="single" w:color="auto"/>
                <w:color w:val="0000EE"/>
              </w:rPr>
              <w:t>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The Merger</w:t>
            </w:r>
          </w:p>
        </w:tc>
        <w:tc>
          <w:tcPr>
            <w:tcW w:w="3420" w:type="dxa"/>
            <w:vAlign w:val="bottom"/>
            <w:gridSpan w:val="12"/>
          </w:tcPr>
          <w:p>
            <w:pPr>
              <w:spacing w:after="0"/>
              <w:rPr>
                <w:sz w:val="17"/>
                <w:szCs w:val="17"/>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A-9</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1.</w:t>
            </w:r>
            <w:r>
              <w:rPr>
                <w:rFonts w:ascii="Times New Roman" w:cs="Times New Roman" w:eastAsia="Times New Roman" w:hAnsi="Times New Roman"/>
                <w:sz w:val="16"/>
                <w:szCs w:val="16"/>
                <w:u w:val="single" w:color="auto"/>
                <w:color w:val="0000EE"/>
              </w:rPr>
              <w:t>2</w:t>
            </w: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EE"/>
              </w:rPr>
              <w:t>Closing</w:t>
            </w:r>
          </w:p>
        </w:tc>
        <w:tc>
          <w:tcPr>
            <w:tcW w:w="160" w:type="dxa"/>
            <w:vAlign w:val="bottom"/>
            <w:tcBorders>
              <w:right w:val="single" w:sz="8" w:color="CCEEFF"/>
            </w:tcBorders>
            <w:shd w:val="clear" w:color="auto" w:fill="CCEEFF"/>
          </w:tcPr>
          <w:p>
            <w:pPr>
              <w:spacing w:after="0"/>
              <w:rPr>
                <w:sz w:val="17"/>
                <w:szCs w:val="17"/>
                <w:color w:val="auto"/>
              </w:rPr>
            </w:pPr>
          </w:p>
        </w:tc>
        <w:tc>
          <w:tcPr>
            <w:tcW w:w="4140" w:type="dxa"/>
            <w:vAlign w:val="bottom"/>
            <w:tcBorders>
              <w:left w:val="single" w:sz="8" w:color="CCEEFF"/>
            </w:tcBorders>
            <w:gridSpan w:val="17"/>
            <w:shd w:val="clear" w:color="auto" w:fill="CCEEFF"/>
          </w:tcPr>
          <w:p>
            <w:pPr>
              <w:spacing w:after="0"/>
              <w:rPr>
                <w:sz w:val="17"/>
                <w:szCs w:val="17"/>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0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1.</w:t>
            </w:r>
            <w:r>
              <w:rPr>
                <w:rFonts w:ascii="Times New Roman" w:cs="Times New Roman" w:eastAsia="Times New Roman" w:hAnsi="Times New Roman"/>
                <w:sz w:val="16"/>
                <w:szCs w:val="16"/>
                <w:u w:val="single" w:color="auto"/>
                <w:color w:val="0000EE"/>
              </w:rPr>
              <w:t>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gridSpan w:val="15"/>
          </w:tcPr>
          <w:p>
            <w:pPr>
              <w:spacing w:after="0"/>
              <w:rPr>
                <w:sz w:val="20"/>
                <w:szCs w:val="20"/>
                <w:color w:val="auto"/>
              </w:rPr>
            </w:pPr>
            <w:r>
              <w:rPr>
                <w:rFonts w:ascii="Times New Roman" w:cs="Times New Roman" w:eastAsia="Times New Roman" w:hAnsi="Times New Roman"/>
                <w:sz w:val="16"/>
                <w:szCs w:val="16"/>
                <w:color w:val="0000EE"/>
              </w:rPr>
              <w:t>Articles of Merger and Effective Time</w:t>
            </w:r>
          </w:p>
        </w:tc>
        <w:tc>
          <w:tcPr>
            <w:tcW w:w="2360" w:type="dxa"/>
            <w:vAlign w:val="bottom"/>
            <w:gridSpan w:val="5"/>
          </w:tcPr>
          <w:p>
            <w:pPr>
              <w:spacing w:after="0"/>
              <w:rPr>
                <w:sz w:val="17"/>
                <w:szCs w:val="17"/>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A-10</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1.</w:t>
            </w:r>
            <w:r>
              <w:rPr>
                <w:rFonts w:ascii="Times New Roman" w:cs="Times New Roman" w:eastAsia="Times New Roman" w:hAnsi="Times New Roman"/>
                <w:sz w:val="16"/>
                <w:szCs w:val="16"/>
                <w:u w:val="single" w:color="auto"/>
                <w:color w:val="0000EE"/>
              </w:rPr>
              <w:t>4</w:t>
            </w: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5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EE"/>
              </w:rPr>
              <w:t>Effects of the Merger</w:t>
            </w:r>
          </w:p>
        </w:tc>
        <w:tc>
          <w:tcPr>
            <w:tcW w:w="2360" w:type="dxa"/>
            <w:vAlign w:val="bottom"/>
            <w:tcBorders>
              <w:left w:val="single" w:sz="8" w:color="CCEEFF"/>
            </w:tcBorders>
            <w:gridSpan w:val="5"/>
            <w:shd w:val="clear" w:color="auto" w:fill="CCEEFF"/>
          </w:tcPr>
          <w:p>
            <w:pPr>
              <w:spacing w:after="0"/>
              <w:rPr>
                <w:sz w:val="17"/>
                <w:szCs w:val="17"/>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0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1.</w:t>
            </w:r>
            <w:r>
              <w:rPr>
                <w:rFonts w:ascii="Times New Roman" w:cs="Times New Roman" w:eastAsia="Times New Roman" w:hAnsi="Times New Roman"/>
                <w:sz w:val="16"/>
                <w:szCs w:val="16"/>
                <w:u w:val="single" w:color="auto"/>
                <w:color w:val="0000EE"/>
              </w:rPr>
              <w:t>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20" w:type="dxa"/>
            <w:vAlign w:val="bottom"/>
            <w:gridSpan w:val="20"/>
          </w:tcPr>
          <w:p>
            <w:pPr>
              <w:spacing w:after="0"/>
              <w:rPr>
                <w:sz w:val="20"/>
                <w:szCs w:val="20"/>
                <w:color w:val="auto"/>
              </w:rPr>
            </w:pPr>
            <w:r>
              <w:rPr>
                <w:rFonts w:ascii="Times New Roman" w:cs="Times New Roman" w:eastAsia="Times New Roman" w:hAnsi="Times New Roman"/>
                <w:sz w:val="16"/>
                <w:szCs w:val="16"/>
                <w:color w:val="0000EE"/>
              </w:rPr>
              <w:t>Conversion of Company Common Stock</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A-10</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1.</w:t>
            </w:r>
            <w:r>
              <w:rPr>
                <w:rFonts w:ascii="Times New Roman" w:cs="Times New Roman" w:eastAsia="Times New Roman" w:hAnsi="Times New Roman"/>
                <w:sz w:val="16"/>
                <w:szCs w:val="16"/>
                <w:u w:val="single" w:color="auto"/>
                <w:color w:val="0000EE"/>
              </w:rPr>
              <w:t>6</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EE"/>
              </w:rPr>
              <w:t>Treatment of Company Stock Options.</w:t>
            </w:r>
          </w:p>
        </w:tc>
        <w:tc>
          <w:tcPr>
            <w:tcW w:w="140" w:type="dxa"/>
            <w:vAlign w:val="bottom"/>
            <w:tcBorders>
              <w:left w:val="single" w:sz="8" w:color="CCEEFF"/>
            </w:tcBorders>
            <w:shd w:val="clear" w:color="auto" w:fill="CCEEFF"/>
          </w:tcPr>
          <w:p>
            <w:pPr>
              <w:spacing w:after="0"/>
              <w:rPr>
                <w:sz w:val="18"/>
                <w:szCs w:val="18"/>
                <w:color w:val="auto"/>
              </w:rPr>
            </w:pPr>
          </w:p>
        </w:tc>
        <w:tc>
          <w:tcPr>
            <w:tcW w:w="2220" w:type="dxa"/>
            <w:vAlign w:val="bottom"/>
            <w:gridSpan w:val="4"/>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A-11</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1.</w:t>
            </w:r>
            <w:r>
              <w:rPr>
                <w:rFonts w:ascii="Times New Roman" w:cs="Times New Roman" w:eastAsia="Times New Roman" w:hAnsi="Times New Roman"/>
                <w:sz w:val="16"/>
                <w:szCs w:val="16"/>
                <w:u w:val="single" w:color="auto"/>
                <w:color w:val="0000EE"/>
              </w:rPr>
              <w:t>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Parent Common Stock</w:t>
            </w:r>
          </w:p>
        </w:tc>
        <w:tc>
          <w:tcPr>
            <w:tcW w:w="1060" w:type="dxa"/>
            <w:vAlign w:val="bottom"/>
            <w:gridSpan w:val="7"/>
          </w:tcPr>
          <w:p>
            <w:pPr>
              <w:spacing w:after="0"/>
              <w:rPr>
                <w:sz w:val="18"/>
                <w:szCs w:val="18"/>
                <w:color w:val="auto"/>
              </w:rPr>
            </w:pPr>
          </w:p>
        </w:tc>
        <w:tc>
          <w:tcPr>
            <w:tcW w:w="2360" w:type="dxa"/>
            <w:vAlign w:val="bottom"/>
            <w:gridSpan w:val="5"/>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A-12</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1.</w:t>
            </w:r>
            <w:r>
              <w:rPr>
                <w:rFonts w:ascii="Times New Roman" w:cs="Times New Roman" w:eastAsia="Times New Roman" w:hAnsi="Times New Roman"/>
                <w:sz w:val="16"/>
                <w:szCs w:val="16"/>
                <w:u w:val="single" w:color="auto"/>
                <w:color w:val="0000EE"/>
              </w:rPr>
              <w:t>8</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9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EE"/>
              </w:rPr>
              <w:t>Articles of Incorporation of Surviving Corporation</w:t>
            </w: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1.</w:t>
            </w:r>
            <w:r>
              <w:rPr>
                <w:rFonts w:ascii="Times New Roman" w:cs="Times New Roman" w:eastAsia="Times New Roman" w:hAnsi="Times New Roman"/>
                <w:sz w:val="16"/>
                <w:szCs w:val="16"/>
                <w:u w:val="single" w:color="auto"/>
                <w:color w:val="0000EE"/>
              </w:rPr>
              <w:t>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Bylaws of Surviving Corporation</w:t>
            </w:r>
          </w:p>
        </w:tc>
        <w:tc>
          <w:tcPr>
            <w:tcW w:w="152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A-12</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1.</w:t>
            </w:r>
            <w:r>
              <w:rPr>
                <w:rFonts w:ascii="Times New Roman" w:cs="Times New Roman" w:eastAsia="Times New Roman" w:hAnsi="Times New Roman"/>
                <w:sz w:val="16"/>
                <w:szCs w:val="16"/>
                <w:u w:val="single" w:color="auto"/>
                <w:color w:val="0000EE"/>
                <w:w w:val="78"/>
              </w:rPr>
              <w:t>10</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6"/>
                <w:szCs w:val="16"/>
                <w:color w:val="0000EE"/>
              </w:rPr>
              <w:t>Directors and Officers of Surviving Corporation</w:t>
            </w:r>
          </w:p>
        </w:tc>
        <w:tc>
          <w:tcPr>
            <w:tcW w:w="1720" w:type="dxa"/>
            <w:vAlign w:val="bottom"/>
            <w:tcBorders>
              <w:left w:val="single" w:sz="8" w:color="CCEEFF"/>
            </w:tcBorders>
            <w:gridSpan w:val="2"/>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1.</w:t>
            </w:r>
            <w:r>
              <w:rPr>
                <w:rFonts w:ascii="Times New Roman" w:cs="Times New Roman" w:eastAsia="Times New Roman" w:hAnsi="Times New Roman"/>
                <w:sz w:val="16"/>
                <w:szCs w:val="16"/>
                <w:u w:val="single" w:color="auto"/>
                <w:color w:val="0000EE"/>
                <w:w w:val="78"/>
              </w:rPr>
              <w:t>11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8"/>
              </w:rPr>
              <w:t>Bank Merger</w:t>
            </w:r>
          </w:p>
        </w:tc>
        <w:tc>
          <w:tcPr>
            <w:tcW w:w="2320" w:type="dxa"/>
            <w:vAlign w:val="bottom"/>
            <w:gridSpan w:val="14"/>
          </w:tcPr>
          <w:p>
            <w:pPr>
              <w:spacing w:after="0"/>
              <w:rPr>
                <w:sz w:val="18"/>
                <w:szCs w:val="18"/>
                <w:color w:val="auto"/>
              </w:rPr>
            </w:pPr>
          </w:p>
        </w:tc>
        <w:tc>
          <w:tcPr>
            <w:tcW w:w="1720" w:type="dxa"/>
            <w:vAlign w:val="bottom"/>
            <w:gridSpan w:val="2"/>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A-12</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720" w:type="dxa"/>
            <w:vAlign w:val="bottom"/>
            <w:tcBorders>
              <w:right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0000EE"/>
              </w:rPr>
              <w:t>ARTICLE 2 EXCHANGE OF SHARES</w:t>
            </w:r>
          </w:p>
        </w:tc>
        <w:tc>
          <w:tcPr>
            <w:tcW w:w="2580" w:type="dxa"/>
            <w:vAlign w:val="bottom"/>
            <w:gridSpan w:val="6"/>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2.</w:t>
            </w:r>
            <w:r>
              <w:rPr>
                <w:rFonts w:ascii="Times New Roman" w:cs="Times New Roman" w:eastAsia="Times New Roman" w:hAnsi="Times New Roman"/>
                <w:sz w:val="16"/>
                <w:szCs w:val="16"/>
                <w:u w:val="single" w:color="auto"/>
                <w:color w:val="0000EE"/>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gridSpan w:val="14"/>
          </w:tcPr>
          <w:p>
            <w:pPr>
              <w:spacing w:after="0"/>
              <w:rPr>
                <w:sz w:val="20"/>
                <w:szCs w:val="20"/>
                <w:color w:val="auto"/>
              </w:rPr>
            </w:pPr>
            <w:r>
              <w:rPr>
                <w:rFonts w:ascii="Times New Roman" w:cs="Times New Roman" w:eastAsia="Times New Roman" w:hAnsi="Times New Roman"/>
                <w:sz w:val="16"/>
                <w:szCs w:val="16"/>
                <w:color w:val="0000EE"/>
              </w:rPr>
              <w:t>Proration</w:t>
            </w:r>
          </w:p>
        </w:tc>
        <w:tc>
          <w:tcPr>
            <w:tcW w:w="2580" w:type="dxa"/>
            <w:vAlign w:val="bottom"/>
            <w:gridSpan w:val="6"/>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A-12</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2.</w:t>
            </w:r>
            <w:r>
              <w:rPr>
                <w:rFonts w:ascii="Times New Roman" w:cs="Times New Roman" w:eastAsia="Times New Roman" w:hAnsi="Times New Roman"/>
                <w:sz w:val="16"/>
                <w:szCs w:val="16"/>
                <w:u w:val="single" w:color="auto"/>
                <w:color w:val="0000EE"/>
              </w:rPr>
              <w:t>2</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0000EE"/>
              </w:rPr>
              <w:t>Election Procedures</w:t>
            </w:r>
          </w:p>
        </w:tc>
        <w:tc>
          <w:tcPr>
            <w:tcW w:w="3520" w:type="dxa"/>
            <w:vAlign w:val="bottom"/>
            <w:tcBorders>
              <w:left w:val="single" w:sz="8" w:color="CCEEFF"/>
            </w:tcBorders>
            <w:gridSpan w:val="13"/>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2.</w:t>
            </w:r>
            <w:r>
              <w:rPr>
                <w:rFonts w:ascii="Times New Roman" w:cs="Times New Roman" w:eastAsia="Times New Roman" w:hAnsi="Times New Roman"/>
                <w:sz w:val="16"/>
                <w:szCs w:val="16"/>
                <w:u w:val="single" w:color="auto"/>
                <w:color w:val="0000EE"/>
              </w:rPr>
              <w:t>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Parent to Make Merger Consideration Available</w:t>
            </w:r>
          </w:p>
        </w:tc>
        <w:tc>
          <w:tcPr>
            <w:tcW w:w="1720" w:type="dxa"/>
            <w:vAlign w:val="bottom"/>
            <w:gridSpan w:val="2"/>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A-14</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2.</w:t>
            </w:r>
            <w:r>
              <w:rPr>
                <w:rFonts w:ascii="Times New Roman" w:cs="Times New Roman" w:eastAsia="Times New Roman" w:hAnsi="Times New Roman"/>
                <w:sz w:val="16"/>
                <w:szCs w:val="16"/>
                <w:u w:val="single" w:color="auto"/>
                <w:color w:val="0000EE"/>
              </w:rPr>
              <w:t>4</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0000EE"/>
              </w:rPr>
              <w:t>Exchange of Shares</w:t>
            </w:r>
          </w:p>
        </w:tc>
        <w:tc>
          <w:tcPr>
            <w:tcW w:w="1800" w:type="dxa"/>
            <w:vAlign w:val="bottom"/>
            <w:tcBorders>
              <w:left w:val="single" w:sz="8" w:color="CCEEFF"/>
            </w:tcBorders>
            <w:gridSpan w:val="11"/>
            <w:shd w:val="clear" w:color="auto" w:fill="CCEEFF"/>
          </w:tcPr>
          <w:p>
            <w:pPr>
              <w:spacing w:after="0"/>
              <w:rPr>
                <w:sz w:val="18"/>
                <w:szCs w:val="18"/>
                <w:color w:val="auto"/>
              </w:rPr>
            </w:pPr>
          </w:p>
        </w:tc>
        <w:tc>
          <w:tcPr>
            <w:tcW w:w="1720" w:type="dxa"/>
            <w:vAlign w:val="bottom"/>
            <w:tcBorders>
              <w:left w:val="single" w:sz="8" w:color="CCEEFF"/>
            </w:tcBorders>
            <w:gridSpan w:val="2"/>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5300" w:type="dxa"/>
            <w:vAlign w:val="bottom"/>
            <w:gridSpan w:val="23"/>
          </w:tcPr>
          <w:p>
            <w:pPr>
              <w:spacing w:after="0"/>
              <w:rPr>
                <w:sz w:val="20"/>
                <w:szCs w:val="20"/>
                <w:color w:val="auto"/>
              </w:rPr>
            </w:pPr>
            <w:r>
              <w:rPr>
                <w:rFonts w:ascii="Times New Roman" w:cs="Times New Roman" w:eastAsia="Times New Roman" w:hAnsi="Times New Roman"/>
                <w:sz w:val="16"/>
                <w:szCs w:val="16"/>
                <w:color w:val="0000EE"/>
              </w:rPr>
              <w:t>ARTICLE 3 REPRESENTATIONS AND WARRANTIES OF THE COMPANY</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A-16</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1</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9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EE"/>
              </w:rPr>
              <w:t>Organization, Standing and Power</w:t>
            </w: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Authority of the Company; No Conflicts; Consents</w:t>
            </w:r>
          </w:p>
        </w:tc>
        <w:tc>
          <w:tcPr>
            <w:tcW w:w="152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A-17</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3</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0" w:type="dxa"/>
            <w:vAlign w:val="bottom"/>
            <w:tcBorders>
              <w:right w:val="single" w:sz="8" w:color="CCEEFF"/>
            </w:tcBorders>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EE"/>
              </w:rPr>
              <w:t>Capital Stock</w:t>
            </w:r>
          </w:p>
        </w:tc>
        <w:tc>
          <w:tcPr>
            <w:tcW w:w="15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Financial Statements</w:t>
            </w:r>
          </w:p>
        </w:tc>
        <w:tc>
          <w:tcPr>
            <w:tcW w:w="3520" w:type="dxa"/>
            <w:vAlign w:val="bottom"/>
            <w:gridSpan w:val="13"/>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A-19</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5</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0000EE"/>
              </w:rPr>
              <w:t>332 Spring</w:t>
            </w:r>
          </w:p>
        </w:tc>
        <w:tc>
          <w:tcPr>
            <w:tcW w:w="620" w:type="dxa"/>
            <w:vAlign w:val="bottom"/>
            <w:tcBorders>
              <w:left w:val="single" w:sz="8" w:color="CCEEFF"/>
              <w:right w:val="single" w:sz="8" w:color="CCEEFF"/>
            </w:tcBorders>
            <w:gridSpan w:val="4"/>
            <w:shd w:val="clear" w:color="auto" w:fill="CCEEFF"/>
          </w:tcPr>
          <w:p>
            <w:pPr>
              <w:spacing w:after="0"/>
              <w:rPr>
                <w:sz w:val="18"/>
                <w:szCs w:val="18"/>
                <w:color w:val="auto"/>
              </w:rPr>
            </w:pPr>
          </w:p>
        </w:tc>
        <w:tc>
          <w:tcPr>
            <w:tcW w:w="3520" w:type="dxa"/>
            <w:vAlign w:val="bottom"/>
            <w:tcBorders>
              <w:left w:val="single" w:sz="8" w:color="CCEEFF"/>
            </w:tcBorders>
            <w:gridSpan w:val="13"/>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A-20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gridSpan w:val="14"/>
          </w:tcPr>
          <w:p>
            <w:pPr>
              <w:spacing w:after="0"/>
              <w:rPr>
                <w:sz w:val="20"/>
                <w:szCs w:val="20"/>
                <w:color w:val="auto"/>
              </w:rPr>
            </w:pPr>
            <w:r>
              <w:rPr>
                <w:rFonts w:ascii="Times New Roman" w:cs="Times New Roman" w:eastAsia="Times New Roman" w:hAnsi="Times New Roman"/>
                <w:sz w:val="16"/>
                <w:szCs w:val="16"/>
                <w:color w:val="0000EE"/>
              </w:rPr>
              <w:t>Absence of Undisclosed Liabilities</w:t>
            </w:r>
          </w:p>
        </w:tc>
        <w:tc>
          <w:tcPr>
            <w:tcW w:w="2580" w:type="dxa"/>
            <w:vAlign w:val="bottom"/>
            <w:gridSpan w:val="6"/>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A-20</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7</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EE"/>
              </w:rPr>
              <w:t>Absence of Certain Changes or Events</w:t>
            </w:r>
          </w:p>
        </w:tc>
        <w:tc>
          <w:tcPr>
            <w:tcW w:w="2360" w:type="dxa"/>
            <w:vAlign w:val="bottom"/>
            <w:tcBorders>
              <w:left w:val="single" w:sz="8" w:color="CCEEFF"/>
            </w:tcBorders>
            <w:gridSpan w:val="5"/>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A-21</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w w:val="98"/>
              </w:rPr>
              <w:t>Compliance with Laws</w:t>
            </w:r>
          </w:p>
        </w:tc>
        <w:tc>
          <w:tcPr>
            <w:tcW w:w="1060" w:type="dxa"/>
            <w:vAlign w:val="bottom"/>
            <w:gridSpan w:val="7"/>
          </w:tcPr>
          <w:p>
            <w:pPr>
              <w:spacing w:after="0"/>
              <w:rPr>
                <w:sz w:val="18"/>
                <w:szCs w:val="18"/>
                <w:color w:val="auto"/>
              </w:rPr>
            </w:pPr>
          </w:p>
        </w:tc>
        <w:tc>
          <w:tcPr>
            <w:tcW w:w="2360" w:type="dxa"/>
            <w:vAlign w:val="bottom"/>
            <w:gridSpan w:val="5"/>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A-21</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9</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260" w:type="dxa"/>
            <w:vAlign w:val="bottom"/>
            <w:tcBorders>
              <w:left w:val="single" w:sz="8" w:color="CCEEFF"/>
            </w:tcBorders>
            <w:gridSpan w:val="2"/>
            <w:shd w:val="clear" w:color="auto" w:fill="CCEEFF"/>
          </w:tcPr>
          <w:p>
            <w:pPr>
              <w:spacing w:after="0"/>
              <w:rPr>
                <w:sz w:val="18"/>
                <w:szCs w:val="18"/>
                <w:color w:val="auto"/>
              </w:rPr>
            </w:pPr>
          </w:p>
        </w:tc>
        <w:tc>
          <w:tcPr>
            <w:tcW w:w="3420" w:type="dxa"/>
            <w:vAlign w:val="bottom"/>
            <w:tcBorders>
              <w:left w:val="single" w:sz="8" w:color="CCEEFF"/>
            </w:tcBorders>
            <w:gridSpan w:val="12"/>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A-22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w w:val="96"/>
              </w:rPr>
              <w:t>Regulatory Matters</w:t>
            </w:r>
          </w:p>
        </w:tc>
        <w:tc>
          <w:tcPr>
            <w:tcW w:w="3680" w:type="dxa"/>
            <w:vAlign w:val="bottom"/>
            <w:gridSpan w:val="14"/>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A-22</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11</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0000EE"/>
                <w:w w:val="95"/>
              </w:rPr>
              <w:t>Tax Matters</w:t>
            </w:r>
          </w:p>
        </w:tc>
        <w:tc>
          <w:tcPr>
            <w:tcW w:w="460" w:type="dxa"/>
            <w:vAlign w:val="bottom"/>
            <w:tcBorders>
              <w:left w:val="single" w:sz="8" w:color="CCEEFF"/>
            </w:tcBorders>
            <w:gridSpan w:val="3"/>
            <w:shd w:val="clear" w:color="auto" w:fill="CCEEFF"/>
          </w:tcPr>
          <w:p>
            <w:pPr>
              <w:spacing w:after="0"/>
              <w:rPr>
                <w:sz w:val="18"/>
                <w:szCs w:val="18"/>
                <w:color w:val="auto"/>
              </w:rPr>
            </w:pPr>
          </w:p>
        </w:tc>
        <w:tc>
          <w:tcPr>
            <w:tcW w:w="3680" w:type="dxa"/>
            <w:vAlign w:val="bottom"/>
            <w:tcBorders>
              <w:left w:val="single" w:sz="8" w:color="CCEEFF"/>
            </w:tcBorders>
            <w:gridSpan w:val="14"/>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A-23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Labor Relations</w:t>
            </w:r>
          </w:p>
        </w:tc>
        <w:tc>
          <w:tcPr>
            <w:tcW w:w="3840" w:type="dxa"/>
            <w:vAlign w:val="bottom"/>
            <w:gridSpan w:val="15"/>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A-25</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13</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0000EE"/>
              </w:rPr>
              <w:t>Company Benefit Plans</w:t>
            </w:r>
          </w:p>
        </w:tc>
        <w:tc>
          <w:tcPr>
            <w:tcW w:w="3340" w:type="dxa"/>
            <w:vAlign w:val="bottom"/>
            <w:gridSpan w:val="11"/>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A-26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Material Contracts</w:t>
            </w:r>
          </w:p>
        </w:tc>
        <w:tc>
          <w:tcPr>
            <w:tcW w:w="3340" w:type="dxa"/>
            <w:vAlign w:val="bottom"/>
            <w:gridSpan w:val="11"/>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A-29</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15</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6"/>
                <w:szCs w:val="16"/>
                <w:color w:val="0000EE"/>
              </w:rPr>
              <w:t>Title to Assets; Real Property</w:t>
            </w:r>
          </w:p>
        </w:tc>
        <w:tc>
          <w:tcPr>
            <w:tcW w:w="2940" w:type="dxa"/>
            <w:vAlign w:val="bottom"/>
            <w:gridSpan w:val="8"/>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w w:val="98"/>
              </w:rPr>
              <w:t>Environmental Matters</w:t>
            </w:r>
          </w:p>
        </w:tc>
        <w:tc>
          <w:tcPr>
            <w:tcW w:w="480" w:type="dxa"/>
            <w:vAlign w:val="bottom"/>
            <w:gridSpan w:val="4"/>
          </w:tcPr>
          <w:p>
            <w:pPr>
              <w:spacing w:after="0"/>
              <w:rPr>
                <w:sz w:val="18"/>
                <w:szCs w:val="18"/>
                <w:color w:val="auto"/>
              </w:rPr>
            </w:pPr>
          </w:p>
        </w:tc>
        <w:tc>
          <w:tcPr>
            <w:tcW w:w="2940" w:type="dxa"/>
            <w:vAlign w:val="bottom"/>
            <w:gridSpan w:val="8"/>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A-31</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17</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0000EE"/>
              </w:rPr>
              <w:t>Intellectual Property</w:t>
            </w:r>
          </w:p>
        </w:tc>
        <w:tc>
          <w:tcPr>
            <w:tcW w:w="100" w:type="dxa"/>
            <w:vAlign w:val="bottom"/>
            <w:tcBorders>
              <w:left w:val="single" w:sz="8" w:color="CCEEFF"/>
            </w:tcBorders>
            <w:shd w:val="clear" w:color="auto" w:fill="CCEEFF"/>
          </w:tcPr>
          <w:p>
            <w:pPr>
              <w:spacing w:after="0"/>
              <w:rPr>
                <w:sz w:val="18"/>
                <w:szCs w:val="18"/>
                <w:color w:val="auto"/>
              </w:rPr>
            </w:pPr>
          </w:p>
        </w:tc>
        <w:tc>
          <w:tcPr>
            <w:tcW w:w="3420" w:type="dxa"/>
            <w:vAlign w:val="bottom"/>
            <w:tcBorders>
              <w:left w:val="single" w:sz="8" w:color="CCEEFF"/>
            </w:tcBorders>
            <w:gridSpan w:val="12"/>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Related Party Transactions</w:t>
            </w:r>
          </w:p>
        </w:tc>
        <w:tc>
          <w:tcPr>
            <w:tcW w:w="3120" w:type="dxa"/>
            <w:vAlign w:val="bottom"/>
            <w:gridSpan w:val="10"/>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A-32</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19</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0000EE"/>
              </w:rPr>
              <w:t>Loans</w:t>
            </w:r>
          </w:p>
        </w:tc>
        <w:tc>
          <w:tcPr>
            <w:tcW w:w="3120" w:type="dxa"/>
            <w:vAlign w:val="bottom"/>
            <w:gridSpan w:val="10"/>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Mortgage Banking Business</w:t>
            </w:r>
          </w:p>
        </w:tc>
        <w:tc>
          <w:tcPr>
            <w:tcW w:w="3040" w:type="dxa"/>
            <w:vAlign w:val="bottom"/>
            <w:gridSpan w:val="9"/>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A-34</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21</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EE"/>
              </w:rPr>
              <w:t>Allowance for Loan and Credit Losses</w:t>
            </w:r>
          </w:p>
        </w:tc>
        <w:tc>
          <w:tcPr>
            <w:tcW w:w="2360" w:type="dxa"/>
            <w:vAlign w:val="bottom"/>
            <w:tcBorders>
              <w:left w:val="single" w:sz="8" w:color="CCEEFF"/>
            </w:tcBorders>
            <w:gridSpan w:val="5"/>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20" w:type="dxa"/>
            <w:vAlign w:val="bottom"/>
            <w:gridSpan w:val="20"/>
          </w:tcPr>
          <w:p>
            <w:pPr>
              <w:spacing w:after="0"/>
              <w:rPr>
                <w:sz w:val="20"/>
                <w:szCs w:val="20"/>
                <w:color w:val="auto"/>
              </w:rPr>
            </w:pPr>
            <w:r>
              <w:rPr>
                <w:rFonts w:ascii="Times New Roman" w:cs="Times New Roman" w:eastAsia="Times New Roman" w:hAnsi="Times New Roman"/>
                <w:sz w:val="16"/>
                <w:szCs w:val="16"/>
                <w:color w:val="0000EE"/>
              </w:rPr>
              <w:t>Interest Rate Risk Management Instruments</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A-35</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23</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0000EE"/>
              </w:rPr>
              <w:t>Deposits</w:t>
            </w:r>
          </w:p>
        </w:tc>
        <w:tc>
          <w:tcPr>
            <w:tcW w:w="2000" w:type="dxa"/>
            <w:vAlign w:val="bottom"/>
            <w:gridSpan w:val="3"/>
            <w:shd w:val="clear" w:color="auto" w:fill="CCEEFF"/>
          </w:tcPr>
          <w:p>
            <w:pPr>
              <w:spacing w:after="0"/>
              <w:rPr>
                <w:sz w:val="18"/>
                <w:szCs w:val="18"/>
                <w:color w:val="auto"/>
              </w:rPr>
            </w:pPr>
          </w:p>
        </w:tc>
        <w:tc>
          <w:tcPr>
            <w:tcW w:w="19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-6164580</wp:posOffset>
            </wp:positionV>
            <wp:extent cx="437197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4371975" cy="7620"/>
                    </a:xfrm>
                    <a:prstGeom prst="rect">
                      <a:avLst/>
                    </a:prstGeom>
                    <a:noFill/>
                  </pic:spPr>
                </pic:pic>
              </a:graphicData>
            </a:graphic>
          </wp:anchor>
        </w:drawing>
      </w:r>
    </w:p>
    <w:p>
      <w:pPr>
        <w:spacing w:after="0" w:line="30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100" w:type="dxa"/>
        <w:tblCellMar>
          <w:top w:w="0" w:type="dxa"/>
          <w:left w:w="0" w:type="dxa"/>
          <w:bottom w:w="0" w:type="dxa"/>
          <w:right w:w="0" w:type="dxa"/>
        </w:tblCellMar>
      </w:tblPr>
      <w:tr>
        <w:trPr>
          <w:trHeight w:val="335"/>
        </w:trPr>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Page </w:t>
            </w:r>
            <w:r>
              <w:rPr>
                <w:rFonts w:ascii="Times New Roman" w:cs="Times New Roman" w:eastAsia="Times New Roman" w:hAnsi="Times New Roman"/>
                <w:sz w:val="25"/>
                <w:szCs w:val="25"/>
                <w:b w:val="1"/>
                <w:bCs w:val="1"/>
                <w:color w:val="auto"/>
                <w:vertAlign w:val="subscript"/>
              </w:rPr>
              <w:t>​</w:t>
            </w:r>
          </w:p>
        </w:tc>
      </w:tr>
      <w:tr>
        <w:trPr>
          <w:trHeight w:val="20"/>
        </w:trPr>
        <w:tc>
          <w:tcPr>
            <w:tcW w:w="2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0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24</w:t>
            </w: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6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0000EE"/>
              </w:rPr>
              <w:t>Investment Portfolio</w:t>
            </w:r>
          </w:p>
        </w:tc>
        <w:tc>
          <w:tcPr>
            <w:tcW w:w="4620" w:type="dxa"/>
            <w:vAlign w:val="bottom"/>
            <w:gridSpan w:val="15"/>
            <w:shd w:val="clear" w:color="auto" w:fill="CCEEFF"/>
          </w:tcPr>
          <w:p>
            <w:pPr>
              <w:spacing w:after="0"/>
              <w:rPr>
                <w:sz w:val="17"/>
                <w:szCs w:val="17"/>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0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80" w:type="dxa"/>
            <w:vAlign w:val="bottom"/>
            <w:gridSpan w:val="20"/>
          </w:tcPr>
          <w:p>
            <w:pPr>
              <w:spacing w:after="0"/>
              <w:rPr>
                <w:sz w:val="20"/>
                <w:szCs w:val="20"/>
                <w:color w:val="auto"/>
              </w:rPr>
            </w:pPr>
            <w:r>
              <w:rPr>
                <w:rFonts w:ascii="Times New Roman" w:cs="Times New Roman" w:eastAsia="Times New Roman" w:hAnsi="Times New Roman"/>
                <w:sz w:val="16"/>
                <w:szCs w:val="16"/>
                <w:color w:val="0000EE"/>
              </w:rPr>
              <w:t>Bank Secrecy Act, Anti-Money Laundering and OFAC, and Customer Information</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A-35</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26</w:t>
            </w: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5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EE"/>
              </w:rPr>
              <w:t>CRA and Fair Lending Compliance</w:t>
            </w:r>
          </w:p>
        </w:tc>
        <w:tc>
          <w:tcPr>
            <w:tcW w:w="5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0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27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12"/>
          </w:tcPr>
          <w:p>
            <w:pPr>
              <w:spacing w:after="0"/>
              <w:rPr>
                <w:sz w:val="20"/>
                <w:szCs w:val="20"/>
                <w:color w:val="auto"/>
              </w:rPr>
            </w:pPr>
            <w:r>
              <w:rPr>
                <w:rFonts w:ascii="Times New Roman" w:cs="Times New Roman" w:eastAsia="Times New Roman" w:hAnsi="Times New Roman"/>
                <w:sz w:val="16"/>
                <w:szCs w:val="16"/>
                <w:color w:val="0000EE"/>
              </w:rPr>
              <w:t>Insurance</w:t>
            </w:r>
          </w:p>
        </w:tc>
        <w:tc>
          <w:tcPr>
            <w:tcW w:w="3720" w:type="dxa"/>
            <w:vAlign w:val="bottom"/>
            <w:gridSpan w:val="8"/>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A-36</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28</w:t>
            </w:r>
          </w:p>
        </w:tc>
        <w:tc>
          <w:tcPr>
            <w:tcW w:w="8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EE"/>
              </w:rPr>
              <w:t>Trust and Wealth Management, Investment Advisory, Insurance and Broker-Dealer Matters</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0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29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Brokers; Fairness Opinion</w:t>
            </w:r>
          </w:p>
        </w:tc>
        <w:tc>
          <w:tcPr>
            <w:tcW w:w="4320" w:type="dxa"/>
            <w:vAlign w:val="bottom"/>
            <w:gridSpan w:val="12"/>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A-37</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30</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0000EE"/>
              </w:rPr>
              <w:t>State Takeover Laws</w:t>
            </w:r>
          </w:p>
        </w:tc>
        <w:tc>
          <w:tcPr>
            <w:tcW w:w="300" w:type="dxa"/>
            <w:vAlign w:val="bottom"/>
            <w:gridSpan w:val="3"/>
            <w:shd w:val="clear" w:color="auto" w:fill="CCEEFF"/>
          </w:tcPr>
          <w:p>
            <w:pPr>
              <w:spacing w:after="0"/>
              <w:rPr>
                <w:sz w:val="18"/>
                <w:szCs w:val="18"/>
                <w:color w:val="auto"/>
              </w:rPr>
            </w:pPr>
          </w:p>
        </w:tc>
        <w:tc>
          <w:tcPr>
            <w:tcW w:w="4320" w:type="dxa"/>
            <w:vAlign w:val="bottom"/>
            <w:gridSpan w:val="12"/>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A-37</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Accuracy of Information</w:t>
            </w:r>
          </w:p>
        </w:tc>
        <w:tc>
          <w:tcPr>
            <w:tcW w:w="4420" w:type="dxa"/>
            <w:vAlign w:val="bottom"/>
            <w:gridSpan w:val="13"/>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A-37</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3.</w:t>
            </w:r>
            <w:r>
              <w:rPr>
                <w:rFonts w:ascii="Times New Roman" w:cs="Times New Roman" w:eastAsia="Times New Roman" w:hAnsi="Times New Roman"/>
                <w:sz w:val="16"/>
                <w:szCs w:val="16"/>
                <w:u w:val="single" w:color="auto"/>
                <w:color w:val="0000EE"/>
                <w:w w:val="78"/>
              </w:rPr>
              <w:t>32</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EE"/>
              </w:rPr>
              <w:t>No Other Representations or Warranties</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A-37</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4760" w:type="dxa"/>
            <w:vAlign w:val="bottom"/>
            <w:gridSpan w:val="20"/>
          </w:tcPr>
          <w:p>
            <w:pPr>
              <w:spacing w:after="0"/>
              <w:rPr>
                <w:sz w:val="20"/>
                <w:szCs w:val="20"/>
                <w:color w:val="auto"/>
              </w:rPr>
            </w:pPr>
            <w:r>
              <w:rPr>
                <w:rFonts w:ascii="Times New Roman" w:cs="Times New Roman" w:eastAsia="Times New Roman" w:hAnsi="Times New Roman"/>
                <w:sz w:val="16"/>
                <w:szCs w:val="16"/>
                <w:color w:val="0000EE"/>
              </w:rPr>
              <w:t>ARTICLE 4 REPRESENTATIONS AND WARRANTIES OF PARENT</w:t>
            </w:r>
          </w:p>
        </w:tc>
        <w:tc>
          <w:tcPr>
            <w:tcW w:w="1700" w:type="dxa"/>
            <w:vAlign w:val="bottom"/>
            <w:gridSpan w:val="3"/>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A-38</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3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0000EE"/>
              </w:rPr>
              <w:t>Organization, Standing and Power</w:t>
            </w:r>
          </w:p>
        </w:tc>
        <w:tc>
          <w:tcPr>
            <w:tcW w:w="1700" w:type="dxa"/>
            <w:vAlign w:val="bottom"/>
            <w:gridSpan w:val="3"/>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40" w:type="dxa"/>
            <w:vAlign w:val="bottom"/>
            <w:gridSpan w:val="15"/>
          </w:tcPr>
          <w:p>
            <w:pPr>
              <w:spacing w:after="0"/>
              <w:rPr>
                <w:sz w:val="20"/>
                <w:szCs w:val="20"/>
                <w:color w:val="auto"/>
              </w:rPr>
            </w:pPr>
            <w:r>
              <w:rPr>
                <w:rFonts w:ascii="Times New Roman" w:cs="Times New Roman" w:eastAsia="Times New Roman" w:hAnsi="Times New Roman"/>
                <w:sz w:val="16"/>
                <w:szCs w:val="16"/>
                <w:color w:val="0000EE"/>
              </w:rPr>
              <w:t>Authority of Parent; No Conflicts; Consents</w:t>
            </w:r>
          </w:p>
        </w:tc>
        <w:tc>
          <w:tcPr>
            <w:tcW w:w="3140" w:type="dxa"/>
            <w:vAlign w:val="bottom"/>
            <w:gridSpan w:val="5"/>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A-38</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3</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0000EE"/>
              </w:rPr>
              <w:t>Capitalization</w:t>
            </w:r>
          </w:p>
        </w:tc>
        <w:tc>
          <w:tcPr>
            <w:tcW w:w="1960" w:type="dxa"/>
            <w:vAlign w:val="bottom"/>
            <w:tcBorders>
              <w:left w:val="single" w:sz="8" w:color="CCEEFF"/>
            </w:tcBorders>
            <w:gridSpan w:val="12"/>
            <w:shd w:val="clear" w:color="auto" w:fill="CCEEFF"/>
          </w:tcPr>
          <w:p>
            <w:pPr>
              <w:spacing w:after="0"/>
              <w:rPr>
                <w:sz w:val="18"/>
                <w:szCs w:val="18"/>
                <w:color w:val="auto"/>
              </w:rPr>
            </w:pPr>
          </w:p>
        </w:tc>
        <w:tc>
          <w:tcPr>
            <w:tcW w:w="3140" w:type="dxa"/>
            <w:vAlign w:val="bottom"/>
            <w:tcBorders>
              <w:left w:val="single" w:sz="8" w:color="CCEEFF"/>
            </w:tcBorders>
            <w:gridSpan w:val="5"/>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A-39</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EE"/>
              </w:rPr>
              <w:t>Reports</w:t>
            </w:r>
          </w:p>
        </w:tc>
        <w:tc>
          <w:tcPr>
            <w:tcW w:w="460" w:type="dxa"/>
            <w:vAlign w:val="bottom"/>
            <w:gridSpan w:val="2"/>
          </w:tcPr>
          <w:p>
            <w:pPr>
              <w:spacing w:after="0"/>
              <w:rPr>
                <w:sz w:val="18"/>
                <w:szCs w:val="18"/>
                <w:color w:val="auto"/>
              </w:rPr>
            </w:pPr>
          </w:p>
        </w:tc>
        <w:tc>
          <w:tcPr>
            <w:tcW w:w="5100" w:type="dxa"/>
            <w:vAlign w:val="bottom"/>
            <w:gridSpan w:val="17"/>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A-39</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5</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0000EE"/>
              </w:rPr>
              <w:t>Litigation; Orders</w:t>
            </w:r>
          </w:p>
        </w:tc>
        <w:tc>
          <w:tcPr>
            <w:tcW w:w="4780" w:type="dxa"/>
            <w:vAlign w:val="bottom"/>
            <w:tcBorders>
              <w:left w:val="single" w:sz="8" w:color="CCEEFF"/>
            </w:tcBorders>
            <w:gridSpan w:val="16"/>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w w:val="99"/>
              </w:rPr>
              <w:t>SEC Filings; Financial Statements</w:t>
            </w:r>
          </w:p>
        </w:tc>
        <w:tc>
          <w:tcPr>
            <w:tcW w:w="3840" w:type="dxa"/>
            <w:vAlign w:val="bottom"/>
            <w:gridSpan w:val="9"/>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A-40</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7</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0000EE"/>
                <w:w w:val="97"/>
              </w:rPr>
              <w:t>Brokers and Finders</w:t>
            </w:r>
          </w:p>
        </w:tc>
        <w:tc>
          <w:tcPr>
            <w:tcW w:w="940" w:type="dxa"/>
            <w:vAlign w:val="bottom"/>
            <w:tcBorders>
              <w:left w:val="single" w:sz="8" w:color="CCEEFF"/>
              <w:right w:val="single" w:sz="8" w:color="CCEEFF"/>
            </w:tcBorders>
            <w:gridSpan w:val="7"/>
            <w:shd w:val="clear" w:color="auto" w:fill="CCEEFF"/>
          </w:tcPr>
          <w:p>
            <w:pPr>
              <w:spacing w:after="0"/>
              <w:rPr>
                <w:sz w:val="18"/>
                <w:szCs w:val="18"/>
                <w:color w:val="auto"/>
              </w:rPr>
            </w:pPr>
          </w:p>
        </w:tc>
        <w:tc>
          <w:tcPr>
            <w:tcW w:w="3840" w:type="dxa"/>
            <w:vAlign w:val="bottom"/>
            <w:tcBorders>
              <w:left w:val="single" w:sz="8" w:color="CCEEFF"/>
            </w:tcBorders>
            <w:gridSpan w:val="9"/>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A-41</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80" w:type="dxa"/>
            <w:vAlign w:val="bottom"/>
            <w:gridSpan w:val="20"/>
          </w:tcPr>
          <w:p>
            <w:pPr>
              <w:spacing w:after="0"/>
              <w:rPr>
                <w:sz w:val="20"/>
                <w:szCs w:val="20"/>
                <w:color w:val="auto"/>
              </w:rPr>
            </w:pPr>
            <w:r>
              <w:rPr>
                <w:rFonts w:ascii="Times New Roman" w:cs="Times New Roman" w:eastAsia="Times New Roman" w:hAnsi="Times New Roman"/>
                <w:sz w:val="16"/>
                <w:szCs w:val="16"/>
                <w:color w:val="0000EE"/>
              </w:rPr>
              <w:t>Ownership of Company Common Stock</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A-41</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9</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0000EE"/>
              </w:rPr>
              <w:t>Compliance with Laws</w:t>
            </w:r>
          </w:p>
        </w:tc>
        <w:tc>
          <w:tcPr>
            <w:tcW w:w="1120" w:type="dxa"/>
            <w:vAlign w:val="bottom"/>
            <w:gridSpan w:val="8"/>
            <w:shd w:val="clear" w:color="auto" w:fill="CCEEFF"/>
          </w:tcPr>
          <w:p>
            <w:pPr>
              <w:spacing w:after="0"/>
              <w:rPr>
                <w:sz w:val="18"/>
                <w:szCs w:val="18"/>
                <w:color w:val="auto"/>
              </w:rPr>
            </w:pPr>
          </w:p>
        </w:tc>
        <w:tc>
          <w:tcPr>
            <w:tcW w:w="3420" w:type="dxa"/>
            <w:vAlign w:val="bottom"/>
            <w:gridSpan w:val="6"/>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A-41</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4.</w:t>
            </w:r>
            <w:r>
              <w:rPr>
                <w:rFonts w:ascii="Times New Roman" w:cs="Times New Roman" w:eastAsia="Times New Roman" w:hAnsi="Times New Roman"/>
                <w:sz w:val="16"/>
                <w:szCs w:val="16"/>
                <w:u w:val="single" w:color="auto"/>
                <w:color w:val="0000EE"/>
                <w:w w:val="78"/>
              </w:rPr>
              <w:t>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80" w:type="dxa"/>
            <w:vAlign w:val="bottom"/>
            <w:gridSpan w:val="13"/>
          </w:tcPr>
          <w:p>
            <w:pPr>
              <w:spacing w:after="0"/>
              <w:rPr>
                <w:sz w:val="20"/>
                <w:szCs w:val="20"/>
                <w:color w:val="auto"/>
              </w:rPr>
            </w:pPr>
            <w:r>
              <w:rPr>
                <w:rFonts w:ascii="Times New Roman" w:cs="Times New Roman" w:eastAsia="Times New Roman" w:hAnsi="Times New Roman"/>
                <w:sz w:val="16"/>
                <w:szCs w:val="16"/>
                <w:color w:val="0000EE"/>
              </w:rPr>
              <w:t>Absence of Certain Changes or Events</w:t>
            </w:r>
          </w:p>
        </w:tc>
        <w:tc>
          <w:tcPr>
            <w:tcW w:w="3500" w:type="dxa"/>
            <w:vAlign w:val="bottom"/>
            <w:gridSpan w:val="7"/>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A-41</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4.</w:t>
            </w:r>
            <w:r>
              <w:rPr>
                <w:rFonts w:ascii="Times New Roman" w:cs="Times New Roman" w:eastAsia="Times New Roman" w:hAnsi="Times New Roman"/>
                <w:sz w:val="16"/>
                <w:szCs w:val="16"/>
                <w:u w:val="single" w:color="auto"/>
                <w:color w:val="0000EE"/>
                <w:w w:val="78"/>
              </w:rPr>
              <w:t>11</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EE"/>
              </w:rPr>
              <w:t>No Other Representations or Warranties</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A-41</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4860" w:type="dxa"/>
            <w:vAlign w:val="bottom"/>
            <w:gridSpan w:val="21"/>
          </w:tcPr>
          <w:p>
            <w:pPr>
              <w:spacing w:after="0"/>
              <w:rPr>
                <w:sz w:val="20"/>
                <w:szCs w:val="20"/>
                <w:color w:val="auto"/>
              </w:rPr>
            </w:pPr>
            <w:r>
              <w:rPr>
                <w:rFonts w:ascii="Times New Roman" w:cs="Times New Roman" w:eastAsia="Times New Roman" w:hAnsi="Times New Roman"/>
                <w:sz w:val="16"/>
                <w:szCs w:val="16"/>
                <w:color w:val="0000EE"/>
              </w:rPr>
              <w:t>ARTICLE 5 CONDUCT OF BUSINESS PENDING CONSUMMATION</w:t>
            </w:r>
          </w:p>
        </w:tc>
        <w:tc>
          <w:tcPr>
            <w:tcW w:w="1600" w:type="dxa"/>
            <w:vAlign w:val="bottom"/>
            <w:gridSpan w:val="2"/>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A-42</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5.</w:t>
            </w:r>
            <w:r>
              <w:rPr>
                <w:rFonts w:ascii="Times New Roman" w:cs="Times New Roman" w:eastAsia="Times New Roman" w:hAnsi="Times New Roman"/>
                <w:sz w:val="16"/>
                <w:szCs w:val="16"/>
                <w:u w:val="single" w:color="auto"/>
                <w:color w:val="0000EE"/>
              </w:rPr>
              <w:t>1</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8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EE"/>
              </w:rPr>
              <w:t>Conduct of Business by the Company</w:t>
            </w:r>
          </w:p>
        </w:tc>
        <w:tc>
          <w:tcPr>
            <w:tcW w:w="1900" w:type="dxa"/>
            <w:vAlign w:val="bottom"/>
            <w:tcBorders>
              <w:left w:val="single" w:sz="8" w:color="CCEEFF"/>
            </w:tcBorders>
            <w:gridSpan w:val="5"/>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5.</w:t>
            </w:r>
            <w:r>
              <w:rPr>
                <w:rFonts w:ascii="Times New Roman" w:cs="Times New Roman" w:eastAsia="Times New Roman" w:hAnsi="Times New Roman"/>
                <w:sz w:val="16"/>
                <w:szCs w:val="16"/>
                <w:u w:val="single" w:color="auto"/>
                <w:color w:val="0000EE"/>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Conduct of Business by Parent</w:t>
            </w:r>
          </w:p>
        </w:tc>
        <w:tc>
          <w:tcPr>
            <w:tcW w:w="520" w:type="dxa"/>
            <w:vAlign w:val="bottom"/>
            <w:gridSpan w:val="3"/>
          </w:tcPr>
          <w:p>
            <w:pPr>
              <w:spacing w:after="0"/>
              <w:rPr>
                <w:sz w:val="18"/>
                <w:szCs w:val="18"/>
                <w:color w:val="auto"/>
              </w:rPr>
            </w:pPr>
          </w:p>
        </w:tc>
        <w:tc>
          <w:tcPr>
            <w:tcW w:w="3500" w:type="dxa"/>
            <w:vAlign w:val="bottom"/>
            <w:gridSpan w:val="7"/>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A-45</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5.</w:t>
            </w:r>
            <w:r>
              <w:rPr>
                <w:rFonts w:ascii="Times New Roman" w:cs="Times New Roman" w:eastAsia="Times New Roman" w:hAnsi="Times New Roman"/>
                <w:sz w:val="16"/>
                <w:szCs w:val="16"/>
                <w:u w:val="single" w:color="auto"/>
                <w:color w:val="0000EE"/>
              </w:rPr>
              <w:t>3</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4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0000EE"/>
              </w:rPr>
              <w:t>Commercially Reasonable Efforts</w:t>
            </w:r>
          </w:p>
        </w:tc>
        <w:tc>
          <w:tcPr>
            <w:tcW w:w="3840" w:type="dxa"/>
            <w:vAlign w:val="bottom"/>
            <w:tcBorders>
              <w:left w:val="single" w:sz="8" w:color="CCEEFF"/>
            </w:tcBorders>
            <w:gridSpan w:val="9"/>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96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w w:val="99"/>
              </w:rPr>
              <w:t>ARTICLE 6 ADDITIONAL AGREEMENTS</w:t>
            </w:r>
          </w:p>
        </w:tc>
        <w:tc>
          <w:tcPr>
            <w:tcW w:w="3500" w:type="dxa"/>
            <w:vAlign w:val="bottom"/>
            <w:gridSpan w:val="7"/>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A-45</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1</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8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EE"/>
              </w:rPr>
              <w:t>Company Shareholders’ Meeting</w:t>
            </w:r>
          </w:p>
        </w:tc>
        <w:tc>
          <w:tcPr>
            <w:tcW w:w="3500" w:type="dxa"/>
            <w:vAlign w:val="bottom"/>
            <w:tcBorders>
              <w:left w:val="single" w:sz="8" w:color="CCEEFF"/>
            </w:tcBorders>
            <w:gridSpan w:val="7"/>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80" w:type="dxa"/>
            <w:vAlign w:val="bottom"/>
            <w:gridSpan w:val="20"/>
          </w:tcPr>
          <w:p>
            <w:pPr>
              <w:spacing w:after="0"/>
              <w:rPr>
                <w:sz w:val="20"/>
                <w:szCs w:val="20"/>
                <w:color w:val="auto"/>
              </w:rPr>
            </w:pPr>
            <w:r>
              <w:rPr>
                <w:rFonts w:ascii="Times New Roman" w:cs="Times New Roman" w:eastAsia="Times New Roman" w:hAnsi="Times New Roman"/>
                <w:sz w:val="16"/>
                <w:szCs w:val="16"/>
                <w:color w:val="0000EE"/>
              </w:rPr>
              <w:t>Proxy and Registration Statement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A-46</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3</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0000EE"/>
                <w:w w:val="96"/>
              </w:rPr>
              <w:t>No Solicitation</w:t>
            </w:r>
          </w:p>
        </w:tc>
        <w:tc>
          <w:tcPr>
            <w:tcW w:w="1260" w:type="dxa"/>
            <w:vAlign w:val="bottom"/>
            <w:tcBorders>
              <w:left w:val="single" w:sz="8" w:color="CCEEFF"/>
              <w:right w:val="single" w:sz="8" w:color="CCEEFF"/>
            </w:tcBorders>
            <w:gridSpan w:val="8"/>
            <w:shd w:val="clear" w:color="auto" w:fill="CCEEFF"/>
          </w:tcPr>
          <w:p>
            <w:pPr>
              <w:spacing w:after="0"/>
              <w:rPr>
                <w:sz w:val="18"/>
                <w:szCs w:val="18"/>
                <w:color w:val="auto"/>
              </w:rPr>
            </w:pPr>
          </w:p>
        </w:tc>
        <w:tc>
          <w:tcPr>
            <w:tcW w:w="3840" w:type="dxa"/>
            <w:vAlign w:val="bottom"/>
            <w:tcBorders>
              <w:left w:val="single" w:sz="8" w:color="CCEEFF"/>
            </w:tcBorders>
            <w:gridSpan w:val="9"/>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A-47</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Regulatory Approvals and Filings</w:t>
            </w:r>
          </w:p>
        </w:tc>
        <w:tc>
          <w:tcPr>
            <w:tcW w:w="3840" w:type="dxa"/>
            <w:vAlign w:val="bottom"/>
            <w:gridSpan w:val="9"/>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A-49</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5</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4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0000EE"/>
              </w:rPr>
              <w:t>NYSE Listing</w:t>
            </w:r>
          </w:p>
        </w:tc>
        <w:tc>
          <w:tcPr>
            <w:tcW w:w="3840" w:type="dxa"/>
            <w:vAlign w:val="bottom"/>
            <w:tcBorders>
              <w:left w:val="single" w:sz="8" w:color="CCEEFF"/>
            </w:tcBorders>
            <w:gridSpan w:val="9"/>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A-49</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80" w:type="dxa"/>
            <w:vAlign w:val="bottom"/>
            <w:gridSpan w:val="20"/>
          </w:tcPr>
          <w:p>
            <w:pPr>
              <w:spacing w:after="0"/>
              <w:rPr>
                <w:sz w:val="20"/>
                <w:szCs w:val="20"/>
                <w:color w:val="auto"/>
              </w:rPr>
            </w:pPr>
            <w:r>
              <w:rPr>
                <w:rFonts w:ascii="Times New Roman" w:cs="Times New Roman" w:eastAsia="Times New Roman" w:hAnsi="Times New Roman"/>
                <w:sz w:val="16"/>
                <w:szCs w:val="16"/>
                <w:color w:val="0000EE"/>
              </w:rPr>
              <w:t>Access; Systems Integration; Confidentiality</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A-49</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7</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EE"/>
              </w:rPr>
              <w:t>No Control of the Company</w:t>
            </w:r>
          </w:p>
        </w:tc>
        <w:tc>
          <w:tcPr>
            <w:tcW w:w="3140" w:type="dxa"/>
            <w:vAlign w:val="bottom"/>
            <w:tcBorders>
              <w:left w:val="single" w:sz="8" w:color="CCEEFF"/>
            </w:tcBorders>
            <w:gridSpan w:val="5"/>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A-50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Press Releases</w:t>
            </w:r>
          </w:p>
        </w:tc>
        <w:tc>
          <w:tcPr>
            <w:tcW w:w="880" w:type="dxa"/>
            <w:vAlign w:val="bottom"/>
            <w:gridSpan w:val="6"/>
          </w:tcPr>
          <w:p>
            <w:pPr>
              <w:spacing w:after="0"/>
              <w:rPr>
                <w:sz w:val="18"/>
                <w:szCs w:val="18"/>
                <w:color w:val="auto"/>
              </w:rPr>
            </w:pPr>
          </w:p>
        </w:tc>
        <w:tc>
          <w:tcPr>
            <w:tcW w:w="4220" w:type="dxa"/>
            <w:vAlign w:val="bottom"/>
            <w:gridSpan w:val="11"/>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A-50</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9</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0000EE"/>
                <w:w w:val="99"/>
              </w:rPr>
              <w:t>Employee Benefits.</w:t>
            </w:r>
          </w:p>
        </w:tc>
        <w:tc>
          <w:tcPr>
            <w:tcW w:w="4780" w:type="dxa"/>
            <w:vAlign w:val="bottom"/>
            <w:tcBorders>
              <w:left w:val="single" w:sz="8" w:color="CCEEFF"/>
            </w:tcBorders>
            <w:gridSpan w:val="16"/>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A-50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6.</w:t>
            </w:r>
            <w:r>
              <w:rPr>
                <w:rFonts w:ascii="Times New Roman" w:cs="Times New Roman" w:eastAsia="Times New Roman" w:hAnsi="Times New Roman"/>
                <w:sz w:val="16"/>
                <w:szCs w:val="16"/>
                <w:u w:val="single" w:color="auto"/>
                <w:color w:val="0000EE"/>
                <w:w w:val="78"/>
              </w:rPr>
              <w:t>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4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Indemnification; Directors’ and Officers’ Insurance</w:t>
            </w:r>
          </w:p>
        </w:tc>
        <w:tc>
          <w:tcPr>
            <w:tcW w:w="2640" w:type="dxa"/>
            <w:vAlign w:val="bottom"/>
            <w:gridSpan w:val="4"/>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A-52</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6.</w:t>
            </w:r>
            <w:r>
              <w:rPr>
                <w:rFonts w:ascii="Times New Roman" w:cs="Times New Roman" w:eastAsia="Times New Roman" w:hAnsi="Times New Roman"/>
                <w:sz w:val="16"/>
                <w:szCs w:val="16"/>
                <w:u w:val="single" w:color="auto"/>
                <w:color w:val="0000EE"/>
                <w:w w:val="78"/>
              </w:rPr>
              <w:t>11</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4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0000EE"/>
              </w:rPr>
              <w:t>Director and Officer Resignations</w:t>
            </w:r>
          </w:p>
        </w:tc>
        <w:tc>
          <w:tcPr>
            <w:tcW w:w="1200" w:type="dxa"/>
            <w:vAlign w:val="bottom"/>
            <w:tcBorders>
              <w:left w:val="single" w:sz="8" w:color="CCEEFF"/>
            </w:tcBorders>
            <w:gridSpan w:val="5"/>
            <w:shd w:val="clear" w:color="auto" w:fill="CCEEFF"/>
          </w:tcPr>
          <w:p>
            <w:pPr>
              <w:spacing w:after="0"/>
              <w:rPr>
                <w:sz w:val="18"/>
                <w:szCs w:val="18"/>
                <w:color w:val="auto"/>
              </w:rPr>
            </w:pPr>
          </w:p>
        </w:tc>
        <w:tc>
          <w:tcPr>
            <w:tcW w:w="2640" w:type="dxa"/>
            <w:vAlign w:val="bottom"/>
            <w:gridSpan w:val="4"/>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A-53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6.</w:t>
            </w:r>
            <w:r>
              <w:rPr>
                <w:rFonts w:ascii="Times New Roman" w:cs="Times New Roman" w:eastAsia="Times New Roman" w:hAnsi="Times New Roman"/>
                <w:sz w:val="16"/>
                <w:szCs w:val="16"/>
                <w:u w:val="single" w:color="auto"/>
                <w:color w:val="0000EE"/>
                <w:w w:val="78"/>
              </w:rPr>
              <w:t>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Further Assurances</w:t>
            </w:r>
          </w:p>
        </w:tc>
        <w:tc>
          <w:tcPr>
            <w:tcW w:w="940" w:type="dxa"/>
            <w:vAlign w:val="bottom"/>
            <w:gridSpan w:val="7"/>
          </w:tcPr>
          <w:p>
            <w:pPr>
              <w:spacing w:after="0"/>
              <w:rPr>
                <w:sz w:val="18"/>
                <w:szCs w:val="18"/>
                <w:color w:val="auto"/>
              </w:rPr>
            </w:pPr>
          </w:p>
        </w:tc>
        <w:tc>
          <w:tcPr>
            <w:tcW w:w="3840" w:type="dxa"/>
            <w:vAlign w:val="bottom"/>
            <w:gridSpan w:val="9"/>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A-53</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6.</w:t>
            </w:r>
            <w:r>
              <w:rPr>
                <w:rFonts w:ascii="Times New Roman" w:cs="Times New Roman" w:eastAsia="Times New Roman" w:hAnsi="Times New Roman"/>
                <w:sz w:val="16"/>
                <w:szCs w:val="16"/>
                <w:u w:val="single" w:color="auto"/>
                <w:color w:val="0000EE"/>
                <w:w w:val="78"/>
              </w:rPr>
              <w:t>13</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0000EE"/>
              </w:rPr>
              <w:t>Financial Statements</w:t>
            </w:r>
          </w:p>
        </w:tc>
        <w:tc>
          <w:tcPr>
            <w:tcW w:w="4620" w:type="dxa"/>
            <w:vAlign w:val="bottom"/>
            <w:gridSpan w:val="15"/>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A-53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6.</w:t>
            </w:r>
            <w:r>
              <w:rPr>
                <w:rFonts w:ascii="Times New Roman" w:cs="Times New Roman" w:eastAsia="Times New Roman" w:hAnsi="Times New Roman"/>
                <w:sz w:val="16"/>
                <w:szCs w:val="16"/>
                <w:u w:val="single" w:color="auto"/>
                <w:color w:val="0000EE"/>
                <w:w w:val="78"/>
              </w:rPr>
              <w:t>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Notification of Certain Matters</w:t>
            </w:r>
          </w:p>
        </w:tc>
        <w:tc>
          <w:tcPr>
            <w:tcW w:w="4020" w:type="dxa"/>
            <w:vAlign w:val="bottom"/>
            <w:gridSpan w:val="10"/>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A-53</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6.</w:t>
            </w:r>
            <w:r>
              <w:rPr>
                <w:rFonts w:ascii="Times New Roman" w:cs="Times New Roman" w:eastAsia="Times New Roman" w:hAnsi="Times New Roman"/>
                <w:sz w:val="16"/>
                <w:szCs w:val="16"/>
                <w:u w:val="single" w:color="auto"/>
                <w:color w:val="0000EE"/>
                <w:w w:val="78"/>
              </w:rPr>
              <w:t>15</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0000EE"/>
              </w:rPr>
              <w:t>Dissolution of 332 Spring</w:t>
            </w:r>
          </w:p>
        </w:tc>
        <w:tc>
          <w:tcPr>
            <w:tcW w:w="4020" w:type="dxa"/>
            <w:vAlign w:val="bottom"/>
            <w:tcBorders>
              <w:left w:val="single" w:sz="8" w:color="CCEEFF"/>
            </w:tcBorders>
            <w:gridSpan w:val="10"/>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A-54</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w w:val="78"/>
              </w:rPr>
              <w:t>6.</w:t>
            </w:r>
            <w:r>
              <w:rPr>
                <w:rFonts w:ascii="Times New Roman" w:cs="Times New Roman" w:eastAsia="Times New Roman" w:hAnsi="Times New Roman"/>
                <w:sz w:val="16"/>
                <w:szCs w:val="16"/>
                <w:u w:val="single" w:color="auto"/>
                <w:color w:val="0000EE"/>
                <w:w w:val="78"/>
              </w:rPr>
              <w:t>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Litigation and Claims</w:t>
            </w:r>
          </w:p>
        </w:tc>
        <w:tc>
          <w:tcPr>
            <w:tcW w:w="200" w:type="dxa"/>
            <w:vAlign w:val="bottom"/>
            <w:gridSpan w:val="2"/>
          </w:tcPr>
          <w:p>
            <w:pPr>
              <w:spacing w:after="0"/>
              <w:rPr>
                <w:sz w:val="18"/>
                <w:szCs w:val="18"/>
                <w:color w:val="auto"/>
              </w:rPr>
            </w:pPr>
          </w:p>
        </w:tc>
        <w:tc>
          <w:tcPr>
            <w:tcW w:w="4420" w:type="dxa"/>
            <w:vAlign w:val="bottom"/>
            <w:gridSpan w:val="13"/>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A-54</w:t>
            </w: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0000EE"/>
                <w:w w:val="78"/>
              </w:rPr>
              <w:t>6.</w:t>
            </w:r>
            <w:r>
              <w:rPr>
                <w:rFonts w:ascii="Times New Roman" w:cs="Times New Roman" w:eastAsia="Times New Roman" w:hAnsi="Times New Roman"/>
                <w:sz w:val="16"/>
                <w:szCs w:val="16"/>
                <w:u w:val="single" w:color="auto"/>
                <w:color w:val="0000EE"/>
                <w:w w:val="78"/>
              </w:rPr>
              <w:t>17</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0000EE"/>
              </w:rPr>
              <w:t>Change of Method</w:t>
            </w:r>
          </w:p>
        </w:tc>
        <w:tc>
          <w:tcPr>
            <w:tcW w:w="4620" w:type="dxa"/>
            <w:vAlign w:val="bottom"/>
            <w:gridSpan w:val="15"/>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0000EE"/>
              </w:rPr>
              <w:t>A-54</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-6466840</wp:posOffset>
            </wp:positionV>
            <wp:extent cx="437197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4371975" cy="7620"/>
                    </a:xfrm>
                    <a:prstGeom prst="rect">
                      <a:avLst/>
                    </a:prstGeom>
                    <a:noFill/>
                  </pic:spPr>
                </pic:pic>
              </a:graphicData>
            </a:graphic>
          </wp:anchor>
        </w:drawing>
      </w: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9525</wp:posOffset>
            </wp:positionV>
            <wp:extent cx="4599305" cy="1511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4599305" cy="151130"/>
                    </a:xfrm>
                    <a:prstGeom prst="rect">
                      <a:avLst/>
                    </a:prstGeom>
                    <a:noFill/>
                  </pic:spPr>
                </pic:pic>
              </a:graphicData>
            </a:graphic>
          </wp:anchor>
        </w:drawing>
      </w:r>
    </w:p>
    <w:p>
      <w:pPr>
        <w:spacing w:after="0" w:line="14"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18</w:t>
            </w:r>
          </w:p>
        </w:tc>
        <w:tc>
          <w:tcPr>
            <w:tcW w:w="40" w:type="dxa"/>
            <w:vAlign w:val="bottom"/>
          </w:tcPr>
          <w:p>
            <w:pPr>
              <w:spacing w:after="0"/>
              <w:rPr>
                <w:sz w:val="16"/>
                <w:szCs w:val="16"/>
                <w:color w:val="auto"/>
              </w:rPr>
            </w:pPr>
          </w:p>
        </w:tc>
        <w:tc>
          <w:tcPr>
            <w:tcW w:w="54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Takeover Statutes</w:t>
            </w:r>
          </w:p>
        </w:tc>
        <w:tc>
          <w:tcPr>
            <w:tcW w:w="0" w:type="dxa"/>
            <w:vAlign w:val="bottom"/>
          </w:tcPr>
          <w:p>
            <w:pPr>
              <w:spacing w:after="0"/>
              <w:rPr>
                <w:sz w:val="1"/>
                <w:szCs w:val="1"/>
                <w:color w:val="auto"/>
              </w:rPr>
            </w:pPr>
          </w:p>
        </w:tc>
      </w:tr>
      <w:tr>
        <w:trPr>
          <w:trHeight w:val="206"/>
        </w:trPr>
        <w:tc>
          <w:tcPr>
            <w:tcW w:w="3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19</w:t>
            </w:r>
          </w:p>
        </w:tc>
        <w:tc>
          <w:tcPr>
            <w:tcW w:w="4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rPr>
              <w:t>Reorganization</w:t>
            </w:r>
          </w:p>
        </w:tc>
        <w:tc>
          <w:tcPr>
            <w:tcW w:w="160" w:type="dxa"/>
            <w:vAlign w:val="bottom"/>
            <w:tcBorders>
              <w:top w:val="single" w:sz="8" w:color="0000EE"/>
            </w:tcBorders>
            <w:gridSpan w:val="3"/>
          </w:tcPr>
          <w:p>
            <w:pPr>
              <w:spacing w:after="0"/>
              <w:rPr>
                <w:sz w:val="17"/>
                <w:szCs w:val="17"/>
                <w:color w:val="auto"/>
              </w:rPr>
            </w:pPr>
          </w:p>
        </w:tc>
        <w:tc>
          <w:tcPr>
            <w:tcW w:w="4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20</w:t>
            </w:r>
          </w:p>
        </w:tc>
        <w:tc>
          <w:tcPr>
            <w:tcW w:w="40" w:type="dxa"/>
            <w:vAlign w:val="bottom"/>
          </w:tcPr>
          <w:p>
            <w:pPr>
              <w:spacing w:after="0"/>
              <w:rPr>
                <w:sz w:val="17"/>
                <w:szCs w:val="17"/>
                <w:color w:val="auto"/>
              </w:rPr>
            </w:pPr>
          </w:p>
        </w:tc>
        <w:tc>
          <w:tcPr>
            <w:tcW w:w="54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Transition; Informational Systems Conversion</w:t>
            </w:r>
          </w:p>
        </w:tc>
        <w:tc>
          <w:tcPr>
            <w:tcW w:w="0" w:type="dxa"/>
            <w:vAlign w:val="bottom"/>
          </w:tcPr>
          <w:p>
            <w:pPr>
              <w:spacing w:after="0"/>
              <w:rPr>
                <w:sz w:val="1"/>
                <w:szCs w:val="1"/>
                <w:color w:val="auto"/>
              </w:rPr>
            </w:pPr>
          </w:p>
        </w:tc>
      </w:tr>
      <w:tr>
        <w:trPr>
          <w:trHeight w:val="206"/>
        </w:trPr>
        <w:tc>
          <w:tcPr>
            <w:tcW w:w="3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21</w:t>
            </w:r>
          </w:p>
        </w:tc>
        <w:tc>
          <w:tcPr>
            <w:tcW w:w="40" w:type="dxa"/>
            <w:vAlign w:val="bottom"/>
          </w:tcPr>
          <w:p>
            <w:pPr>
              <w:spacing w:after="0"/>
              <w:rPr>
                <w:sz w:val="17"/>
                <w:szCs w:val="17"/>
                <w:color w:val="auto"/>
              </w:rPr>
            </w:pPr>
          </w:p>
        </w:tc>
        <w:tc>
          <w:tcPr>
            <w:tcW w:w="7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Dividends</w:t>
            </w: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6.</w:t>
            </w:r>
            <w:r>
              <w:rPr>
                <w:rFonts w:ascii="Times New Roman" w:cs="Times New Roman" w:eastAsia="Times New Roman" w:hAnsi="Times New Roman"/>
                <w:sz w:val="16"/>
                <w:szCs w:val="16"/>
                <w:u w:val="single" w:color="auto"/>
                <w:color w:val="0000EE"/>
              </w:rPr>
              <w:t>22</w:t>
            </w:r>
          </w:p>
        </w:tc>
        <w:tc>
          <w:tcPr>
            <w:tcW w:w="40" w:type="dxa"/>
            <w:vAlign w:val="bottom"/>
          </w:tcPr>
          <w:p>
            <w:pPr>
              <w:spacing w:after="0"/>
              <w:rPr>
                <w:sz w:val="18"/>
                <w:szCs w:val="18"/>
                <w:color w:val="auto"/>
              </w:rPr>
            </w:pPr>
          </w:p>
        </w:tc>
        <w:tc>
          <w:tcPr>
            <w:tcW w:w="10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Domain Names</w:t>
            </w:r>
          </w:p>
        </w:tc>
        <w:tc>
          <w:tcPr>
            <w:tcW w:w="436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80" w:type="dxa"/>
            <w:vAlign w:val="bottom"/>
            <w:gridSpan w:val="33"/>
          </w:tcPr>
          <w:p>
            <w:pPr>
              <w:spacing w:after="0"/>
              <w:rPr>
                <w:sz w:val="20"/>
                <w:szCs w:val="20"/>
                <w:color w:val="auto"/>
              </w:rPr>
            </w:pPr>
            <w:r>
              <w:rPr>
                <w:rFonts w:ascii="Times New Roman" w:cs="Times New Roman" w:eastAsia="Times New Roman" w:hAnsi="Times New Roman"/>
                <w:sz w:val="16"/>
                <w:szCs w:val="16"/>
                <w:color w:val="0000EE"/>
              </w:rPr>
              <w:t>ARTICLE 7 CONDITIONS PRECEDENT</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7.</w:t>
            </w:r>
            <w:r>
              <w:rPr>
                <w:rFonts w:ascii="Times New Roman" w:cs="Times New Roman" w:eastAsia="Times New Roman" w:hAnsi="Times New Roman"/>
                <w:sz w:val="16"/>
                <w:szCs w:val="16"/>
                <w:u w:val="single" w:color="auto"/>
                <w:color w:val="0000EE"/>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6"/>
                <w:szCs w:val="16"/>
                <w:color w:val="0000EE"/>
              </w:rPr>
              <w:t>Conditions to Each Party’s Obligations to Effect the Merger</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7.</w:t>
            </w:r>
            <w:r>
              <w:rPr>
                <w:rFonts w:ascii="Times New Roman" w:cs="Times New Roman" w:eastAsia="Times New Roman" w:hAnsi="Times New Roman"/>
                <w:sz w:val="16"/>
                <w:szCs w:val="16"/>
                <w:u w:val="single" w:color="auto"/>
                <w:color w:val="0000EE"/>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Conditions to Obligation of Parent</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7.</w:t>
            </w:r>
            <w:r>
              <w:rPr>
                <w:rFonts w:ascii="Times New Roman" w:cs="Times New Roman" w:eastAsia="Times New Roman" w:hAnsi="Times New Roman"/>
                <w:sz w:val="16"/>
                <w:szCs w:val="16"/>
                <w:u w:val="single" w:color="auto"/>
                <w:color w:val="0000EE"/>
              </w:rPr>
              <w:t>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Conditions to Obligation of the Company</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9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6"/>
                <w:szCs w:val="16"/>
                <w:color w:val="0000EE"/>
              </w:rPr>
              <w:t>ARTICLE 8 TERMINATION</w:t>
            </w:r>
          </w:p>
        </w:tc>
        <w:tc>
          <w:tcPr>
            <w:tcW w:w="380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8.</w:t>
            </w:r>
            <w:r>
              <w:rPr>
                <w:rFonts w:ascii="Times New Roman" w:cs="Times New Roman" w:eastAsia="Times New Roman" w:hAnsi="Times New Roman"/>
                <w:sz w:val="16"/>
                <w:szCs w:val="16"/>
                <w:u w:val="single" w:color="auto"/>
                <w:color w:val="0000EE"/>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Termination</w:t>
            </w:r>
          </w:p>
        </w:tc>
        <w:tc>
          <w:tcPr>
            <w:tcW w:w="458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8.</w:t>
            </w:r>
            <w:r>
              <w:rPr>
                <w:rFonts w:ascii="Times New Roman" w:cs="Times New Roman" w:eastAsia="Times New Roman" w:hAnsi="Times New Roman"/>
                <w:sz w:val="16"/>
                <w:szCs w:val="16"/>
                <w:u w:val="single" w:color="auto"/>
                <w:color w:val="0000EE"/>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Effect of Termination</w:t>
            </w:r>
          </w:p>
        </w:tc>
        <w:tc>
          <w:tcPr>
            <w:tcW w:w="396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8.</w:t>
            </w:r>
            <w:r>
              <w:rPr>
                <w:rFonts w:ascii="Times New Roman" w:cs="Times New Roman" w:eastAsia="Times New Roman" w:hAnsi="Times New Roman"/>
                <w:sz w:val="16"/>
                <w:szCs w:val="16"/>
                <w:u w:val="single" w:color="auto"/>
                <w:color w:val="0000EE"/>
              </w:rPr>
              <w:t>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Termination Fee</w:t>
            </w:r>
          </w:p>
        </w:tc>
        <w:tc>
          <w:tcPr>
            <w:tcW w:w="430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rPr>
              <w:t>ARTICLE 9 MISCELLANEOUS</w:t>
            </w:r>
          </w:p>
        </w:tc>
        <w:tc>
          <w:tcPr>
            <w:tcW w:w="35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Interpretation</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9"/>
              </w:rPr>
              <w:t>Expenses</w:t>
            </w: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Entire Agreement</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Third Party Beneficiaries</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6"/>
                <w:szCs w:val="16"/>
                <w:color w:val="0000EE"/>
              </w:rPr>
              <w:t>Amendments</w:t>
            </w:r>
          </w:p>
        </w:tc>
        <w:tc>
          <w:tcPr>
            <w:tcW w:w="37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7"/>
              </w:rPr>
              <w:t>Waiver</w:t>
            </w: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Assignment</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Notices</w:t>
            </w: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6"/>
                <w:szCs w:val="16"/>
                <w:color w:val="0000EE"/>
              </w:rPr>
              <w:t>Governing Law; Jurisdiction</w:t>
            </w:r>
          </w:p>
        </w:tc>
        <w:tc>
          <w:tcPr>
            <w:tcW w:w="34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10</w:t>
            </w:r>
          </w:p>
        </w:tc>
        <w:tc>
          <w:tcPr>
            <w:tcW w:w="40" w:type="dxa"/>
            <w:vAlign w:val="bottom"/>
          </w:tcPr>
          <w:p>
            <w:pPr>
              <w:spacing w:after="0"/>
              <w:rPr>
                <w:sz w:val="18"/>
                <w:szCs w:val="18"/>
                <w:color w:val="auto"/>
              </w:rPr>
            </w:pPr>
          </w:p>
        </w:tc>
        <w:tc>
          <w:tcPr>
            <w:tcW w:w="54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Waiver of Jury Trial</w:t>
            </w:r>
          </w:p>
        </w:tc>
        <w:tc>
          <w:tcPr>
            <w:tcW w:w="0" w:type="dxa"/>
            <w:vAlign w:val="bottom"/>
          </w:tcPr>
          <w:p>
            <w:pPr>
              <w:spacing w:after="0"/>
              <w:rPr>
                <w:sz w:val="1"/>
                <w:szCs w:val="1"/>
                <w:color w:val="auto"/>
              </w:rPr>
            </w:pPr>
          </w:p>
        </w:tc>
      </w:tr>
      <w:tr>
        <w:trPr>
          <w:trHeight w:val="218"/>
        </w:trPr>
        <w:tc>
          <w:tcPr>
            <w:tcW w:w="3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11</w:t>
            </w:r>
          </w:p>
        </w:tc>
        <w:tc>
          <w:tcPr>
            <w:tcW w:w="40" w:type="dxa"/>
            <w:vAlign w:val="bottom"/>
          </w:tcPr>
          <w:p>
            <w:pPr>
              <w:spacing w:after="0"/>
              <w:rPr>
                <w:sz w:val="18"/>
                <w:szCs w:val="18"/>
                <w:color w:val="auto"/>
              </w:rPr>
            </w:pPr>
          </w:p>
        </w:tc>
        <w:tc>
          <w:tcPr>
            <w:tcW w:w="8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rPr>
              <w:t>Counterparts</w:t>
            </w:r>
          </w:p>
        </w:tc>
        <w:tc>
          <w:tcPr>
            <w:tcW w:w="480" w:type="dxa"/>
            <w:vAlign w:val="bottom"/>
            <w:tcBorders>
              <w:top w:val="single" w:sz="8" w:color="0000EE"/>
            </w:tcBorders>
            <w:gridSpan w:val="7"/>
          </w:tcPr>
          <w:p>
            <w:pPr>
              <w:spacing w:after="0"/>
              <w:rPr>
                <w:sz w:val="18"/>
                <w:szCs w:val="18"/>
                <w:color w:val="auto"/>
              </w:rPr>
            </w:pPr>
          </w:p>
        </w:tc>
        <w:tc>
          <w:tcPr>
            <w:tcW w:w="406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12</w:t>
            </w:r>
          </w:p>
        </w:tc>
        <w:tc>
          <w:tcPr>
            <w:tcW w:w="40" w:type="dxa"/>
            <w:vAlign w:val="bottom"/>
          </w:tcPr>
          <w:p>
            <w:pPr>
              <w:spacing w:after="0"/>
              <w:rPr>
                <w:sz w:val="18"/>
                <w:szCs w:val="18"/>
                <w:color w:val="auto"/>
              </w:rPr>
            </w:pPr>
          </w:p>
        </w:tc>
        <w:tc>
          <w:tcPr>
            <w:tcW w:w="26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6"/>
                <w:szCs w:val="16"/>
                <w:color w:val="0000EE"/>
              </w:rPr>
              <w:t>Injunctive Relief; Specific Performance</w:t>
            </w:r>
          </w:p>
        </w:tc>
        <w:tc>
          <w:tcPr>
            <w:tcW w:w="27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13</w:t>
            </w:r>
          </w:p>
        </w:tc>
        <w:tc>
          <w:tcPr>
            <w:tcW w:w="40" w:type="dxa"/>
            <w:vAlign w:val="bottom"/>
          </w:tcPr>
          <w:p>
            <w:pPr>
              <w:spacing w:after="0"/>
              <w:rPr>
                <w:sz w:val="18"/>
                <w:szCs w:val="18"/>
                <w:color w:val="auto"/>
              </w:rPr>
            </w:pPr>
          </w:p>
        </w:tc>
        <w:tc>
          <w:tcPr>
            <w:tcW w:w="54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Severability</w:t>
            </w: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14</w:t>
            </w:r>
          </w:p>
        </w:tc>
        <w:tc>
          <w:tcPr>
            <w:tcW w:w="40" w:type="dxa"/>
            <w:vAlign w:val="bottom"/>
          </w:tcPr>
          <w:p>
            <w:pPr>
              <w:spacing w:after="0"/>
              <w:rPr>
                <w:sz w:val="18"/>
                <w:szCs w:val="18"/>
                <w:color w:val="auto"/>
              </w:rPr>
            </w:pPr>
          </w:p>
        </w:tc>
        <w:tc>
          <w:tcPr>
            <w:tcW w:w="25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6"/>
                <w:szCs w:val="16"/>
                <w:color w:val="0000EE"/>
              </w:rPr>
              <w:t>Confidential Supervisory Information</w:t>
            </w:r>
          </w:p>
        </w:tc>
        <w:tc>
          <w:tcPr>
            <w:tcW w:w="28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9.</w:t>
            </w:r>
            <w:r>
              <w:rPr>
                <w:rFonts w:ascii="Times New Roman" w:cs="Times New Roman" w:eastAsia="Times New Roman" w:hAnsi="Times New Roman"/>
                <w:sz w:val="16"/>
                <w:szCs w:val="16"/>
                <w:u w:val="single" w:color="auto"/>
                <w:color w:val="0000EE"/>
              </w:rPr>
              <w:t>15</w:t>
            </w:r>
          </w:p>
        </w:tc>
        <w:tc>
          <w:tcPr>
            <w:tcW w:w="40" w:type="dxa"/>
            <w:vAlign w:val="bottom"/>
          </w:tcPr>
          <w:p>
            <w:pPr>
              <w:spacing w:after="0"/>
              <w:rPr>
                <w:sz w:val="18"/>
                <w:szCs w:val="18"/>
                <w:color w:val="auto"/>
              </w:rPr>
            </w:pPr>
          </w:p>
        </w:tc>
        <w:tc>
          <w:tcPr>
            <w:tcW w:w="31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color w:val="0000EE"/>
              </w:rPr>
              <w:t>No Survival of Representations and Warranties</w:t>
            </w:r>
          </w:p>
        </w:tc>
        <w:tc>
          <w:tcPr>
            <w:tcW w:w="2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623"/>
        </w:trPr>
        <w:tc>
          <w:tcPr>
            <w:tcW w:w="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Schedules​</w:t>
            </w:r>
          </w:p>
        </w:tc>
        <w:tc>
          <w:tcPr>
            <w:tcW w:w="86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6"/>
                <w:szCs w:val="16"/>
                <w:color w:val="auto"/>
              </w:rPr>
              <w:t>and Exhibits</w:t>
            </w:r>
          </w:p>
        </w:tc>
        <w:tc>
          <w:tcPr>
            <w:tcW w:w="42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 w:type="dxa"/>
            <w:vAlign w:val="bottom"/>
            <w:gridSpan w:val="2"/>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ind w:left="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4660" w:type="dxa"/>
            <w:vAlign w:val="bottom"/>
            <w:gridSpan w:val="24"/>
            <w:vMerge w:val="restart"/>
          </w:tcPr>
          <w:p>
            <w:pPr>
              <w:ind w:left="20"/>
              <w:spacing w:after="0"/>
              <w:rPr>
                <w:sz w:val="20"/>
                <w:szCs w:val="20"/>
                <w:color w:val="auto"/>
              </w:rPr>
            </w:pPr>
            <w:r>
              <w:rPr>
                <w:rFonts w:ascii="Times New Roman" w:cs="Times New Roman" w:eastAsia="Times New Roman" w:hAnsi="Times New Roman"/>
                <w:sz w:val="16"/>
                <w:szCs w:val="16"/>
                <w:color w:val="auto"/>
              </w:rPr>
              <w:t>Company Shareholders Entering into Voting and Support Agreements</w:t>
            </w:r>
          </w:p>
        </w:tc>
        <w:tc>
          <w:tcPr>
            <w:tcW w:w="0" w:type="dxa"/>
            <w:vAlign w:val="bottom"/>
          </w:tcPr>
          <w:p>
            <w:pPr>
              <w:spacing w:after="0"/>
              <w:rPr>
                <w:sz w:val="1"/>
                <w:szCs w:val="1"/>
                <w:color w:val="auto"/>
              </w:rPr>
            </w:pPr>
          </w:p>
        </w:tc>
      </w:tr>
      <w:tr>
        <w:trPr>
          <w:trHeight w:val="67"/>
        </w:trPr>
        <w:tc>
          <w:tcPr>
            <w:tcW w:w="900" w:type="dxa"/>
            <w:vAlign w:val="bottom"/>
            <w:gridSpan w:val="6"/>
          </w:tcPr>
          <w:p>
            <w:pPr>
              <w:spacing w:after="0" w:line="67" w:lineRule="exact"/>
              <w:rPr>
                <w:sz w:val="20"/>
                <w:szCs w:val="20"/>
                <w:color w:val="auto"/>
              </w:rPr>
            </w:pPr>
            <w:r>
              <w:rPr>
                <w:rFonts w:ascii="Times New Roman" w:cs="Times New Roman" w:eastAsia="Times New Roman" w:hAnsi="Times New Roman"/>
                <w:sz w:val="7"/>
                <w:szCs w:val="7"/>
                <w:color w:val="auto"/>
              </w:rPr>
              <w:t>Schedule A</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60" w:type="dxa"/>
            <w:vAlign w:val="bottom"/>
            <w:gridSpan w:val="2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3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4660" w:type="dxa"/>
            <w:vAlign w:val="bottom"/>
            <w:gridSpan w:val="24"/>
            <w:vMerge w:val="restart"/>
          </w:tcPr>
          <w:p>
            <w:pPr>
              <w:ind w:left="20"/>
              <w:spacing w:after="0"/>
              <w:rPr>
                <w:sz w:val="20"/>
                <w:szCs w:val="20"/>
                <w:color w:val="auto"/>
              </w:rPr>
            </w:pPr>
            <w:r>
              <w:rPr>
                <w:rFonts w:ascii="Times New Roman" w:cs="Times New Roman" w:eastAsia="Times New Roman" w:hAnsi="Times New Roman"/>
                <w:sz w:val="16"/>
                <w:szCs w:val="16"/>
                <w:color w:val="auto"/>
              </w:rPr>
              <w:t>Form of Voting and Support Agreement</w:t>
            </w:r>
          </w:p>
        </w:tc>
        <w:tc>
          <w:tcPr>
            <w:tcW w:w="0" w:type="dxa"/>
            <w:vAlign w:val="bottom"/>
          </w:tcPr>
          <w:p>
            <w:pPr>
              <w:spacing w:after="0"/>
              <w:rPr>
                <w:sz w:val="1"/>
                <w:szCs w:val="1"/>
                <w:color w:val="auto"/>
              </w:rPr>
            </w:pPr>
          </w:p>
        </w:tc>
      </w:tr>
      <w:tr>
        <w:trPr>
          <w:trHeight w:val="79"/>
        </w:trPr>
        <w:tc>
          <w:tcPr>
            <w:tcW w:w="700" w:type="dxa"/>
            <w:vAlign w:val="bottom"/>
            <w:gridSpan w:val="4"/>
          </w:tcPr>
          <w:p>
            <w:pPr>
              <w:spacing w:after="0" w:line="79" w:lineRule="exact"/>
              <w:rPr>
                <w:sz w:val="20"/>
                <w:szCs w:val="20"/>
                <w:color w:val="auto"/>
              </w:rPr>
            </w:pPr>
            <w:r>
              <w:rPr>
                <w:rFonts w:ascii="Times New Roman" w:cs="Times New Roman" w:eastAsia="Times New Roman" w:hAnsi="Times New Roman"/>
                <w:sz w:val="9"/>
                <w:szCs w:val="9"/>
                <w:color w:val="auto"/>
              </w:rPr>
              <w:t>Exhibit A</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660" w:type="dxa"/>
            <w:vAlign w:val="bottom"/>
            <w:gridSpan w:val="2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4660" w:type="dxa"/>
            <w:vAlign w:val="bottom"/>
            <w:gridSpan w:val="24"/>
            <w:vMerge w:val="restart"/>
          </w:tcPr>
          <w:p>
            <w:pPr>
              <w:ind w:left="20"/>
              <w:spacing w:after="0"/>
              <w:rPr>
                <w:sz w:val="20"/>
                <w:szCs w:val="20"/>
                <w:color w:val="auto"/>
              </w:rPr>
            </w:pPr>
            <w:r>
              <w:rPr>
                <w:rFonts w:ascii="Times New Roman" w:cs="Times New Roman" w:eastAsia="Times New Roman" w:hAnsi="Times New Roman"/>
                <w:sz w:val="16"/>
                <w:szCs w:val="16"/>
                <w:color w:val="auto"/>
              </w:rPr>
              <w:t>Form of Bank Merger Agreement</w:t>
            </w:r>
          </w:p>
        </w:tc>
        <w:tc>
          <w:tcPr>
            <w:tcW w:w="0" w:type="dxa"/>
            <w:vAlign w:val="bottom"/>
          </w:tcPr>
          <w:p>
            <w:pPr>
              <w:spacing w:after="0"/>
              <w:rPr>
                <w:sz w:val="1"/>
                <w:szCs w:val="1"/>
                <w:color w:val="auto"/>
              </w:rPr>
            </w:pPr>
          </w:p>
        </w:tc>
      </w:tr>
      <w:tr>
        <w:trPr>
          <w:trHeight w:val="207"/>
        </w:trPr>
        <w:tc>
          <w:tcPr>
            <w:tcW w:w="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Exhibit B</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60" w:type="dxa"/>
            <w:vAlign w:val="bottom"/>
            <w:gridSpan w:val="24"/>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-4979670</wp:posOffset>
            </wp:positionV>
            <wp:extent cx="4599305" cy="143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-4692650</wp:posOffset>
            </wp:positionV>
            <wp:extent cx="4599305" cy="1511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-4389755</wp:posOffset>
            </wp:positionV>
            <wp:extent cx="4599305" cy="1511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-4087495</wp:posOffset>
            </wp:positionV>
            <wp:extent cx="4599305" cy="1511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-3784600</wp:posOffset>
            </wp:positionV>
            <wp:extent cx="4599305" cy="1511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-3482340</wp:posOffset>
            </wp:positionV>
            <wp:extent cx="4599305" cy="1511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-3179445</wp:posOffset>
            </wp:positionV>
            <wp:extent cx="4599305" cy="1511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-2877185</wp:posOffset>
            </wp:positionV>
            <wp:extent cx="4599305" cy="1511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-2574290</wp:posOffset>
            </wp:positionV>
            <wp:extent cx="4599305" cy="1511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-2272030</wp:posOffset>
            </wp:positionV>
            <wp:extent cx="4599305" cy="1511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-1969135</wp:posOffset>
            </wp:positionV>
            <wp:extent cx="4599305" cy="1511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-1666875</wp:posOffset>
            </wp:positionV>
            <wp:extent cx="4599305" cy="1511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-1363980</wp:posOffset>
            </wp:positionV>
            <wp:extent cx="4599305" cy="1511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-1061720</wp:posOffset>
            </wp:positionV>
            <wp:extent cx="4599305" cy="1511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4599305" cy="15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59"/>
        <w:spacing w:after="0"/>
        <w:tabs>
          <w:tab w:leader="none" w:pos="100" w:val="left"/>
        </w:tabs>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ab/>
        <w:t xml:space="preserve">Page </w:t>
      </w:r>
      <w:r>
        <w:rPr>
          <w:rFonts w:ascii="Times New Roman" w:cs="Times New Roman" w:eastAsia="Times New Roman" w:hAnsi="Times New Roman"/>
          <w:sz w:val="25"/>
          <w:szCs w:val="25"/>
          <w:b w:val="1"/>
          <w:bCs w:val="1"/>
          <w:color w:val="auto"/>
          <w:vertAlign w:val="subscript"/>
        </w:rPr>
        <w:t>​</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A-54</w:t>
      </w:r>
      <w:r>
        <w:rPr>
          <w:rFonts w:ascii="Times New Roman" w:cs="Times New Roman" w:eastAsia="Times New Roman" w:hAnsi="Times New Roman"/>
          <w:sz w:val="16"/>
          <w:szCs w:val="16"/>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A-54</w:t>
      </w:r>
      <w:r>
        <w:rPr>
          <w:rFonts w:ascii="Times New Roman" w:cs="Times New Roman" w:eastAsia="Times New Roman" w:hAnsi="Times New Roman"/>
          <w:sz w:val="16"/>
          <w:szCs w:val="16"/>
          <w:color w:val="auto"/>
        </w:rPr>
        <w:t>​</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A-55</w:t>
      </w:r>
      <w:r>
        <w:rPr>
          <w:rFonts w:ascii="Times New Roman" w:cs="Times New Roman" w:eastAsia="Times New Roman" w:hAnsi="Times New Roman"/>
          <w:sz w:val="16"/>
          <w:szCs w:val="16"/>
          <w:color w:val="auto"/>
        </w:rPr>
        <w:t>​</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A-55</w:t>
      </w:r>
      <w:r>
        <w:rPr>
          <w:rFonts w:ascii="Times New Roman" w:cs="Times New Roman" w:eastAsia="Times New Roman" w:hAnsi="Times New Roman"/>
          <w:sz w:val="16"/>
          <w:szCs w:val="16"/>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A-55</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A-55</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A-55</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A-56</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A-57</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A-57</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A-57</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A-58</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A-58</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A-59</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A-59</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A-60</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A-60</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A-61</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A-61</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A-61</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A-61</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A-61</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A-62</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A-62</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A-63</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A-63</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A-63</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A-63</w:t>
      </w:r>
      <w:r>
        <w:rPr>
          <w:rFonts w:ascii="Times New Roman" w:cs="Times New Roman" w:eastAsia="Times New Roman" w:hAnsi="Times New Roman"/>
          <w:sz w:val="16"/>
          <w:szCs w:val="16"/>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0000EE"/>
        </w:rPr>
        <w:t>A-63</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9"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6"/>
          <w:szCs w:val="16"/>
          <w:color w:val="auto"/>
        </w:rPr>
        <w:t>​</w:t>
      </w:r>
    </w:p>
    <w:p>
      <w:pPr>
        <w:spacing w:after="0" w:line="1"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7080" w:space="720"/>
            <w:col w:w="1439"/>
          </w:cols>
          <w:pgMar w:left="1220" w:top="94"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INDEX OF DEFINED TERMS</w:t>
      </w:r>
    </w:p>
    <w:p>
      <w:pPr>
        <w:spacing w:after="0" w:line="48" w:lineRule="exact"/>
        <w:rPr>
          <w:sz w:val="20"/>
          <w:szCs w:val="20"/>
          <w:color w:val="auto"/>
        </w:rPr>
      </w:pPr>
    </w:p>
    <w:tbl>
      <w:tblPr>
        <w:tblLayout w:type="fixed"/>
        <w:tblInd w:w="1100" w:type="dxa"/>
        <w:tblCellMar>
          <w:top w:w="0" w:type="dxa"/>
          <w:left w:w="0" w:type="dxa"/>
          <w:bottom w:w="0" w:type="dxa"/>
          <w:right w:w="0" w:type="dxa"/>
        </w:tblCellMar>
      </w:tblPr>
      <w:tr>
        <w:trPr>
          <w:trHeight w:val="335"/>
        </w:trPr>
        <w:tc>
          <w:tcPr>
            <w:tcW w:w="4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19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Section   </w:t>
            </w:r>
            <w:r>
              <w:rPr>
                <w:rFonts w:ascii="Times New Roman" w:cs="Times New Roman" w:eastAsia="Times New Roman" w:hAnsi="Times New Roman"/>
                <w:sz w:val="25"/>
                <w:szCs w:val="25"/>
                <w:b w:val="1"/>
                <w:bCs w:val="1"/>
                <w:color w:val="auto"/>
                <w:vertAlign w:val="subscript"/>
              </w:rPr>
              <w:t>​</w:t>
            </w:r>
          </w:p>
        </w:tc>
      </w:tr>
      <w:tr>
        <w:trPr>
          <w:trHeight w:val="218"/>
        </w:trPr>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332 Spring</w:t>
            </w:r>
          </w:p>
        </w:tc>
        <w:tc>
          <w:tcPr>
            <w:tcW w:w="1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3.2(a)​</w:t>
            </w:r>
          </w:p>
        </w:tc>
        <w:tc>
          <w:tcPr>
            <w:tcW w:w="20" w:type="dxa"/>
            <w:vAlign w:val="bottom"/>
          </w:tcPr>
          <w:p>
            <w:pPr>
              <w:spacing w:after="0"/>
              <w:rPr>
                <w:sz w:val="18"/>
                <w:szCs w:val="18"/>
                <w:color w:val="auto"/>
              </w:rPr>
            </w:pPr>
          </w:p>
        </w:tc>
      </w:tr>
      <w:tr>
        <w:trPr>
          <w:trHeight w:val="226"/>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332 Spring Dissolution</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2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332 Spring Dissolution Filings</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0" w:type="dxa"/>
            <w:vAlign w:val="bottom"/>
          </w:tcPr>
          <w:p>
            <w:pPr>
              <w:spacing w:after="0"/>
              <w:rPr>
                <w:sz w:val="19"/>
                <w:szCs w:val="19"/>
                <w:color w:val="auto"/>
              </w:rPr>
            </w:pPr>
          </w:p>
        </w:tc>
      </w:tr>
      <w:tr>
        <w:trPr>
          <w:trHeight w:val="226"/>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401(k) Plan</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6.9(c)​</w:t>
            </w:r>
          </w:p>
        </w:tc>
      </w:tr>
      <w:tr>
        <w:trPr>
          <w:trHeight w:val="22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Proposal</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6.3(d)​</w:t>
            </w:r>
          </w:p>
        </w:tc>
        <w:tc>
          <w:tcPr>
            <w:tcW w:w="20" w:type="dxa"/>
            <w:vAlign w:val="bottom"/>
          </w:tcPr>
          <w:p>
            <w:pPr>
              <w:spacing w:after="0"/>
              <w:rPr>
                <w:sz w:val="19"/>
                <w:szCs w:val="19"/>
                <w:color w:val="auto"/>
              </w:rPr>
            </w:pPr>
          </w:p>
        </w:tc>
      </w:tr>
      <w:tr>
        <w:trPr>
          <w:trHeight w:val="226"/>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Adverse Recommendation Change</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Affiliate</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9.1(b)(i)​</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Agency</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3.20(c)​</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Agreement</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Preamble​</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Appraisal Statutes</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1.5(d)​</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Articles of Merger</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Audited Financial Statements</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3.4(a)​</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Sheet Date</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3.4(a)​</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Bank Articles of Merger</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Merger</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Bank Merger Agreement</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Base Amount</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6.10(b)​</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BHC Act</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Business Day</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9.1(b)(ii)​</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Call Reports</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3.4(a)​</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Consideration</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1.5(a)(i)​</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Cash Election</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1.5(a)(i)​</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Election Number</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2.1(a)(i)​</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Cash Election Shares</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1.5(a)(i)​</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Certificate of Termination</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Charter Documents</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3.8(d)​</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Chosen Courts</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Closing</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Code</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Preamble​</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Company Bank</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Benefit Plan</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3.13(a)​</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Common Stock</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1.5(a)​</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Company Disclosure Memorandum</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Article 3​</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Financial Advisor</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3.29(a)​</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Company Recommendation</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Regulatory Agreement</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0" w:type="dxa"/>
            <w:vAlign w:val="bottom"/>
          </w:tcPr>
          <w:p>
            <w:pPr>
              <w:spacing w:after="0"/>
              <w:rPr>
                <w:sz w:val="20"/>
                <w:szCs w:val="20"/>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Company Related Party</w:t>
            </w:r>
          </w:p>
        </w:tc>
        <w:tc>
          <w:tcPr>
            <w:tcW w:w="218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Shareholder</w:t>
            </w:r>
          </w:p>
        </w:tc>
        <w:tc>
          <w:tcPr>
            <w:tcW w:w="21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Recitals​</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-6164580</wp:posOffset>
            </wp:positionV>
            <wp:extent cx="12128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30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100" w:type="dxa"/>
        <w:tblCellMar>
          <w:top w:w="0" w:type="dxa"/>
          <w:left w:w="0" w:type="dxa"/>
          <w:bottom w:w="0" w:type="dxa"/>
          <w:right w:w="0" w:type="dxa"/>
        </w:tblCellMar>
      </w:tblPr>
      <w:tr>
        <w:trPr>
          <w:trHeight w:val="335"/>
        </w:trPr>
        <w:tc>
          <w:tcPr>
            <w:tcW w:w="4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20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 xml:space="preserve">Section   </w:t>
            </w:r>
            <w:r>
              <w:rPr>
                <w:rFonts w:ascii="Times New Roman" w:cs="Times New Roman" w:eastAsia="Times New Roman" w:hAnsi="Times New Roman"/>
                <w:sz w:val="25"/>
                <w:szCs w:val="25"/>
                <w:b w:val="1"/>
                <w:bCs w:val="1"/>
                <w:color w:val="auto"/>
                <w:vertAlign w:val="subscript"/>
              </w:rPr>
              <w:t>​</w:t>
            </w:r>
          </w:p>
        </w:tc>
      </w:tr>
      <w:tr>
        <w:trPr>
          <w:trHeight w:val="218"/>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Shareholders</w:t>
            </w:r>
          </w:p>
        </w:tc>
        <w:tc>
          <w:tcPr>
            <w:tcW w:w="2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Recitals​</w:t>
            </w:r>
          </w:p>
        </w:tc>
        <w:tc>
          <w:tcPr>
            <w:tcW w:w="20" w:type="dxa"/>
            <w:vAlign w:val="bottom"/>
          </w:tcPr>
          <w:p>
            <w:pPr>
              <w:spacing w:after="0"/>
              <w:rPr>
                <w:sz w:val="18"/>
                <w:szCs w:val="18"/>
                <w:color w:val="auto"/>
              </w:rPr>
            </w:pPr>
          </w:p>
        </w:tc>
      </w:tr>
      <w:tr>
        <w:trPr>
          <w:trHeight w:val="22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Company Shareholders’ Meeting</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2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Stock Option</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1.6(a)​</w:t>
            </w:r>
          </w:p>
        </w:tc>
        <w:tc>
          <w:tcPr>
            <w:tcW w:w="20" w:type="dxa"/>
            <w:vAlign w:val="bottom"/>
          </w:tcPr>
          <w:p>
            <w:pPr>
              <w:spacing w:after="0"/>
              <w:rPr>
                <w:sz w:val="19"/>
                <w:szCs w:val="19"/>
                <w:color w:val="auto"/>
              </w:rPr>
            </w:pPr>
          </w:p>
        </w:tc>
      </w:tr>
      <w:tr>
        <w:trPr>
          <w:trHeight w:val="22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Company Subsidiaries</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3.1(a)​</w:t>
            </w:r>
          </w:p>
        </w:tc>
      </w:tr>
      <w:tr>
        <w:trPr>
          <w:trHeight w:val="22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Subsidiary</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3.1(a)​</w:t>
            </w:r>
          </w:p>
        </w:tc>
        <w:tc>
          <w:tcPr>
            <w:tcW w:w="20" w:type="dxa"/>
            <w:vAlign w:val="bottom"/>
          </w:tcPr>
          <w:p>
            <w:pPr>
              <w:spacing w:after="0"/>
              <w:rPr>
                <w:sz w:val="19"/>
                <w:szCs w:val="19"/>
                <w:color w:val="auto"/>
              </w:rPr>
            </w:pPr>
          </w:p>
        </w:tc>
      </w:tr>
      <w:tr>
        <w:trPr>
          <w:trHeight w:val="22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Company’s Knowledge</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9.1(b)(iii)​</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Confidentiality Agreement</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6.6(b)​</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Continuing Employee</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6.9(a)​</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3.2(b)​</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CRA</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Data Room</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9.1(a)​</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Dissenting Shares</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1.5(d)​</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DOL</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3.13(b)​</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Effective Time</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Election</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2.2(a)​</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Election Deadline</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2.2(d)​</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Election Period</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2.2(c)​</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Enforceability Exceptions</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3.2(a)​</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Environmental Law</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3.16(e)​</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ERISA Affiliate</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3.13(a)​</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Act</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3.14(m)​</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Exchange Agent</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Fund</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Exchange Ratio</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1.5(b)(i)​</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FDIC</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Federal Reserve</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3.2(c)​</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3.4(a)​</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FIRPTA</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7.2(f)​</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Corrupt Practices Act</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3.8(c)​</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Form of Election</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2.2(b)​</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9.1(b)(vi)​</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GBCC</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Governmental Authority</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9.1(b)(iv)​</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Hazardous Substance</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3.16(e)​</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Holder</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Indemnitees</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6.10(a)​</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Informational Systems Conversion</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Insurer</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3.20(c)​</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Intellectual Property</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IRS</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3.11(n)​</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Law</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9.1(b)(v)​</w:t>
            </w:r>
          </w:p>
        </w:tc>
        <w:tc>
          <w:tcPr>
            <w:tcW w:w="20" w:type="dxa"/>
            <w:vAlign w:val="bottom"/>
          </w:tcPr>
          <w:p>
            <w:pPr>
              <w:spacing w:after="0"/>
              <w:rPr>
                <w:sz w:val="20"/>
                <w:szCs w:val="20"/>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Leased Property</w:t>
            </w:r>
          </w:p>
        </w:tc>
        <w:tc>
          <w:tcPr>
            <w:tcW w:w="2220" w:type="dxa"/>
            <w:vAlign w:val="bottom"/>
            <w:gridSpan w:val="2"/>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3.15(c)​</w:t>
            </w: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Leases</w:t>
            </w:r>
          </w:p>
        </w:tc>
        <w:tc>
          <w:tcPr>
            <w:tcW w:w="22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3.15(c)​</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-6466840</wp:posOffset>
            </wp:positionV>
            <wp:extent cx="12128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100" w:type="dxa"/>
        <w:tblCellMar>
          <w:top w:w="0" w:type="dxa"/>
          <w:left w:w="0" w:type="dxa"/>
          <w:bottom w:w="0" w:type="dxa"/>
          <w:right w:w="0" w:type="dxa"/>
        </w:tblCellMar>
      </w:tblPr>
      <w:tr>
        <w:trPr>
          <w:trHeight w:val="335"/>
        </w:trPr>
        <w:tc>
          <w:tcPr>
            <w:tcW w:w="4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3"/>
                <w:szCs w:val="13"/>
                <w:b w:val="1"/>
                <w:bCs w:val="1"/>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Section   </w:t>
            </w:r>
            <w:r>
              <w:rPr>
                <w:rFonts w:ascii="Times New Roman" w:cs="Times New Roman" w:eastAsia="Times New Roman" w:hAnsi="Times New Roman"/>
                <w:sz w:val="25"/>
                <w:szCs w:val="25"/>
                <w:b w:val="1"/>
                <w:bCs w:val="1"/>
                <w:color w:val="auto"/>
                <w:vertAlign w:val="subscript"/>
              </w:rPr>
              <w:t>​</w:t>
            </w:r>
          </w:p>
        </w:tc>
      </w:tr>
      <w:tr>
        <w:trPr>
          <w:trHeight w:val="20"/>
        </w:trPr>
        <w:tc>
          <w:tcPr>
            <w:tcW w:w="46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Liens</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3.3(c)​</w:t>
            </w:r>
          </w:p>
        </w:tc>
        <w:tc>
          <w:tcPr>
            <w:tcW w:w="20" w:type="dxa"/>
            <w:vAlign w:val="bottom"/>
          </w:tcPr>
          <w:p>
            <w:pPr>
              <w:spacing w:after="0"/>
              <w:rPr>
                <w:sz w:val="18"/>
                <w:szCs w:val="18"/>
                <w:color w:val="auto"/>
              </w:rPr>
            </w:pPr>
          </w:p>
        </w:tc>
      </w:tr>
      <w:tr>
        <w:trPr>
          <w:trHeight w:val="22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Loan Investor</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3.20(c)​</w:t>
            </w:r>
          </w:p>
        </w:tc>
      </w:tr>
      <w:tr>
        <w:trPr>
          <w:trHeight w:val="22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3.19(a)​</w:t>
            </w:r>
          </w:p>
        </w:tc>
        <w:tc>
          <w:tcPr>
            <w:tcW w:w="20" w:type="dxa"/>
            <w:vAlign w:val="bottom"/>
          </w:tcPr>
          <w:p>
            <w:pPr>
              <w:spacing w:after="0"/>
              <w:rPr>
                <w:sz w:val="19"/>
                <w:szCs w:val="19"/>
                <w:color w:val="auto"/>
              </w:rPr>
            </w:pPr>
          </w:p>
        </w:tc>
      </w:tr>
      <w:tr>
        <w:trPr>
          <w:trHeight w:val="22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Material Adverse Effect</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9.1(b)(vi)​</w:t>
            </w:r>
          </w:p>
        </w:tc>
      </w:tr>
      <w:tr>
        <w:trPr>
          <w:trHeight w:val="22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Material Contract</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0" w:type="dxa"/>
            <w:vAlign w:val="bottom"/>
          </w:tcPr>
          <w:p>
            <w:pPr>
              <w:spacing w:after="0"/>
              <w:rPr>
                <w:sz w:val="19"/>
                <w:szCs w:val="19"/>
                <w:color w:val="auto"/>
              </w:rPr>
            </w:pPr>
          </w:p>
        </w:tc>
      </w:tr>
      <w:tr>
        <w:trPr>
          <w:trHeight w:val="22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Materially Burdensome Regulatory Condition</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6.4(a)​</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Maximum Cash Share Number</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Merger</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Merger Consideration</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1.5(b)(iii)​</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New Certificates</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Non-Election Shares</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1.5(a)(iii)​</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NYSE</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2.4(e)​</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Old Certificate</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1.5(c)​</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Order</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3.2(b)​</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OREO</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3.15(b)​</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Outside Date</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8.1(e)​</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Owned Real Property</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3.15(b)​</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Parent</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Parent Bank</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Parent Board</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Parent Common Stock</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4.3(a)​</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Parent Disclosure Memorandum</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Article 4​</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Parent Plans</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6.9(b)​</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Parent SEC Filings</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4.6(a)​</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Parent Severance Plan</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6.9(e)​</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Parent’s Knowledge</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9.1(b)(vii)​</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Share Cash Consideration</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1.5(b)(ii)​</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Permit</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3.2(b)​</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Permitted Encumbrances</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3.15(a)​</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Person</w:t>
            </w:r>
          </w:p>
        </w:tc>
        <w:tc>
          <w:tcPr>
            <w:tcW w:w="2600" w:type="dxa"/>
            <w:vAlign w:val="bottom"/>
            <w:gridSpan w:val="4"/>
          </w:tcPr>
          <w:p>
            <w:pPr>
              <w:ind w:left="1620"/>
              <w:spacing w:after="0"/>
              <w:rPr>
                <w:sz w:val="20"/>
                <w:szCs w:val="20"/>
                <w:color w:val="auto"/>
              </w:rPr>
            </w:pPr>
            <w:r>
              <w:rPr>
                <w:rFonts w:ascii="Times New Roman" w:cs="Times New Roman" w:eastAsia="Times New Roman" w:hAnsi="Times New Roman"/>
                <w:sz w:val="16"/>
                <w:szCs w:val="16"/>
                <w:color w:val="auto"/>
              </w:rPr>
              <w:t>​ ​ 9.1(b)(viii)​</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Personal Data</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3.8(f)​</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Proceeding</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3.9(a)​</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Proxy Statement/Prospectus</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Registration Statement</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Regulatory Agencies</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Regulatory Approvals</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3.2(c)​</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Party Agreement</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Requisite Company Shareholder Vote</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3.2(a)​</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3.2(c)​</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Securities Act</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Security Breach</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3.8(f)​</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Shortfall Number</w:t>
            </w:r>
          </w:p>
        </w:tc>
        <w:tc>
          <w:tcPr>
            <w:tcW w:w="18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2.1(a)(ii)​</w:t>
            </w: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Consideration</w:t>
            </w:r>
          </w:p>
        </w:tc>
        <w:tc>
          <w:tcPr>
            <w:tcW w:w="18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1.5(a)(ii)​</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4705350</wp:posOffset>
            </wp:positionH>
            <wp:positionV relativeFrom="paragraph">
              <wp:posOffset>-6466840</wp:posOffset>
            </wp:positionV>
            <wp:extent cx="12128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3"/>
          <w:szCs w:val="13"/>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32385</wp:posOffset>
            </wp:positionV>
            <wp:extent cx="4599305" cy="1511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4599305" cy="151130"/>
                    </a:xfrm>
                    <a:prstGeom prst="rect">
                      <a:avLst/>
                    </a:prstGeom>
                    <a:noFill/>
                  </pic:spPr>
                </pic:pic>
              </a:graphicData>
            </a:graphic>
          </wp:anchor>
        </w:drawing>
      </w:r>
    </w:p>
    <w:p>
      <w:pPr>
        <w:spacing w:after="0" w:line="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Stock Election</w:t>
      </w:r>
    </w:p>
    <w:p>
      <w:pPr>
        <w:spacing w:after="0" w:line="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Stock Election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14605</wp:posOffset>
            </wp:positionV>
            <wp:extent cx="4599305" cy="1435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4599305" cy="143510"/>
                    </a:xfrm>
                    <a:prstGeom prst="rect">
                      <a:avLst/>
                    </a:prstGeom>
                    <a:noFill/>
                  </pic:spPr>
                </pic:pic>
              </a:graphicData>
            </a:graphic>
          </wp:anchor>
        </w:drawing>
      </w:r>
    </w:p>
    <w:p>
      <w:pPr>
        <w:spacing w:after="0" w:line="2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Subsidiary</w:t>
      </w:r>
    </w:p>
    <w:p>
      <w:pPr>
        <w:spacing w:after="0" w:line="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14605</wp:posOffset>
            </wp:positionV>
            <wp:extent cx="4599305" cy="1511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4599305" cy="151130"/>
                    </a:xfrm>
                    <a:prstGeom prst="rect">
                      <a:avLst/>
                    </a:prstGeom>
                    <a:noFill/>
                  </pic:spPr>
                </pic:pic>
              </a:graphicData>
            </a:graphic>
          </wp:anchor>
        </w:drawing>
      </w:r>
    </w:p>
    <w:p>
      <w:pPr>
        <w:spacing w:after="0" w:line="3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Surviving Corporation</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Takeover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14605</wp:posOffset>
            </wp:positionV>
            <wp:extent cx="4599305" cy="1511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4599305" cy="151130"/>
                    </a:xfrm>
                    <a:prstGeom prst="rect">
                      <a:avLst/>
                    </a:prstGeom>
                    <a:noFill/>
                  </pic:spPr>
                </pic:pic>
              </a:graphicData>
            </a:graphic>
          </wp:anchor>
        </w:drawing>
      </w:r>
    </w:p>
    <w:p>
      <w:pPr>
        <w:spacing w:after="0" w:line="3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Tax</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Tax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14605</wp:posOffset>
            </wp:positionV>
            <wp:extent cx="4599305" cy="1511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4599305" cy="151130"/>
                    </a:xfrm>
                    <a:prstGeom prst="rect">
                      <a:avLst/>
                    </a:prstGeom>
                    <a:noFill/>
                  </pic:spPr>
                </pic:pic>
              </a:graphicData>
            </a:graphic>
          </wp:anchor>
        </w:drawing>
      </w:r>
    </w:p>
    <w:p>
      <w:pPr>
        <w:spacing w:after="0" w:line="3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Taxes</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14605</wp:posOffset>
            </wp:positionV>
            <wp:extent cx="4599305" cy="1511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4599305" cy="151130"/>
                    </a:xfrm>
                    <a:prstGeom prst="rect">
                      <a:avLst/>
                    </a:prstGeom>
                    <a:noFill/>
                  </pic:spPr>
                </pic:pic>
              </a:graphicData>
            </a:graphic>
          </wp:anchor>
        </w:drawing>
      </w:r>
    </w:p>
    <w:p>
      <w:pPr>
        <w:spacing w:after="0" w:line="3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Third Party</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Unaudited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14605</wp:posOffset>
            </wp:positionV>
            <wp:extent cx="4599305" cy="1511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4599305" cy="151130"/>
                    </a:xfrm>
                    <a:prstGeom prst="rect">
                      <a:avLst/>
                    </a:prstGeom>
                    <a:noFill/>
                  </pic:spPr>
                </pic:pic>
              </a:graphicData>
            </a:graphic>
          </wp:anchor>
        </w:drawing>
      </w:r>
    </w:p>
    <w:p>
      <w:pPr>
        <w:spacing w:after="0" w:line="3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Voting and Support Agreement</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Voting and Support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6"/>
          <w:szCs w:val="16"/>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Section</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37"/>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1.5(a)(ii)</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1.5(a)(ii)</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9.1(b)(ix)</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6.3(d)</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8.3(a)(ii)</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6.3(a)</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3.4(a)</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bl>
    <w:p>
      <w:pPr>
        <w:sectPr>
          <w:pgSz w:w="11900" w:h="16838" w:orient="portrait"/>
          <w:cols w:equalWidth="0" w:num="2">
            <w:col w:w="6720" w:space="720"/>
            <w:col w:w="1799"/>
          </w:cols>
          <w:pgMar w:left="1220" w:top="94"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136" w:lineRule="exact"/>
        <w:rPr>
          <w:sz w:val="20"/>
          <w:szCs w:val="20"/>
          <w:color w:val="auto"/>
        </w:rPr>
      </w:pPr>
    </w:p>
    <w:p>
      <w:pPr>
        <w:ind w:left="1100" w:right="1119" w:firstLine="318"/>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THIS AGREEMENT AND PLAN OF MERGER </w:t>
      </w:r>
      <w:r>
        <w:rPr>
          <w:rFonts w:ascii="Times New Roman" w:cs="Times New Roman" w:eastAsia="Times New Roman" w:hAnsi="Times New Roman"/>
          <w:sz w:val="16"/>
          <w:szCs w:val="16"/>
          <w:color w:val="auto"/>
        </w:rPr>
        <w:t>(this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dated as of April 20, 2026,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entered into by and between United Community Banks, Inc., a Georgia corporation (“</w:t>
      </w:r>
      <w:r>
        <w:rPr>
          <w:rFonts w:ascii="Times New Roman" w:cs="Times New Roman" w:eastAsia="Times New Roman" w:hAnsi="Times New Roman"/>
          <w:sz w:val="16"/>
          <w:szCs w:val="16"/>
          <w:b w:val="1"/>
          <w:bCs w:val="1"/>
          <w:i w:val="1"/>
          <w:iCs w:val="1"/>
          <w:color w:val="auto"/>
        </w:rPr>
        <w:t>Parent</w:t>
      </w:r>
      <w:r>
        <w:rPr>
          <w:rFonts w:ascii="Times New Roman" w:cs="Times New Roman" w:eastAsia="Times New Roman" w:hAnsi="Times New Roman"/>
          <w:sz w:val="16"/>
          <w:szCs w:val="16"/>
          <w:color w:val="auto"/>
        </w:rPr>
        <w:t>”), and Peach State Bancshares, Inc., a Georgia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WITNESSETH:</w:t>
      </w:r>
    </w:p>
    <w:p>
      <w:pPr>
        <w:spacing w:after="0" w:line="138" w:lineRule="exact"/>
        <w:rPr>
          <w:sz w:val="20"/>
          <w:szCs w:val="20"/>
          <w:color w:val="auto"/>
        </w:rPr>
      </w:pPr>
    </w:p>
    <w:p>
      <w:pPr>
        <w:ind w:left="1100" w:right="999" w:firstLine="318"/>
        <w:spacing w:after="0" w:line="26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parties intend that, on the terms and subject to the conditions set forth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the Company be merged with and into Parent (the “</w:t>
      </w:r>
      <w:r>
        <w:rPr>
          <w:rFonts w:ascii="Times New Roman" w:cs="Times New Roman" w:eastAsia="Times New Roman" w:hAnsi="Times New Roman"/>
          <w:sz w:val="16"/>
          <w:szCs w:val="16"/>
          <w:b w:val="1"/>
          <w:bCs w:val="1"/>
          <w:i w:val="1"/>
          <w:iCs w:val="1"/>
          <w:color w:val="auto"/>
        </w:rPr>
        <w:t>Merger</w:t>
      </w:r>
      <w:r>
        <w:rPr>
          <w:rFonts w:ascii="Times New Roman" w:cs="Times New Roman" w:eastAsia="Times New Roman" w:hAnsi="Times New Roman"/>
          <w:sz w:val="16"/>
          <w:szCs w:val="16"/>
          <w:color w:val="auto"/>
        </w:rPr>
        <w:t>”), with Parent surviving the Merger as the surviving corporation (hereinafter sometimes referred to in such capacity as the “</w:t>
      </w:r>
      <w:r>
        <w:rPr>
          <w:rFonts w:ascii="Times New Roman" w:cs="Times New Roman" w:eastAsia="Times New Roman" w:hAnsi="Times New Roman"/>
          <w:sz w:val="16"/>
          <w:szCs w:val="16"/>
          <w:b w:val="1"/>
          <w:bCs w:val="1"/>
          <w:i w:val="1"/>
          <w:iCs w:val="1"/>
          <w:color w:val="auto"/>
        </w:rPr>
        <w:t>Surviving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Corporation</w:t>
      </w:r>
      <w:r>
        <w:rPr>
          <w:rFonts w:ascii="Times New Roman" w:cs="Times New Roman" w:eastAsia="Times New Roman" w:hAnsi="Times New Roman"/>
          <w:sz w:val="16"/>
          <w:szCs w:val="16"/>
          <w:color w:val="auto"/>
        </w:rPr>
        <w:t>”);</w:t>
      </w:r>
    </w:p>
    <w:p>
      <w:pPr>
        <w:spacing w:after="0" w:line="2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Board of Directors of the Company (the “</w:t>
      </w:r>
      <w:r>
        <w:rPr>
          <w:rFonts w:ascii="Times New Roman" w:cs="Times New Roman" w:eastAsia="Times New Roman" w:hAnsi="Times New Roman"/>
          <w:sz w:val="16"/>
          <w:szCs w:val="16"/>
          <w:b w:val="1"/>
          <w:bCs w:val="1"/>
          <w:i w:val="1"/>
          <w:iCs w:val="1"/>
          <w:color w:val="auto"/>
        </w:rPr>
        <w:t>Company Board</w:t>
      </w:r>
      <w:r>
        <w:rPr>
          <w:rFonts w:ascii="Times New Roman" w:cs="Times New Roman" w:eastAsia="Times New Roman" w:hAnsi="Times New Roman"/>
          <w:sz w:val="16"/>
          <w:szCs w:val="16"/>
          <w:color w:val="auto"/>
        </w:rPr>
        <w:t>”) has unanimously</w:t>
      </w:r>
    </w:p>
    <w:p>
      <w:pPr>
        <w:spacing w:after="0" w:line="28" w:lineRule="exact"/>
        <w:rPr>
          <w:sz w:val="20"/>
          <w:szCs w:val="20"/>
          <w:color w:val="auto"/>
        </w:rPr>
      </w:pPr>
    </w:p>
    <w:p>
      <w:pPr>
        <w:ind w:left="1100" w:right="919" w:firstLine="3"/>
        <w:spacing w:after="0" w:line="248" w:lineRule="auto"/>
        <w:tabs>
          <w:tab w:leader="none" w:pos="132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approved and declared advisable this Agreement and the transactions contemplated hereby, including the Merger, upon the terms and subject to the conditions set forth herein, (b) determined that this Agreement and the transactions contemplated hereby, including the Merger, are fair to, and in the best interests of, the Company and its shareholders (the “</w:t>
      </w:r>
      <w:r>
        <w:rPr>
          <w:rFonts w:ascii="Times New Roman" w:cs="Times New Roman" w:eastAsia="Times New Roman" w:hAnsi="Times New Roman"/>
          <w:sz w:val="16"/>
          <w:szCs w:val="16"/>
          <w:b w:val="1"/>
          <w:bCs w:val="1"/>
          <w:i w:val="1"/>
          <w:iCs w:val="1"/>
          <w:color w:val="auto"/>
        </w:rPr>
        <w:t>Company Shareholders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b w:val="1"/>
          <w:bCs w:val="1"/>
          <w:i w:val="1"/>
          <w:iCs w:val="1"/>
          <w:color w:val="auto"/>
        </w:rPr>
        <w:t>Company Shareholder</w:t>
      </w:r>
      <w:r>
        <w:rPr>
          <w:rFonts w:ascii="Times New Roman" w:cs="Times New Roman" w:eastAsia="Times New Roman" w:hAnsi="Times New Roman"/>
          <w:sz w:val="16"/>
          <w:szCs w:val="16"/>
          <w:color w:val="auto"/>
        </w:rPr>
        <w:t>”) and</w:t>
      </w:r>
    </w:p>
    <w:p>
      <w:pPr>
        <w:spacing w:after="0" w:line="1" w:lineRule="exact"/>
        <w:rPr>
          <w:rFonts w:ascii="Times New Roman" w:cs="Times New Roman" w:eastAsia="Times New Roman" w:hAnsi="Times New Roman"/>
          <w:sz w:val="16"/>
          <w:szCs w:val="16"/>
          <w:color w:val="auto"/>
        </w:rPr>
      </w:pPr>
    </w:p>
    <w:p>
      <w:pPr>
        <w:ind w:left="1100" w:right="1659" w:firstLine="3"/>
        <w:spacing w:after="0" w:line="257" w:lineRule="auto"/>
        <w:tabs>
          <w:tab w:leader="none" w:pos="132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approved the execution, delivery and performance by the Company of this Agreement and the consummation of the transactions contemplated hereby, including the Merger;</w:t>
      </w:r>
    </w:p>
    <w:p>
      <w:pPr>
        <w:spacing w:after="0" w:line="97" w:lineRule="exact"/>
        <w:rPr>
          <w:sz w:val="20"/>
          <w:szCs w:val="20"/>
          <w:color w:val="auto"/>
        </w:rPr>
      </w:pPr>
    </w:p>
    <w:p>
      <w:pPr>
        <w:ind w:left="1100" w:right="919" w:firstLine="318"/>
        <w:spacing w:after="0" w:line="25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Board of Directors of Parent (the “</w:t>
      </w:r>
      <w:r>
        <w:rPr>
          <w:rFonts w:ascii="Times New Roman" w:cs="Times New Roman" w:eastAsia="Times New Roman" w:hAnsi="Times New Roman"/>
          <w:sz w:val="16"/>
          <w:szCs w:val="16"/>
          <w:b w:val="1"/>
          <w:bCs w:val="1"/>
          <w:i w:val="1"/>
          <w:iCs w:val="1"/>
          <w:color w:val="auto"/>
        </w:rPr>
        <w:t>Parent Board</w:t>
      </w:r>
      <w:r>
        <w:rPr>
          <w:rFonts w:ascii="Times New Roman" w:cs="Times New Roman" w:eastAsia="Times New Roman" w:hAnsi="Times New Roman"/>
          <w:sz w:val="16"/>
          <w:szCs w:val="16"/>
          <w:color w:val="auto"/>
        </w:rPr>
        <w:t>”) has unanimously (a) approved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declared advisable this Agreement and the transactions contemplated hereby, including the Merger, upon the terms and subject to the conditions set forth herein, (b) determined that this Agreement and the transactions contemplated hereby, including the Merger, are fair to, and in the best interests of, Parent and its shareholders and (c) approved the execution, delivery and performance by Parent of this Agreement and the consummation of the transactions contemplated hereby, including the Merger;</w:t>
      </w:r>
    </w:p>
    <w:p>
      <w:pPr>
        <w:spacing w:after="0" w:line="1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Board, subject to the terms of this Agreement, has resolved to</w:t>
      </w:r>
    </w:p>
    <w:p>
      <w:pPr>
        <w:spacing w:after="0" w:line="26" w:lineRule="exact"/>
        <w:rPr>
          <w:sz w:val="20"/>
          <w:szCs w:val="20"/>
          <w:color w:val="auto"/>
        </w:rPr>
      </w:pPr>
    </w:p>
    <w:p>
      <w:pPr>
        <w:ind w:left="1100" w:right="1379" w:firstLine="3"/>
        <w:spacing w:after="0" w:line="257" w:lineRule="auto"/>
        <w:tabs>
          <w:tab w:leader="none" w:pos="132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 that the Company Shareholders adopt and approve this Agreement and (b) submit this Agreement to the Company Shareholders for adoption and approval;</w:t>
      </w:r>
    </w:p>
    <w:p>
      <w:pPr>
        <w:spacing w:after="0" w:line="87" w:lineRule="exact"/>
        <w:rPr>
          <w:sz w:val="20"/>
          <w:szCs w:val="20"/>
          <w:color w:val="auto"/>
        </w:rPr>
      </w:pPr>
    </w:p>
    <w:p>
      <w:pPr>
        <w:ind w:left="1100" w:right="999" w:firstLine="318"/>
        <w:spacing w:after="0" w:line="26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parties intend that the Merger qualify as a “reorganization” within the meaning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Section 368(a) of the Internal Revenue Code of 1986, as amended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and that this Agreement be and is adopted as a plan of reorganization for purposes of Section 354 and Section 361 of the Code;</w:t>
      </w:r>
    </w:p>
    <w:p>
      <w:pPr>
        <w:spacing w:after="0" w:line="93" w:lineRule="exact"/>
        <w:rPr>
          <w:sz w:val="20"/>
          <w:szCs w:val="20"/>
          <w:color w:val="auto"/>
        </w:rPr>
      </w:pPr>
    </w:p>
    <w:p>
      <w:pPr>
        <w:ind w:left="1100" w:right="939" w:firstLine="318"/>
        <w:spacing w:after="0" w:line="25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a material inducement to and condition of Parent’s willingness to enter into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Agreement, concurrently with the execution and delivery of this Agreement, each of the directors of the Company listed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attached hereto, in their respective capacities as Company Shareholders, is entering into a voting and support agreement with Parent, effective as of the date hereof, substantially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b w:val="1"/>
          <w:bCs w:val="1"/>
          <w:i w:val="1"/>
          <w:iCs w:val="1"/>
          <w:color w:val="auto"/>
        </w:rPr>
        <w:t>Voting and Support Agreement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i w:val="1"/>
          <w:iCs w:val="1"/>
          <w:color w:val="auto"/>
        </w:rPr>
        <w:t>Voting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Support Agreements</w:t>
      </w:r>
      <w:r>
        <w:rPr>
          <w:rFonts w:ascii="Times New Roman" w:cs="Times New Roman" w:eastAsia="Times New Roman" w:hAnsi="Times New Roman"/>
          <w:sz w:val="16"/>
          <w:szCs w:val="16"/>
          <w:color w:val="auto"/>
        </w:rPr>
        <w:t>”); and</w:t>
      </w:r>
    </w:p>
    <w:p>
      <w:pPr>
        <w:spacing w:after="0" w:line="102" w:lineRule="exact"/>
        <w:rPr>
          <w:sz w:val="20"/>
          <w:szCs w:val="20"/>
          <w:color w:val="auto"/>
        </w:rPr>
      </w:pPr>
    </w:p>
    <w:p>
      <w:pPr>
        <w:ind w:left="1100" w:right="919" w:firstLine="318"/>
        <w:spacing w:after="0" w:line="281"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parties desire to make certain representations, warranties, covenants and agreements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the Merger and also to prescribe various conditions to the Merger.</w:t>
      </w:r>
    </w:p>
    <w:p>
      <w:pPr>
        <w:spacing w:after="0" w:line="69" w:lineRule="exact"/>
        <w:rPr>
          <w:sz w:val="20"/>
          <w:szCs w:val="20"/>
          <w:color w:val="auto"/>
        </w:rPr>
      </w:pPr>
    </w:p>
    <w:p>
      <w:pPr>
        <w:ind w:left="1100" w:right="1359" w:firstLine="318"/>
        <w:spacing w:after="0" w:line="265"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above and the mutual representations, warranties,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covenants and agreements set forth herein, and other good and valuable consideration, the receipt and sufficiency of which are acknowledged, the parties, intending to be legally bound, agree as follows:</w:t>
      </w:r>
    </w:p>
    <w:p>
      <w:pPr>
        <w:spacing w:after="0" w:line="1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THE MERGER</w:t>
      </w:r>
    </w:p>
    <w:p>
      <w:pPr>
        <w:spacing w:after="0" w:line="119" w:lineRule="exact"/>
        <w:rPr>
          <w:sz w:val="20"/>
          <w:szCs w:val="20"/>
          <w:color w:val="auto"/>
        </w:rPr>
      </w:pPr>
    </w:p>
    <w:p>
      <w:pPr>
        <w:ind w:left="1100" w:right="1219" w:firstLine="318"/>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1.1 The Merger. </w:t>
      </w:r>
      <w:r>
        <w:rPr>
          <w:rFonts w:ascii="Times New Roman" w:cs="Times New Roman" w:eastAsia="Times New Roman" w:hAnsi="Times New Roman"/>
          <w:sz w:val="16"/>
          <w:szCs w:val="16"/>
          <w:color w:val="auto"/>
        </w:rPr>
        <w:t>Subject to the terms and conditions of this Agreement, at the Effective Time,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shall be merged with and into Parent pursuant to and with the effect provided in the Georgia Business Corporation Code (the “</w:t>
      </w:r>
      <w:r>
        <w:rPr>
          <w:rFonts w:ascii="Times New Roman" w:cs="Times New Roman" w:eastAsia="Times New Roman" w:hAnsi="Times New Roman"/>
          <w:sz w:val="16"/>
          <w:szCs w:val="16"/>
          <w:b w:val="1"/>
          <w:bCs w:val="1"/>
          <w:i w:val="1"/>
          <w:iCs w:val="1"/>
          <w:color w:val="auto"/>
        </w:rPr>
        <w:t>GBCC</w:t>
      </w:r>
      <w:r>
        <w:rPr>
          <w:rFonts w:ascii="Times New Roman" w:cs="Times New Roman" w:eastAsia="Times New Roman" w:hAnsi="Times New Roman"/>
          <w:sz w:val="16"/>
          <w:szCs w:val="16"/>
          <w:color w:val="auto"/>
        </w:rPr>
        <w:t>”). Parent shall be the Surviving Corporation resulting from the Merger and shall continue its corporate existence under the laws of the State of Georgia. Upon consummation of the Merger, the separate corporate existence of the Company shall cease.</w:t>
      </w:r>
    </w:p>
    <w:p>
      <w:pPr>
        <w:spacing w:after="0" w:line="3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00" w:right="1019" w:firstLine="318"/>
        <w:spacing w:after="0" w:line="255" w:lineRule="auto"/>
        <w:rPr>
          <w:sz w:val="20"/>
          <w:szCs w:val="20"/>
          <w:color w:val="auto"/>
        </w:rPr>
      </w:pPr>
      <w:r>
        <w:rPr>
          <w:rFonts w:ascii="Times New Roman" w:cs="Times New Roman" w:eastAsia="Times New Roman" w:hAnsi="Times New Roman"/>
          <w:sz w:val="16"/>
          <w:szCs w:val="16"/>
          <w:b w:val="1"/>
          <w:bCs w:val="1"/>
          <w:color w:val="auto"/>
        </w:rPr>
        <w:t>1.2 Closing</w:t>
      </w:r>
      <w:r>
        <w:rPr>
          <w:rFonts w:ascii="Times New Roman" w:cs="Times New Roman" w:eastAsia="Times New Roman" w:hAnsi="Times New Roman"/>
          <w:sz w:val="16"/>
          <w:szCs w:val="16"/>
          <w:color w:val="auto"/>
        </w:rPr>
        <w:t>. The closing of the Merger (the “</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will occur by electronic exchange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documents at 9:00 a.m. Eastern Time on a date which shall be the first Business Day of the first calendar month following the satisfaction or waiver (where legally permissible) of the latest to occur of the conditions set forth in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xml:space="preserve"> (other than those conditions that by their nature can be satisfied only at the Closing, but subject to the satisfaction or waiver of all conditions at the Closing), unless another date, time or place is agreed to in writing by the Company and Parent. The date on which the Closing occurs is referred to as the “</w:t>
      </w:r>
      <w:r>
        <w:rPr>
          <w:rFonts w:ascii="Times New Roman" w:cs="Times New Roman" w:eastAsia="Times New Roman" w:hAnsi="Times New Roman"/>
          <w:sz w:val="16"/>
          <w:szCs w:val="16"/>
          <w:b w:val="1"/>
          <w:bCs w:val="1"/>
          <w:i w:val="1"/>
          <w:iCs w:val="1"/>
          <w:color w:val="auto"/>
        </w:rPr>
        <w:t>Closing Date</w:t>
      </w:r>
      <w:r>
        <w:rPr>
          <w:rFonts w:ascii="Times New Roman" w:cs="Times New Roman" w:eastAsia="Times New Roman" w:hAnsi="Times New Roman"/>
          <w:sz w:val="16"/>
          <w:szCs w:val="16"/>
          <w:color w:val="auto"/>
        </w:rPr>
        <w:t>.”</w:t>
      </w:r>
    </w:p>
    <w:p>
      <w:pPr>
        <w:spacing w:after="0" w:line="29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1.3 Articles of Merger and Effective Time</w:t>
      </w:r>
      <w:r>
        <w:rPr>
          <w:rFonts w:ascii="Times New Roman" w:cs="Times New Roman" w:eastAsia="Times New Roman" w:hAnsi="Times New Roman"/>
          <w:sz w:val="16"/>
          <w:szCs w:val="16"/>
          <w:color w:val="auto"/>
        </w:rPr>
        <w:t>.  At the Closing, the parties shall cause articles of merger,</w:t>
      </w:r>
    </w:p>
    <w:p>
      <w:pPr>
        <w:spacing w:after="0" w:line="2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the forms of which shall be agreed upon in good faith by the parties prior to the Closing, to be duly</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executed and filed with the Secretary of State of the State of Georgia as provided under the GBCC (the</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Articles of Merger</w:t>
      </w:r>
      <w:r>
        <w:rPr>
          <w:rFonts w:ascii="Times New Roman" w:cs="Times New Roman" w:eastAsia="Times New Roman" w:hAnsi="Times New Roman"/>
          <w:sz w:val="16"/>
          <w:szCs w:val="16"/>
          <w:color w:val="auto"/>
        </w:rPr>
        <w:t>), and shall make any other filings, recordings or publications required to be made by the</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Company or Parent under the GBCC in connection with the Merger. The Merger shall become effective as</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set forth in the Articles of Merger, and the “</w:t>
      </w:r>
      <w:r>
        <w:rPr>
          <w:rFonts w:ascii="Times New Roman" w:cs="Times New Roman" w:eastAsia="Times New Roman" w:hAnsi="Times New Roman"/>
          <w:sz w:val="16"/>
          <w:szCs w:val="16"/>
          <w:b w:val="1"/>
          <w:bCs w:val="1"/>
          <w:i w:val="1"/>
          <w:iCs w:val="1"/>
          <w:color w:val="auto"/>
        </w:rPr>
        <w:t>Effective Time</w:t>
      </w:r>
      <w:r>
        <w:rPr>
          <w:rFonts w:ascii="Times New Roman" w:cs="Times New Roman" w:eastAsia="Times New Roman" w:hAnsi="Times New Roman"/>
          <w:sz w:val="16"/>
          <w:szCs w:val="16"/>
          <w:color w:val="auto"/>
        </w:rPr>
        <w:t>” shall mean the date and time when the Merger</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becomes effective as set forth in the Articles of Merger.</w:t>
      </w:r>
    </w:p>
    <w:p>
      <w:pPr>
        <w:spacing w:after="0" w:line="119" w:lineRule="exact"/>
        <w:rPr>
          <w:sz w:val="20"/>
          <w:szCs w:val="20"/>
          <w:color w:val="auto"/>
        </w:rPr>
      </w:pPr>
    </w:p>
    <w:p>
      <w:pPr>
        <w:ind w:left="1100" w:right="899" w:firstLine="318"/>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1.4 Effects of the Merger. </w:t>
      </w:r>
      <w:r>
        <w:rPr>
          <w:rFonts w:ascii="Times New Roman" w:cs="Times New Roman" w:eastAsia="Times New Roman" w:hAnsi="Times New Roman"/>
          <w:sz w:val="16"/>
          <w:szCs w:val="16"/>
          <w:color w:val="auto"/>
        </w:rPr>
        <w:t>At and after the Effective Time, the Merger shall have the effects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applicable provisions of the GBCC.</w:t>
      </w:r>
    </w:p>
    <w:p>
      <w:pPr>
        <w:spacing w:after="0" w:line="69" w:lineRule="exact"/>
        <w:rPr>
          <w:sz w:val="20"/>
          <w:szCs w:val="20"/>
          <w:color w:val="auto"/>
        </w:rPr>
      </w:pPr>
    </w:p>
    <w:p>
      <w:pPr>
        <w:jc w:val="both"/>
        <w:ind w:left="1100" w:right="1299" w:firstLine="318"/>
        <w:spacing w:after="0" w:line="265" w:lineRule="auto"/>
        <w:rPr>
          <w:sz w:val="20"/>
          <w:szCs w:val="20"/>
          <w:color w:val="auto"/>
        </w:rPr>
      </w:pPr>
      <w:r>
        <w:rPr>
          <w:rFonts w:ascii="Times New Roman" w:cs="Times New Roman" w:eastAsia="Times New Roman" w:hAnsi="Times New Roman"/>
          <w:sz w:val="16"/>
          <w:szCs w:val="16"/>
          <w:b w:val="1"/>
          <w:bCs w:val="1"/>
          <w:color w:val="auto"/>
        </w:rPr>
        <w:t>1.5 Conversion of Company Common Stock</w:t>
      </w:r>
      <w:r>
        <w:rPr>
          <w:rFonts w:ascii="Times New Roman" w:cs="Times New Roman" w:eastAsia="Times New Roman" w:hAnsi="Times New Roman"/>
          <w:sz w:val="16"/>
          <w:szCs w:val="16"/>
          <w:color w:val="auto"/>
        </w:rPr>
        <w:t>. Subject to the provisions of this Agreement, 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Effective Time, automatically by virtue of the Merger and without any action on the part of Parent, the Company or the holder of any of the following securities:</w:t>
      </w:r>
    </w:p>
    <w:p>
      <w:pPr>
        <w:spacing w:after="0" w:line="95" w:lineRule="exact"/>
        <w:rPr>
          <w:sz w:val="20"/>
          <w:szCs w:val="20"/>
          <w:color w:val="auto"/>
        </w:rPr>
      </w:pPr>
    </w:p>
    <w:p>
      <w:pPr>
        <w:ind w:left="1100" w:right="939" w:firstLine="320"/>
        <w:spacing w:after="0" w:line="253" w:lineRule="auto"/>
        <w:tabs>
          <w:tab w:leader="none" w:pos="1732"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2.4(e)</w:t>
      </w:r>
      <w:r>
        <w:rPr>
          <w:rFonts w:ascii="Times New Roman" w:cs="Times New Roman" w:eastAsia="Times New Roman" w:hAnsi="Times New Roman"/>
          <w:sz w:val="16"/>
          <w:szCs w:val="16"/>
          <w:color w:val="auto"/>
        </w:rPr>
        <w:t>, each share of common stock of the Company, $5.00 par value per share (“</w:t>
      </w:r>
      <w:r>
        <w:rPr>
          <w:rFonts w:ascii="Times New Roman" w:cs="Times New Roman" w:eastAsia="Times New Roman" w:hAnsi="Times New Roman"/>
          <w:sz w:val="16"/>
          <w:szCs w:val="16"/>
          <w:b w:val="1"/>
          <w:bCs w:val="1"/>
          <w:i w:val="1"/>
          <w:iCs w:val="1"/>
          <w:color w:val="auto"/>
        </w:rPr>
        <w:t>Company Common Stock</w:t>
      </w:r>
      <w:r>
        <w:rPr>
          <w:rFonts w:ascii="Times New Roman" w:cs="Times New Roman" w:eastAsia="Times New Roman" w:hAnsi="Times New Roman"/>
          <w:sz w:val="16"/>
          <w:szCs w:val="16"/>
          <w:color w:val="auto"/>
        </w:rPr>
        <w:t>”), issued and outstanding immediately prior to the Effective Time, except for shares of Company Common Stock owned by the Company as treasury stock or owned by the Company or Parent (in each case other shares in trust accounts, managed accounts and the like for the benefit of employees or customers or otherwise held in a fiduciary or agency capacity or as a result of debts previously contracted, or shares held as collateral for outstanding debt previously contracted) and except for Dissenting Shares, shall be converted into the right to receive, without interest:</w:t>
      </w:r>
    </w:p>
    <w:p>
      <w:pPr>
        <w:spacing w:after="0" w:line="107" w:lineRule="exact"/>
        <w:rPr>
          <w:rFonts w:ascii="Times New Roman" w:cs="Times New Roman" w:eastAsia="Times New Roman" w:hAnsi="Times New Roman"/>
          <w:sz w:val="16"/>
          <w:szCs w:val="16"/>
          <w:color w:val="auto"/>
        </w:rPr>
      </w:pPr>
    </w:p>
    <w:p>
      <w:pPr>
        <w:ind w:left="1420" w:right="1059" w:firstLine="318"/>
        <w:spacing w:after="0" w:line="258" w:lineRule="auto"/>
        <w:tabs>
          <w:tab w:leader="none" w:pos="2025"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share of Company Common Stock with respect to which an election to receive cash (a “</w:t>
      </w:r>
      <w:r>
        <w:rPr>
          <w:rFonts w:ascii="Times New Roman" w:cs="Times New Roman" w:eastAsia="Times New Roman" w:hAnsi="Times New Roman"/>
          <w:sz w:val="16"/>
          <w:szCs w:val="16"/>
          <w:b w:val="1"/>
          <w:bCs w:val="1"/>
          <w:i w:val="1"/>
          <w:iCs w:val="1"/>
          <w:color w:val="auto"/>
        </w:rPr>
        <w:t>Cash Election</w:t>
      </w:r>
      <w:r>
        <w:rPr>
          <w:rFonts w:ascii="Times New Roman" w:cs="Times New Roman" w:eastAsia="Times New Roman" w:hAnsi="Times New Roman"/>
          <w:sz w:val="16"/>
          <w:szCs w:val="16"/>
          <w:color w:val="auto"/>
        </w:rPr>
        <w:t xml:space="preserve">”) has been effectively made and not revoked or deemed revoked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b w:val="1"/>
          <w:bCs w:val="1"/>
          <w:i w:val="1"/>
          <w:iCs w:val="1"/>
          <w:color w:val="auto"/>
        </w:rPr>
        <w:t>Cash Election Shares</w:t>
      </w:r>
      <w:r>
        <w:rPr>
          <w:rFonts w:ascii="Times New Roman" w:cs="Times New Roman" w:eastAsia="Times New Roman" w:hAnsi="Times New Roman"/>
          <w:sz w:val="16"/>
          <w:szCs w:val="16"/>
          <w:color w:val="auto"/>
        </w:rPr>
        <w:t>”), an amount in cash equal to the Per Share Cash Consideration (the “</w:t>
      </w:r>
      <w:r>
        <w:rPr>
          <w:rFonts w:ascii="Times New Roman" w:cs="Times New Roman" w:eastAsia="Times New Roman" w:hAnsi="Times New Roman"/>
          <w:sz w:val="16"/>
          <w:szCs w:val="16"/>
          <w:b w:val="1"/>
          <w:bCs w:val="1"/>
          <w:i w:val="1"/>
          <w:iCs w:val="1"/>
          <w:color w:val="auto"/>
        </w:rPr>
        <w:t>Cash Consideration</w:t>
      </w:r>
      <w:r>
        <w:rPr>
          <w:rFonts w:ascii="Times New Roman" w:cs="Times New Roman" w:eastAsia="Times New Roman" w:hAnsi="Times New Roman"/>
          <w:sz w:val="16"/>
          <w:szCs w:val="16"/>
          <w:color w:val="auto"/>
        </w:rPr>
        <w:t>”);</w:t>
      </w:r>
    </w:p>
    <w:p>
      <w:pPr>
        <w:spacing w:after="0" w:line="90" w:lineRule="exact"/>
        <w:rPr>
          <w:rFonts w:ascii="Times New Roman" w:cs="Times New Roman" w:eastAsia="Times New Roman" w:hAnsi="Times New Roman"/>
          <w:sz w:val="16"/>
          <w:szCs w:val="16"/>
          <w:color w:val="auto"/>
        </w:rPr>
      </w:pPr>
    </w:p>
    <w:p>
      <w:pPr>
        <w:jc w:val="both"/>
        <w:ind w:left="1420" w:right="1039" w:firstLine="318"/>
        <w:spacing w:after="0" w:line="256" w:lineRule="auto"/>
        <w:tabs>
          <w:tab w:leader="none" w:pos="2073"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share of Company Common Stock with respect to which an election to receive Parent Common Stock (a “</w:t>
      </w:r>
      <w:r>
        <w:rPr>
          <w:rFonts w:ascii="Times New Roman" w:cs="Times New Roman" w:eastAsia="Times New Roman" w:hAnsi="Times New Roman"/>
          <w:sz w:val="16"/>
          <w:szCs w:val="16"/>
          <w:b w:val="1"/>
          <w:bCs w:val="1"/>
          <w:i w:val="1"/>
          <w:iCs w:val="1"/>
          <w:color w:val="auto"/>
        </w:rPr>
        <w:t>Stock Election</w:t>
      </w:r>
      <w:r>
        <w:rPr>
          <w:rFonts w:ascii="Times New Roman" w:cs="Times New Roman" w:eastAsia="Times New Roman" w:hAnsi="Times New Roman"/>
          <w:sz w:val="16"/>
          <w:szCs w:val="16"/>
          <w:color w:val="auto"/>
        </w:rPr>
        <w:t xml:space="preserve">”) has been effectively made and not revoked or deemed revoked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b w:val="1"/>
          <w:bCs w:val="1"/>
          <w:i w:val="1"/>
          <w:iCs w:val="1"/>
          <w:color w:val="auto"/>
        </w:rPr>
        <w:t>Stock Election Shares</w:t>
      </w:r>
      <w:r>
        <w:rPr>
          <w:rFonts w:ascii="Times New Roman" w:cs="Times New Roman" w:eastAsia="Times New Roman" w:hAnsi="Times New Roman"/>
          <w:sz w:val="16"/>
          <w:szCs w:val="16"/>
          <w:color w:val="auto"/>
        </w:rPr>
        <w:t>”), a number of validly issued, fully paid and nonassessable shares of Parent Common Stock equal to the Exchange Ratio (the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Consideration</w:t>
      </w:r>
      <w:r>
        <w:rPr>
          <w:rFonts w:ascii="Times New Roman" w:cs="Times New Roman" w:eastAsia="Times New Roman" w:hAnsi="Times New Roman"/>
          <w:sz w:val="16"/>
          <w:szCs w:val="16"/>
          <w:color w:val="auto"/>
        </w:rPr>
        <w:t>”); and</w:t>
      </w:r>
    </w:p>
    <w:p>
      <w:pPr>
        <w:spacing w:after="0" w:line="102" w:lineRule="exact"/>
        <w:rPr>
          <w:rFonts w:ascii="Times New Roman" w:cs="Times New Roman" w:eastAsia="Times New Roman" w:hAnsi="Times New Roman"/>
          <w:sz w:val="16"/>
          <w:szCs w:val="16"/>
          <w:color w:val="auto"/>
        </w:rPr>
      </w:pPr>
    </w:p>
    <w:p>
      <w:pPr>
        <w:ind w:left="1420" w:right="979" w:firstLine="318"/>
        <w:spacing w:after="0" w:line="258" w:lineRule="auto"/>
        <w:tabs>
          <w:tab w:leader="none" w:pos="212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each share of Company Common Stock other than shares as to which a Cash Election or Stock Election has been effectively made and not revoked or deemed revoked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b w:val="1"/>
          <w:bCs w:val="1"/>
          <w:i w:val="1"/>
          <w:iCs w:val="1"/>
          <w:color w:val="auto"/>
        </w:rPr>
        <w:t>Non-Election Shares</w:t>
      </w:r>
      <w:r>
        <w:rPr>
          <w:rFonts w:ascii="Times New Roman" w:cs="Times New Roman" w:eastAsia="Times New Roman" w:hAnsi="Times New Roman"/>
          <w:sz w:val="16"/>
          <w:szCs w:val="16"/>
          <w:color w:val="auto"/>
        </w:rPr>
        <w:t xml:space="preserve">”), the right to receive such Stock Consideration or Cash Consideration as is determined in accordance with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102" w:lineRule="exact"/>
        <w:rPr>
          <w:rFonts w:ascii="Times New Roman" w:cs="Times New Roman" w:eastAsia="Times New Roman" w:hAnsi="Times New Roman"/>
          <w:sz w:val="16"/>
          <w:szCs w:val="16"/>
          <w:color w:val="auto"/>
        </w:rPr>
      </w:pPr>
    </w:p>
    <w:p>
      <w:pPr>
        <w:ind w:left="1740" w:hanging="320"/>
        <w:spacing w:after="0"/>
        <w:tabs>
          <w:tab w:leader="none" w:pos="174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the following terms shall have the following meanings:</w:t>
      </w:r>
    </w:p>
    <w:p>
      <w:pPr>
        <w:spacing w:after="0" w:line="121" w:lineRule="exact"/>
        <w:rPr>
          <w:rFonts w:ascii="Times New Roman" w:cs="Times New Roman" w:eastAsia="Times New Roman" w:hAnsi="Times New Roman"/>
          <w:sz w:val="16"/>
          <w:szCs w:val="16"/>
          <w:color w:val="auto"/>
        </w:rPr>
      </w:pPr>
    </w:p>
    <w:p>
      <w:pPr>
        <w:ind w:left="2020" w:hanging="282"/>
        <w:spacing w:after="0"/>
        <w:tabs>
          <w:tab w:leader="none" w:pos="202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i w:val="1"/>
          <w:iCs w:val="1"/>
          <w:color w:val="auto"/>
        </w:rPr>
        <w:t>Exchange Ratio</w:t>
      </w:r>
      <w:r>
        <w:rPr>
          <w:rFonts w:ascii="Times New Roman" w:cs="Times New Roman" w:eastAsia="Times New Roman" w:hAnsi="Times New Roman"/>
          <w:sz w:val="16"/>
          <w:szCs w:val="16"/>
          <w:color w:val="auto"/>
        </w:rPr>
        <w:t>” means 0.8978.</w:t>
      </w:r>
    </w:p>
    <w:p>
      <w:pPr>
        <w:spacing w:after="0" w:line="137" w:lineRule="exact"/>
        <w:rPr>
          <w:rFonts w:ascii="Times New Roman" w:cs="Times New Roman" w:eastAsia="Times New Roman" w:hAnsi="Times New Roman"/>
          <w:sz w:val="16"/>
          <w:szCs w:val="16"/>
          <w:color w:val="auto"/>
        </w:rPr>
      </w:pPr>
    </w:p>
    <w:p>
      <w:pPr>
        <w:ind w:left="2080" w:hanging="342"/>
        <w:spacing w:after="0"/>
        <w:tabs>
          <w:tab w:leader="none" w:pos="208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i w:val="1"/>
          <w:iCs w:val="1"/>
          <w:color w:val="auto"/>
        </w:rPr>
        <w:t>Per Share Cash Consideration</w:t>
      </w:r>
      <w:r>
        <w:rPr>
          <w:rFonts w:ascii="Times New Roman" w:cs="Times New Roman" w:eastAsia="Times New Roman" w:hAnsi="Times New Roman"/>
          <w:sz w:val="16"/>
          <w:szCs w:val="16"/>
          <w:color w:val="auto"/>
        </w:rPr>
        <w:t>” means $31.75.</w:t>
      </w:r>
    </w:p>
    <w:p>
      <w:pPr>
        <w:spacing w:after="0" w:line="137" w:lineRule="exact"/>
        <w:rPr>
          <w:rFonts w:ascii="Times New Roman" w:cs="Times New Roman" w:eastAsia="Times New Roman" w:hAnsi="Times New Roman"/>
          <w:sz w:val="16"/>
          <w:szCs w:val="16"/>
          <w:color w:val="auto"/>
        </w:rPr>
      </w:pPr>
    </w:p>
    <w:p>
      <w:pPr>
        <w:ind w:left="1420" w:right="1359" w:firstLine="318"/>
        <w:spacing w:after="0" w:line="284" w:lineRule="auto"/>
        <w:tabs>
          <w:tab w:leader="none" w:pos="2117"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i w:val="1"/>
          <w:iCs w:val="1"/>
          <w:color w:val="auto"/>
        </w:rPr>
        <w:t>Merger Consideration</w:t>
      </w:r>
      <w:r>
        <w:rPr>
          <w:rFonts w:ascii="Times New Roman" w:cs="Times New Roman" w:eastAsia="Times New Roman" w:hAnsi="Times New Roman"/>
          <w:sz w:val="16"/>
          <w:szCs w:val="16"/>
          <w:color w:val="auto"/>
        </w:rPr>
        <w:t xml:space="preserve">” means the Cash Consideration and/or Stock Consideration described in </w:t>
      </w:r>
      <w:r>
        <w:rPr>
          <w:rFonts w:ascii="Times New Roman" w:cs="Times New Roman" w:eastAsia="Times New Roman" w:hAnsi="Times New Roman"/>
          <w:sz w:val="16"/>
          <w:szCs w:val="16"/>
          <w:u w:val="single" w:color="auto"/>
          <w:color w:val="auto"/>
        </w:rPr>
        <w:t>Section 1.5(a)</w:t>
      </w:r>
      <w:r>
        <w:rPr>
          <w:rFonts w:ascii="Times New Roman" w:cs="Times New Roman" w:eastAsia="Times New Roman" w:hAnsi="Times New Roman"/>
          <w:sz w:val="16"/>
          <w:szCs w:val="16"/>
          <w:color w:val="auto"/>
        </w:rPr>
        <w:t>, as applicable.</w:t>
      </w:r>
    </w:p>
    <w:p>
      <w:pPr>
        <w:spacing w:after="0" w:line="68" w:lineRule="exact"/>
        <w:rPr>
          <w:rFonts w:ascii="Times New Roman" w:cs="Times New Roman" w:eastAsia="Times New Roman" w:hAnsi="Times New Roman"/>
          <w:sz w:val="16"/>
          <w:szCs w:val="16"/>
          <w:color w:val="auto"/>
        </w:rPr>
      </w:pPr>
    </w:p>
    <w:p>
      <w:pPr>
        <w:ind w:left="1100" w:right="999" w:firstLine="320"/>
        <w:spacing w:after="0" w:line="263" w:lineRule="auto"/>
        <w:tabs>
          <w:tab w:leader="none" w:pos="1723"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of the shares of Company Common Stock converted into the right to receive the Merger Consideration pursuant to this </w:t>
      </w:r>
      <w:r>
        <w:rPr>
          <w:rFonts w:ascii="Times New Roman" w:cs="Times New Roman" w:eastAsia="Times New Roman" w:hAnsi="Times New Roman"/>
          <w:sz w:val="16"/>
          <w:szCs w:val="16"/>
          <w:u w:val="single" w:color="auto"/>
          <w:color w:val="auto"/>
        </w:rPr>
        <w:t>Article 1</w:t>
      </w:r>
      <w:r>
        <w:rPr>
          <w:rFonts w:ascii="Times New Roman" w:cs="Times New Roman" w:eastAsia="Times New Roman" w:hAnsi="Times New Roman"/>
          <w:sz w:val="16"/>
          <w:szCs w:val="16"/>
          <w:color w:val="auto"/>
        </w:rPr>
        <w:t xml:space="preserve"> shall no longer be outstanding and shall automatically be cancelled and shall cease to exist as of the Effective Time, and each certificate (each, an “</w:t>
      </w:r>
      <w:r>
        <w:rPr>
          <w:rFonts w:ascii="Times New Roman" w:cs="Times New Roman" w:eastAsia="Times New Roman" w:hAnsi="Times New Roman"/>
          <w:sz w:val="16"/>
          <w:szCs w:val="16"/>
          <w:b w:val="1"/>
          <w:bCs w:val="1"/>
          <w:i w:val="1"/>
          <w:iCs w:val="1"/>
          <w:color w:val="auto"/>
        </w:rPr>
        <w:t>Old Certificate</w:t>
      </w:r>
      <w:r>
        <w:rPr>
          <w:rFonts w:ascii="Times New Roman" w:cs="Times New Roman" w:eastAsia="Times New Roman" w:hAnsi="Times New Roman"/>
          <w:sz w:val="16"/>
          <w:szCs w:val="16"/>
          <w:color w:val="auto"/>
        </w:rPr>
        <w:t>,” it being</w:t>
      </w:r>
    </w:p>
    <w:p>
      <w:pPr>
        <w:spacing w:after="0" w:line="3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19" w:name="page120"/>
    <w:bookmarkEnd w:id="11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100" w:right="919"/>
        <w:spacing w:after="0" w:line="246" w:lineRule="auto"/>
        <w:rPr>
          <w:sz w:val="20"/>
          <w:szCs w:val="20"/>
          <w:color w:val="auto"/>
        </w:rPr>
      </w:pPr>
      <w:r>
        <w:rPr>
          <w:rFonts w:ascii="Times New Roman" w:cs="Times New Roman" w:eastAsia="Times New Roman" w:hAnsi="Times New Roman"/>
          <w:sz w:val="16"/>
          <w:szCs w:val="16"/>
          <w:color w:val="auto"/>
        </w:rPr>
        <w:t xml:space="preserve">understood that any reference herein to “Old Certificate” shall be deemed to include reference to book-entry account statements relating to the ownership of shares of Company Common Stock) previously representing any such shares of Company Common Stock shall thereafter represent only the right to receive (i) the Cash Consideration and/or the Stock Consideration in accordance with, and subject to, </w:t>
      </w:r>
      <w:r>
        <w:rPr>
          <w:rFonts w:ascii="Times New Roman" w:cs="Times New Roman" w:eastAsia="Times New Roman" w:hAnsi="Times New Roman"/>
          <w:sz w:val="16"/>
          <w:szCs w:val="16"/>
          <w:u w:val="single" w:color="auto"/>
          <w:color w:val="auto"/>
        </w:rPr>
        <w:t>Sections 1.5(a)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w:t>
      </w:r>
      <w:r>
        <w:rPr>
          <w:rFonts w:ascii="Times New Roman" w:cs="Times New Roman" w:eastAsia="Times New Roman" w:hAnsi="Times New Roman"/>
          <w:sz w:val="16"/>
          <w:szCs w:val="16"/>
          <w:color w:val="auto"/>
        </w:rPr>
        <w:t xml:space="preserve"> and</w:t>
      </w:r>
    </w:p>
    <w:p>
      <w:pPr>
        <w:spacing w:after="0" w:line="1" w:lineRule="exact"/>
        <w:rPr>
          <w:sz w:val="20"/>
          <w:szCs w:val="20"/>
          <w:color w:val="auto"/>
        </w:rPr>
      </w:pPr>
    </w:p>
    <w:p>
      <w:pPr>
        <w:ind w:left="1100" w:right="899"/>
        <w:spacing w:after="0"/>
        <w:rPr>
          <w:sz w:val="20"/>
          <w:szCs w:val="20"/>
          <w:color w:val="auto"/>
        </w:rPr>
      </w:pP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(ii) cash in lieu of fractional shares which the shares of Company Common Stock represented by such Old Certificate have been converted into the right to receive pursuant to this </w:t>
      </w: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2.4(e)</w:t>
      </w:r>
      <w:r>
        <w:rPr>
          <w:rFonts w:ascii="Times New Roman" w:cs="Times New Roman" w:eastAsia="Times New Roman" w:hAnsi="Times New Roman"/>
          <w:sz w:val="16"/>
          <w:szCs w:val="16"/>
          <w:color w:val="auto"/>
        </w:rPr>
        <w:t xml:space="preserve">, without any interest thereon, and (iii) any dividends or distributions which the holder thereof has the right to receive pursuant to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Old Certificates previously representing shares of Company Common Stock shall be exchanged for certificates representing the Stock Consideration (together with any dividends or distributions with respect thereto and cash in lieu of fractional shares issued in consideration therefor) or the Cash Consideration, as applicable, upon the surrender of such Old Certificates in accordance with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without any interest thereon. If, prior to the Effective Time, the outstanding shares of Parent Common Stock or Company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or there shall be any extraordinary dividend or distribution, an appropriate and proportionate adjustment shall be made to each of the Per Share Cash Consideration and the Exchange Ratio to give holders of Company Common Stock the same economic effect as contemplated by this Agreement prior to such event;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contained in this sentence shall be construed to permit the Company or Parent to take any action with respect to its securities or otherwise that is prohibited by the terms of this Agreement.</w:t>
      </w:r>
    </w:p>
    <w:p>
      <w:pPr>
        <w:spacing w:after="0" w:line="268" w:lineRule="exact"/>
        <w:rPr>
          <w:sz w:val="20"/>
          <w:szCs w:val="20"/>
          <w:color w:val="auto"/>
        </w:rPr>
      </w:pPr>
    </w:p>
    <w:p>
      <w:pPr>
        <w:ind w:left="1100" w:right="899" w:firstLine="320"/>
        <w:spacing w:after="0" w:line="250" w:lineRule="auto"/>
        <w:tabs>
          <w:tab w:leader="none" w:pos="1741"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set forth in this Agreement, shares of Company Common Stock issued and outstanding immediately prior to the Effective Time and held by a holder who has properly exercised dissenters’ rights in respect of such shares (such shares being referred to collectively as the “</w:t>
      </w:r>
      <w:r>
        <w:rPr>
          <w:rFonts w:ascii="Times New Roman" w:cs="Times New Roman" w:eastAsia="Times New Roman" w:hAnsi="Times New Roman"/>
          <w:sz w:val="16"/>
          <w:szCs w:val="16"/>
          <w:b w:val="1"/>
          <w:bCs w:val="1"/>
          <w:i w:val="1"/>
          <w:iCs w:val="1"/>
          <w:color w:val="auto"/>
        </w:rPr>
        <w:t>Dissenting Shares</w:t>
      </w:r>
      <w:r>
        <w:rPr>
          <w:rFonts w:ascii="Times New Roman" w:cs="Times New Roman" w:eastAsia="Times New Roman" w:hAnsi="Times New Roman"/>
          <w:sz w:val="16"/>
          <w:szCs w:val="16"/>
          <w:color w:val="auto"/>
        </w:rPr>
        <w:t>” until such time as such holder fails to perfect, withdraws or otherwise loses such holder’s dissenters’ rights under applicable Law with respect to such shares) in accordance with Title 14, Chapter 2, Article 13 of the GBCC (the “</w:t>
      </w:r>
      <w:r>
        <w:rPr>
          <w:rFonts w:ascii="Times New Roman" w:cs="Times New Roman" w:eastAsia="Times New Roman" w:hAnsi="Times New Roman"/>
          <w:sz w:val="16"/>
          <w:szCs w:val="16"/>
          <w:b w:val="1"/>
          <w:bCs w:val="1"/>
          <w:i w:val="1"/>
          <w:iCs w:val="1"/>
          <w:color w:val="auto"/>
        </w:rPr>
        <w:t>Appraisal Statutes</w:t>
      </w:r>
      <w:r>
        <w:rPr>
          <w:rFonts w:ascii="Times New Roman" w:cs="Times New Roman" w:eastAsia="Times New Roman" w:hAnsi="Times New Roman"/>
          <w:sz w:val="16"/>
          <w:szCs w:val="16"/>
          <w:color w:val="auto"/>
        </w:rPr>
        <w:t xml:space="preserve">”) shall not be converted into a right to receive the Merger Consideration but instead shall be entitled to payment of such consideration as may be determined to be due in accordance with the Appraisal Statutes;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if, after the Effective Time, such holder fails to perfect, withdraws or otherwise loses such holder’s right to dissent pursuant to the Appraisal Statutes, or if a court of competent jurisdiction shall determine that such holder is not entitled to the relief provided by the Appraisal Statutes, such shares of Company Common Stock shall be treated as if they had been converted as of the Effective Time into the right to receive the Merger Consideration in accordance with </w:t>
      </w:r>
      <w:r>
        <w:rPr>
          <w:rFonts w:ascii="Times New Roman" w:cs="Times New Roman" w:eastAsia="Times New Roman" w:hAnsi="Times New Roman"/>
          <w:sz w:val="16"/>
          <w:szCs w:val="16"/>
          <w:u w:val="single" w:color="auto"/>
          <w:color w:val="auto"/>
        </w:rPr>
        <w:t>Section 1.5(a)</w:t>
      </w:r>
      <w:r>
        <w:rPr>
          <w:rFonts w:ascii="Times New Roman" w:cs="Times New Roman" w:eastAsia="Times New Roman" w:hAnsi="Times New Roman"/>
          <w:sz w:val="16"/>
          <w:szCs w:val="16"/>
          <w:color w:val="auto"/>
        </w:rPr>
        <w:t xml:space="preserve"> above, without interest thereon, upon surrender of such shares of Company Common Stock. The Company shall give prompt notice to Parent of any demands received by the Company from a record or beneficial holder of Company Common Stock for appraisal, of any withdrawals of such demands and of any other documents or instruments received by the Company related to the foregoing, and Parent shall direct all negotiations and proceedings with respect to such demands. Prior to the Effective Time, the Company shall not, without the prior written consent of Parent, make any payment with respect to, or settle or compromise or offer to settle or compromise, any such demand, or agree to any such appraisal demands.</w:t>
      </w:r>
    </w:p>
    <w:p>
      <w:pPr>
        <w:spacing w:after="0" w:line="301" w:lineRule="exact"/>
        <w:rPr>
          <w:rFonts w:ascii="Times New Roman" w:cs="Times New Roman" w:eastAsia="Times New Roman" w:hAnsi="Times New Roman"/>
          <w:sz w:val="16"/>
          <w:szCs w:val="16"/>
          <w:color w:val="auto"/>
        </w:rPr>
      </w:pPr>
    </w:p>
    <w:p>
      <w:pPr>
        <w:ind w:left="1100" w:right="899" w:firstLine="320"/>
        <w:spacing w:after="0" w:line="254" w:lineRule="auto"/>
        <w:tabs>
          <w:tab w:leader="none" w:pos="1732"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in this Agreement to the contrary, at the Effective Time, all shares of Company Common Stock that are owned by the Company as treasury stock or owned by the Company or Parent (in each case other shares in trust accounts, managed accounts and the like for the benefit of employees or customers or otherwise held in a fiduciary or agency capacity or as a result of debts previously contracted, or shares held as collateral for outstanding debt previously contracted) shall be cancelled and shall cease to exist and neither the Merger Consideration nor any other consideration shall be delivered in exchange therefor.</w:t>
      </w:r>
    </w:p>
    <w:p>
      <w:pPr>
        <w:spacing w:after="0" w:line="2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1.6  Treatment of Company Stock Options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1039" w:firstLine="320"/>
        <w:spacing w:after="0" w:line="256" w:lineRule="auto"/>
        <w:tabs>
          <w:tab w:leader="none" w:pos="1723"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each outstanding stock option granted by the Company to purchase shares of Company Common Stock (each, a “Company Stock Option”) under an equity compensation plan or program of the Company or otherwise, whether vested or unvested, shall, automatically and without any required action on the part of Parent or the holder thereof, be converted into the right to receive an amount in cash equal to the product of (i) the excess of (x) the Per Share Cash Consideration over (y) the exercise</w:t>
      </w:r>
    </w:p>
    <w:p>
      <w:pPr>
        <w:spacing w:after="0" w:line="3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spacing w:after="0" w:line="254" w:lineRule="auto"/>
        <w:rPr>
          <w:sz w:val="20"/>
          <w:szCs w:val="20"/>
          <w:color w:val="auto"/>
        </w:rPr>
      </w:pPr>
      <w:r>
        <w:rPr>
          <w:rFonts w:ascii="Times New Roman" w:cs="Times New Roman" w:eastAsia="Times New Roman" w:hAnsi="Times New Roman"/>
          <w:sz w:val="16"/>
          <w:szCs w:val="16"/>
          <w:color w:val="auto"/>
        </w:rPr>
        <w:t>price per share of Company Common Stock subject to such Company Stock Option and (ii) the number of shares of Company Common Stock subject to such Company Stock Option immediately prior to the Effective Time, in each case without interest and less applicable withholding Taxes. Notwithstanding the foregoing, any Company Stock Option that has an exercise price per share that is greater than or equal to the Per Share Cash Consideration, whether vested or unvested, shall be cancelled at the Effective Time for no consideration or payment in respect thereof.</w:t>
      </w:r>
    </w:p>
    <w:p>
      <w:pPr>
        <w:spacing w:after="0" w:line="106" w:lineRule="exact"/>
        <w:rPr>
          <w:sz w:val="20"/>
          <w:szCs w:val="20"/>
          <w:color w:val="auto"/>
        </w:rPr>
      </w:pPr>
    </w:p>
    <w:p>
      <w:pPr>
        <w:ind w:left="1100" w:right="899" w:firstLine="320"/>
        <w:spacing w:after="0" w:line="256" w:lineRule="auto"/>
        <w:tabs>
          <w:tab w:leader="none" w:pos="174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Effective Time, the Company Board (or, if appropriate, any committee of the Company Board administering the Company Stock Options) shall adopt such resolutions and take such other actions as may be necessary or appropriate to effectuate the actions contemplated in this Section 1.6, in order to ensure that from and after the Effective Time, the only entitlement of the holder of a Company Stock Option is to receive the payment under Section 1.6(a) (if any).</w:t>
      </w:r>
    </w:p>
    <w:p>
      <w:pPr>
        <w:spacing w:after="0" w:line="102" w:lineRule="exact"/>
        <w:rPr>
          <w:rFonts w:ascii="Times New Roman" w:cs="Times New Roman" w:eastAsia="Times New Roman" w:hAnsi="Times New Roman"/>
          <w:sz w:val="16"/>
          <w:szCs w:val="16"/>
          <w:color w:val="auto"/>
        </w:rPr>
      </w:pPr>
    </w:p>
    <w:p>
      <w:pPr>
        <w:jc w:val="both"/>
        <w:ind w:left="1100" w:right="1199" w:firstLine="320"/>
        <w:spacing w:after="0" w:line="258" w:lineRule="auto"/>
        <w:tabs>
          <w:tab w:leader="none" w:pos="172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following the Effective Time (but in no event later than the first payroll date that is at least five (5) Business Days following the Effective Time), Parent shall, or shall cause the Surviving Corporation to, pay all cash amounts payable pursuant to this Section 1.6 through the payroll system of Parent or the Surviving Corporation.</w:t>
      </w:r>
    </w:p>
    <w:p>
      <w:pPr>
        <w:spacing w:after="0" w:line="88" w:lineRule="exact"/>
        <w:rPr>
          <w:sz w:val="20"/>
          <w:szCs w:val="20"/>
          <w:color w:val="auto"/>
        </w:rPr>
      </w:pPr>
    </w:p>
    <w:p>
      <w:pPr>
        <w:ind w:left="1100" w:right="919" w:firstLine="318"/>
        <w:spacing w:after="0" w:line="265" w:lineRule="auto"/>
        <w:rPr>
          <w:sz w:val="20"/>
          <w:szCs w:val="20"/>
          <w:color w:val="auto"/>
        </w:rPr>
      </w:pPr>
      <w:r>
        <w:rPr>
          <w:rFonts w:ascii="Times New Roman" w:cs="Times New Roman" w:eastAsia="Times New Roman" w:hAnsi="Times New Roman"/>
          <w:sz w:val="16"/>
          <w:szCs w:val="16"/>
          <w:b w:val="1"/>
          <w:bCs w:val="1"/>
          <w:color w:val="auto"/>
        </w:rPr>
        <w:t>1.7 Parent Common Stock</w:t>
      </w:r>
      <w:r>
        <w:rPr>
          <w:rFonts w:ascii="Times New Roman" w:cs="Times New Roman" w:eastAsia="Times New Roman" w:hAnsi="Times New Roman"/>
          <w:sz w:val="16"/>
          <w:szCs w:val="16"/>
          <w:color w:val="auto"/>
        </w:rPr>
        <w:t>. At and after the Effective Time, each share of Parent Common Stock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issued and outstanding immediately prior to the Effective Time shall remain an issued and outstanding share of common stock of the Surviving Corporation and shall not be affected by the Merger.</w:t>
      </w:r>
    </w:p>
    <w:p>
      <w:pPr>
        <w:spacing w:after="0" w:line="93" w:lineRule="exact"/>
        <w:rPr>
          <w:sz w:val="20"/>
          <w:szCs w:val="20"/>
          <w:color w:val="auto"/>
        </w:rPr>
      </w:pPr>
    </w:p>
    <w:p>
      <w:pPr>
        <w:ind w:left="1100" w:right="1199" w:firstLine="318"/>
        <w:spacing w:after="0" w:line="265" w:lineRule="auto"/>
        <w:rPr>
          <w:sz w:val="20"/>
          <w:szCs w:val="20"/>
          <w:color w:val="auto"/>
        </w:rPr>
      </w:pPr>
      <w:r>
        <w:rPr>
          <w:rFonts w:ascii="Times New Roman" w:cs="Times New Roman" w:eastAsia="Times New Roman" w:hAnsi="Times New Roman"/>
          <w:sz w:val="16"/>
          <w:szCs w:val="16"/>
          <w:b w:val="1"/>
          <w:bCs w:val="1"/>
          <w:color w:val="auto"/>
        </w:rPr>
        <w:t>1.8 Articles of Incorporation of Surviving Corporation</w:t>
      </w:r>
      <w:r>
        <w:rPr>
          <w:rFonts w:ascii="Times New Roman" w:cs="Times New Roman" w:eastAsia="Times New Roman" w:hAnsi="Times New Roman"/>
          <w:sz w:val="16"/>
          <w:szCs w:val="16"/>
          <w:color w:val="auto"/>
        </w:rPr>
        <w:t>. At the Effective Time, the articles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incorporation of Parent in effect immediately prior to the Effective Time shall be the articles of incorporation of the Surviving Corporation until thereafter amended in accordance with applicable Law.</w:t>
      </w:r>
    </w:p>
    <w:p>
      <w:pPr>
        <w:spacing w:after="0" w:line="93" w:lineRule="exact"/>
        <w:rPr>
          <w:sz w:val="20"/>
          <w:szCs w:val="20"/>
          <w:color w:val="auto"/>
        </w:rPr>
      </w:pPr>
    </w:p>
    <w:p>
      <w:pPr>
        <w:ind w:left="1100" w:right="1179" w:firstLine="318"/>
        <w:spacing w:after="0" w:line="265" w:lineRule="auto"/>
        <w:rPr>
          <w:sz w:val="20"/>
          <w:szCs w:val="20"/>
          <w:color w:val="auto"/>
        </w:rPr>
      </w:pPr>
      <w:r>
        <w:rPr>
          <w:rFonts w:ascii="Times New Roman" w:cs="Times New Roman" w:eastAsia="Times New Roman" w:hAnsi="Times New Roman"/>
          <w:sz w:val="16"/>
          <w:szCs w:val="16"/>
          <w:b w:val="1"/>
          <w:bCs w:val="1"/>
          <w:color w:val="auto"/>
        </w:rPr>
        <w:t>1.9 Bylaws of Surviving Corporation</w:t>
      </w:r>
      <w:r>
        <w:rPr>
          <w:rFonts w:ascii="Times New Roman" w:cs="Times New Roman" w:eastAsia="Times New Roman" w:hAnsi="Times New Roman"/>
          <w:sz w:val="16"/>
          <w:szCs w:val="16"/>
          <w:color w:val="auto"/>
        </w:rPr>
        <w:t>. At the Effective Time, the bylaws of Parent in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immediately prior to the Effective Time shall be the bylaws of the Surviving Corporation until thereafter amended in accordance with applicable Law.</w:t>
      </w:r>
    </w:p>
    <w:p>
      <w:pPr>
        <w:spacing w:after="0" w:line="81" w:lineRule="exact"/>
        <w:rPr>
          <w:sz w:val="20"/>
          <w:szCs w:val="20"/>
          <w:color w:val="auto"/>
        </w:rPr>
      </w:pPr>
    </w:p>
    <w:p>
      <w:pPr>
        <w:ind w:left="1100" w:right="939" w:firstLine="318"/>
        <w:spacing w:after="0" w:line="265" w:lineRule="auto"/>
        <w:rPr>
          <w:sz w:val="20"/>
          <w:szCs w:val="20"/>
          <w:color w:val="auto"/>
        </w:rPr>
      </w:pPr>
      <w:r>
        <w:rPr>
          <w:rFonts w:ascii="Times New Roman" w:cs="Times New Roman" w:eastAsia="Times New Roman" w:hAnsi="Times New Roman"/>
          <w:sz w:val="16"/>
          <w:szCs w:val="16"/>
          <w:b w:val="1"/>
          <w:bCs w:val="1"/>
          <w:color w:val="auto"/>
        </w:rPr>
        <w:t>1.10 Directors and Officers of Surviving Corporation</w:t>
      </w:r>
      <w:r>
        <w:rPr>
          <w:rFonts w:ascii="Times New Roman" w:cs="Times New Roman" w:eastAsia="Times New Roman" w:hAnsi="Times New Roman"/>
          <w:sz w:val="16"/>
          <w:szCs w:val="16"/>
          <w:color w:val="auto"/>
        </w:rPr>
        <w:t>. The directors and officers of Parent as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immediately prior to the Effective Time shall continue to serve as the directors and officers of the Surviving Corporation from and after the Effective Time.</w:t>
      </w:r>
    </w:p>
    <w:p>
      <w:pPr>
        <w:spacing w:after="0" w:line="93" w:lineRule="exact"/>
        <w:rPr>
          <w:sz w:val="20"/>
          <w:szCs w:val="20"/>
          <w:color w:val="auto"/>
        </w:rPr>
      </w:pPr>
    </w:p>
    <w:p>
      <w:pPr>
        <w:ind w:left="1100" w:right="939" w:firstLine="318"/>
        <w:spacing w:after="0" w:line="251" w:lineRule="auto"/>
        <w:rPr>
          <w:sz w:val="20"/>
          <w:szCs w:val="20"/>
          <w:color w:val="auto"/>
        </w:rPr>
      </w:pPr>
      <w:r>
        <w:rPr>
          <w:rFonts w:ascii="Times New Roman" w:cs="Times New Roman" w:eastAsia="Times New Roman" w:hAnsi="Times New Roman"/>
          <w:sz w:val="16"/>
          <w:szCs w:val="16"/>
          <w:b w:val="1"/>
          <w:bCs w:val="1"/>
          <w:color w:val="auto"/>
        </w:rPr>
        <w:t>1.11 Bank Merger</w:t>
      </w:r>
      <w:r>
        <w:rPr>
          <w:rFonts w:ascii="Times New Roman" w:cs="Times New Roman" w:eastAsia="Times New Roman" w:hAnsi="Times New Roman"/>
          <w:sz w:val="16"/>
          <w:szCs w:val="16"/>
          <w:color w:val="auto"/>
        </w:rPr>
        <w:t>. Immediately following the Merger, Peach State Bank &amp; Trust, a state-chartered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bank organized under the laws of the State of Georgia and direct, wholly-owned Subsidiary of the Company (“</w:t>
      </w:r>
      <w:r>
        <w:rPr>
          <w:rFonts w:ascii="Times New Roman" w:cs="Times New Roman" w:eastAsia="Times New Roman" w:hAnsi="Times New Roman"/>
          <w:sz w:val="16"/>
          <w:szCs w:val="16"/>
          <w:b w:val="1"/>
          <w:bCs w:val="1"/>
          <w:i w:val="1"/>
          <w:iCs w:val="1"/>
          <w:color w:val="auto"/>
        </w:rPr>
        <w:t>Company Bank</w:t>
      </w:r>
      <w:r>
        <w:rPr>
          <w:rFonts w:ascii="Times New Roman" w:cs="Times New Roman" w:eastAsia="Times New Roman" w:hAnsi="Times New Roman"/>
          <w:sz w:val="16"/>
          <w:szCs w:val="16"/>
          <w:color w:val="auto"/>
        </w:rPr>
        <w:t>”), shall merge (the “</w:t>
      </w:r>
      <w:r>
        <w:rPr>
          <w:rFonts w:ascii="Times New Roman" w:cs="Times New Roman" w:eastAsia="Times New Roman" w:hAnsi="Times New Roman"/>
          <w:sz w:val="16"/>
          <w:szCs w:val="16"/>
          <w:b w:val="1"/>
          <w:bCs w:val="1"/>
          <w:i w:val="1"/>
          <w:iCs w:val="1"/>
          <w:color w:val="auto"/>
        </w:rPr>
        <w:t>Bank Merger</w:t>
      </w:r>
      <w:r>
        <w:rPr>
          <w:rFonts w:ascii="Times New Roman" w:cs="Times New Roman" w:eastAsia="Times New Roman" w:hAnsi="Times New Roman"/>
          <w:sz w:val="16"/>
          <w:szCs w:val="16"/>
          <w:color w:val="auto"/>
        </w:rPr>
        <w:t>”) with and into United Community Bank, a South Carolina state-chartered bank and wholly-owned Subsidiary of Parent (“</w:t>
      </w:r>
      <w:r>
        <w:rPr>
          <w:rFonts w:ascii="Times New Roman" w:cs="Times New Roman" w:eastAsia="Times New Roman" w:hAnsi="Times New Roman"/>
          <w:sz w:val="16"/>
          <w:szCs w:val="16"/>
          <w:b w:val="1"/>
          <w:bCs w:val="1"/>
          <w:i w:val="1"/>
          <w:iCs w:val="1"/>
          <w:color w:val="auto"/>
        </w:rPr>
        <w:t>Parent Bank</w:t>
      </w:r>
      <w:r>
        <w:rPr>
          <w:rFonts w:ascii="Times New Roman" w:cs="Times New Roman" w:eastAsia="Times New Roman" w:hAnsi="Times New Roman"/>
          <w:sz w:val="16"/>
          <w:szCs w:val="16"/>
          <w:color w:val="auto"/>
        </w:rPr>
        <w:t xml:space="preserve">”). Parent Bank shall be the surviving entity in the Bank Merger and, following the Bank Merger, the separate corporate existence of Company Bank shall cease. The parties agree that the Bank Merger shall become effective immediately following the Effective Time. The Bank Merger shall be implemented pursuant to an agreement and plan of merger, in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Bank Merger Agreement</w:t>
      </w:r>
      <w:r>
        <w:rPr>
          <w:rFonts w:ascii="Times New Roman" w:cs="Times New Roman" w:eastAsia="Times New Roman" w:hAnsi="Times New Roman"/>
          <w:sz w:val="16"/>
          <w:szCs w:val="16"/>
          <w:color w:val="auto"/>
        </w:rPr>
        <w:t>”), which shall be entered into by Company Bank and Parent Bank promptly following the execution of this Agreement. Each of the Company and Parent shall adopt and approve the Bank Merger Agreement and the Bank Merger as the sole shareholder of Company Bank and Parent Bank, respectively, and the Company shall cause Company Bank, and Parent shall cause Parent Bank, to execute such articles of merger or statements of merger (the “</w:t>
      </w:r>
      <w:r>
        <w:rPr>
          <w:rFonts w:ascii="Times New Roman" w:cs="Times New Roman" w:eastAsia="Times New Roman" w:hAnsi="Times New Roman"/>
          <w:sz w:val="16"/>
          <w:szCs w:val="16"/>
          <w:b w:val="1"/>
          <w:bCs w:val="1"/>
          <w:i w:val="1"/>
          <w:iCs w:val="1"/>
          <w:color w:val="auto"/>
        </w:rPr>
        <w:t>Bank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Articles of Merger</w:t>
      </w:r>
      <w:r>
        <w:rPr>
          <w:rFonts w:ascii="Times New Roman" w:cs="Times New Roman" w:eastAsia="Times New Roman" w:hAnsi="Times New Roman"/>
          <w:sz w:val="16"/>
          <w:szCs w:val="16"/>
          <w:color w:val="auto"/>
        </w:rPr>
        <w:t>”) and such other documents and certificates as are necessary to cause the Bank Merger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become effective immediately following the Effective Time.</w:t>
      </w:r>
    </w:p>
    <w:p>
      <w:pPr>
        <w:spacing w:after="0" w:line="16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ARTICLE 2</w:t>
      </w:r>
    </w:p>
    <w:p>
      <w:pPr>
        <w:spacing w:after="0" w:line="2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OF SHARES</w:t>
      </w:r>
    </w:p>
    <w:p>
      <w:pPr>
        <w:spacing w:after="0" w:line="119" w:lineRule="exact"/>
        <w:rPr>
          <w:sz w:val="20"/>
          <w:szCs w:val="20"/>
          <w:color w:val="auto"/>
        </w:rPr>
      </w:pPr>
    </w:p>
    <w:p>
      <w:pPr>
        <w:ind w:left="1100" w:right="999" w:firstLine="318"/>
        <w:spacing w:after="0" w:line="260" w:lineRule="auto"/>
        <w:rPr>
          <w:sz w:val="20"/>
          <w:szCs w:val="20"/>
          <w:color w:val="auto"/>
        </w:rPr>
      </w:pPr>
      <w:r>
        <w:rPr>
          <w:rFonts w:ascii="Times New Roman" w:cs="Times New Roman" w:eastAsia="Times New Roman" w:hAnsi="Times New Roman"/>
          <w:sz w:val="16"/>
          <w:szCs w:val="16"/>
          <w:b w:val="1"/>
          <w:bCs w:val="1"/>
          <w:color w:val="auto"/>
        </w:rPr>
        <w:t>2.1 Proration</w:t>
      </w:r>
      <w:r>
        <w:rPr>
          <w:rFonts w:ascii="Times New Roman" w:cs="Times New Roman" w:eastAsia="Times New Roman" w:hAnsi="Times New Roman"/>
          <w:sz w:val="16"/>
          <w:szCs w:val="16"/>
          <w:color w:val="auto"/>
        </w:rPr>
        <w:t>. Notwithstanding any other provision contained in this Agreement, the total number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of Company Common Stock to be entitled to receive the Cash Consideration pursuant to</w:t>
      </w:r>
    </w:p>
    <w:p>
      <w:pPr>
        <w:spacing w:after="0" w:line="1" w:lineRule="exact"/>
        <w:rPr>
          <w:sz w:val="20"/>
          <w:szCs w:val="20"/>
          <w:color w:val="auto"/>
        </w:rPr>
      </w:pPr>
    </w:p>
    <w:p>
      <w:pPr>
        <w:ind w:left="1100" w:right="939"/>
        <w:spacing w:after="0" w:line="252" w:lineRule="auto"/>
        <w:rPr>
          <w:sz w:val="20"/>
          <w:szCs w:val="20"/>
          <w:color w:val="auto"/>
        </w:rPr>
      </w:pPr>
      <w:r>
        <w:rPr>
          <w:rFonts w:ascii="Times New Roman" w:cs="Times New Roman" w:eastAsia="Times New Roman" w:hAnsi="Times New Roman"/>
          <w:sz w:val="16"/>
          <w:szCs w:val="16"/>
          <w:u w:val="single" w:color="auto"/>
          <w:color w:val="auto"/>
        </w:rPr>
        <w:t>Section 1.5(a)</w:t>
      </w:r>
      <w:r>
        <w:rPr>
          <w:rFonts w:ascii="Times New Roman" w:cs="Times New Roman" w:eastAsia="Times New Roman" w:hAnsi="Times New Roman"/>
          <w:sz w:val="16"/>
          <w:szCs w:val="16"/>
          <w:color w:val="auto"/>
        </w:rPr>
        <w:t xml:space="preserve"> shall be equal to fifty percent (50%) of the aggregate number of shares of Company Common Stock issued and outstanding immediately prior to the Effective Time (excluding the shares of Company Common Stock to be cancelled as provided in </w:t>
      </w:r>
      <w:r>
        <w:rPr>
          <w:rFonts w:ascii="Times New Roman" w:cs="Times New Roman" w:eastAsia="Times New Roman" w:hAnsi="Times New Roman"/>
          <w:sz w:val="16"/>
          <w:szCs w:val="16"/>
          <w:u w:val="single" w:color="auto"/>
          <w:color w:val="auto"/>
        </w:rPr>
        <w:t>Section 1.5(e)</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i w:val="1"/>
          <w:iCs w:val="1"/>
          <w:color w:val="auto"/>
        </w:rPr>
        <w:t>Maximum Cash Share Number</w:t>
      </w:r>
      <w:r>
        <w:rPr>
          <w:rFonts w:ascii="Times New Roman" w:cs="Times New Roman" w:eastAsia="Times New Roman" w:hAnsi="Times New Roman"/>
          <w:sz w:val="16"/>
          <w:szCs w:val="16"/>
          <w:color w:val="auto"/>
        </w:rPr>
        <w:t>”).</w:t>
      </w: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019" w:firstLine="320"/>
        <w:spacing w:after="0" w:line="249" w:lineRule="auto"/>
        <w:tabs>
          <w:tab w:leader="none" w:pos="1723"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practicable after the Effective Time, but no later than five (5) Business Days after the Effective Time, Parent shall cause the Exchange Agent to effect the allocation among holders of Company Common Stock of rights to receive the Cash Consideration and the Stock Consideration as follows:</w:t>
      </w:r>
    </w:p>
    <w:p>
      <w:pPr>
        <w:spacing w:after="0" w:line="285" w:lineRule="exact"/>
        <w:rPr>
          <w:rFonts w:ascii="Times New Roman" w:cs="Times New Roman" w:eastAsia="Times New Roman" w:hAnsi="Times New Roman"/>
          <w:sz w:val="16"/>
          <w:szCs w:val="16"/>
          <w:color w:val="auto"/>
        </w:rPr>
      </w:pPr>
    </w:p>
    <w:p>
      <w:pPr>
        <w:ind w:left="1420" w:right="939" w:firstLine="318"/>
        <w:spacing w:after="0" w:line="241" w:lineRule="auto"/>
        <w:tabs>
          <w:tab w:leader="none" w:pos="2025"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aggregate number of shares of Company Common Stock with respect to which Cash Elections shall have been made (which, for this purpose, shall be deemed to include the Dissenting Shares determined as of the Effective Time) (the “</w:t>
      </w:r>
      <w:r>
        <w:rPr>
          <w:rFonts w:ascii="Times New Roman" w:cs="Times New Roman" w:eastAsia="Times New Roman" w:hAnsi="Times New Roman"/>
          <w:sz w:val="16"/>
          <w:szCs w:val="16"/>
          <w:b w:val="1"/>
          <w:bCs w:val="1"/>
          <w:i w:val="1"/>
          <w:iCs w:val="1"/>
          <w:color w:val="auto"/>
        </w:rPr>
        <w:t>Cash Election Number</w:t>
      </w:r>
      <w:r>
        <w:rPr>
          <w:rFonts w:ascii="Times New Roman" w:cs="Times New Roman" w:eastAsia="Times New Roman" w:hAnsi="Times New Roman"/>
          <w:sz w:val="16"/>
          <w:szCs w:val="16"/>
          <w:color w:val="auto"/>
        </w:rPr>
        <w:t xml:space="preserve">”) exceeds the Maximum Cash Share Number, then all Stock Election Shares and all Non-Election Shares shall be converted into the right to receive the Stock Consideration, and Cash Election Shares of each holder thereof will be converted into the right to receive the Cash Consideration in respect of that number of Cash Election Shares equal to the product obtained by multiplying (x) the number of Cash Election Shares held by such holder by (y) a fraction, the numerator of which is the Maximum Cash Share Number and the denominator of which is the Cash Election Number (with the Exchange Agent to determine, consistent with this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whether fractions of Cash Election Shares shall be rounded up or down), with the remaining number of such holder’s Cash Election Shares being converted into the right to receive the Stock Consideration; and</w:t>
      </w:r>
    </w:p>
    <w:p>
      <w:pPr>
        <w:spacing w:after="0" w:line="290" w:lineRule="exact"/>
        <w:rPr>
          <w:rFonts w:ascii="Times New Roman" w:cs="Times New Roman" w:eastAsia="Times New Roman" w:hAnsi="Times New Roman"/>
          <w:sz w:val="16"/>
          <w:szCs w:val="16"/>
          <w:color w:val="auto"/>
        </w:rPr>
      </w:pPr>
    </w:p>
    <w:p>
      <w:pPr>
        <w:ind w:left="1420" w:right="899" w:firstLine="318"/>
        <w:spacing w:after="0" w:line="244" w:lineRule="auto"/>
        <w:tabs>
          <w:tab w:leader="none" w:pos="2073"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Cash Election Number is less than the Maximum Cash Share Number (the amount by which the Maximum Cash Share Number exceeds the Cash Election Number being referred to herein as the “</w:t>
      </w:r>
      <w:r>
        <w:rPr>
          <w:rFonts w:ascii="Times New Roman" w:cs="Times New Roman" w:eastAsia="Times New Roman" w:hAnsi="Times New Roman"/>
          <w:sz w:val="16"/>
          <w:szCs w:val="16"/>
          <w:b w:val="1"/>
          <w:bCs w:val="1"/>
          <w:i w:val="1"/>
          <w:iCs w:val="1"/>
          <w:color w:val="auto"/>
        </w:rPr>
        <w:t>Shortfall Number</w:t>
      </w:r>
      <w:r>
        <w:rPr>
          <w:rFonts w:ascii="Times New Roman" w:cs="Times New Roman" w:eastAsia="Times New Roman" w:hAnsi="Times New Roman"/>
          <w:sz w:val="16"/>
          <w:szCs w:val="16"/>
          <w:color w:val="auto"/>
        </w:rPr>
        <w:t>”), then all Cash Election Shares shall be converted into the right to receive the Cash Consideration and the Non-Election Shares and Stock Election Shares shall be treated in the following manner:</w:t>
      </w:r>
    </w:p>
    <w:p>
      <w:pPr>
        <w:spacing w:after="0" w:line="101" w:lineRule="exact"/>
        <w:rPr>
          <w:rFonts w:ascii="Times New Roman" w:cs="Times New Roman" w:eastAsia="Times New Roman" w:hAnsi="Times New Roman"/>
          <w:sz w:val="16"/>
          <w:szCs w:val="16"/>
          <w:color w:val="auto"/>
        </w:rPr>
      </w:pPr>
    </w:p>
    <w:p>
      <w:pPr>
        <w:ind w:left="1740" w:right="899" w:firstLine="316"/>
        <w:spacing w:after="0" w:line="242" w:lineRule="auto"/>
        <w:tabs>
          <w:tab w:leader="none" w:pos="2347"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Shortfall Number is less than or equal to the number of Non-Election Shares, then all Stock Election Shares shall be converted into the right to receive the Stock Consideration, and the Non-Election Shares of each holder thereof shall be converted into the right to receive the Cash Consideration in respect of that number of Non-Election Shares equal to the product obtained by multiplying (x) the number of Non- Election Shares held by such holder by (y) a fraction, the numerator of which is the Shortfall Number and the denominator of which is the total number of Non-Election Shares (with the Exchange Agent to determine, consistent with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whether fractions of Non-Election Shares shall be rounded up or down), with the remaining number of such holder’s Non-Election Shares being converted into the right to receive the Stock Consideration; or</w:t>
      </w:r>
    </w:p>
    <w:p>
      <w:pPr>
        <w:spacing w:after="0" w:line="105" w:lineRule="exact"/>
        <w:rPr>
          <w:rFonts w:ascii="Times New Roman" w:cs="Times New Roman" w:eastAsia="Times New Roman" w:hAnsi="Times New Roman"/>
          <w:sz w:val="16"/>
          <w:szCs w:val="16"/>
          <w:color w:val="auto"/>
        </w:rPr>
      </w:pPr>
    </w:p>
    <w:p>
      <w:pPr>
        <w:ind w:left="1740" w:right="979" w:firstLine="316"/>
        <w:spacing w:after="0" w:line="241" w:lineRule="auto"/>
        <w:tabs>
          <w:tab w:leader="none" w:pos="2338"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Shortfall Number exceeds the number of Non-Election Shares, then all Non-Election Shares shall be converted into the right to receive the Cash Consideration, and Stock Election Shares of each holder thereof shall be converted into the right to receive the Cash Consideration in respect of that number of Stock Election Shares equal to the product obtained by multiplying (x) the number of Stock Election Shares held by such holder by (y) a fraction, the numerator of which is the amount by which the Shortfall Number exceeds the total number of Non-Election Shares, and the denominator of which is the total number of Stock Election Shares (with the Exchange Agent to determine, consistent with this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whether fractions of Stock Election Shares shall be rounded up or down), with the remaining number of such holder’s Stock Election Shares being converted into the right to receive the Stock Consideration.</w:t>
      </w:r>
    </w:p>
    <w:p>
      <w:pPr>
        <w:spacing w:after="0" w:line="104" w:lineRule="exact"/>
        <w:rPr>
          <w:sz w:val="20"/>
          <w:szCs w:val="20"/>
          <w:color w:val="auto"/>
        </w:rPr>
      </w:pPr>
    </w:p>
    <w:p>
      <w:pPr>
        <w:ind w:left="1100" w:right="959" w:firstLine="318"/>
        <w:spacing w:after="0" w:line="249" w:lineRule="auto"/>
        <w:rPr>
          <w:sz w:val="20"/>
          <w:szCs w:val="20"/>
          <w:color w:val="auto"/>
        </w:rPr>
      </w:pPr>
      <w:r>
        <w:rPr>
          <w:rFonts w:ascii="Times New Roman" w:cs="Times New Roman" w:eastAsia="Times New Roman" w:hAnsi="Times New Roman"/>
          <w:sz w:val="16"/>
          <w:szCs w:val="16"/>
          <w:b w:val="1"/>
          <w:bCs w:val="1"/>
          <w:color w:val="auto"/>
        </w:rPr>
        <w:t>2.2 Election Procedures</w:t>
      </w:r>
      <w:r>
        <w:rPr>
          <w:rFonts w:ascii="Times New Roman" w:cs="Times New Roman" w:eastAsia="Times New Roman" w:hAnsi="Times New Roman"/>
          <w:sz w:val="16"/>
          <w:szCs w:val="16"/>
          <w:color w:val="auto"/>
        </w:rPr>
        <w:t>. Each holder of record of shares of Company Common Stock to be converted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into the right to receive the Merger Consideration in accordance with, and subject to, </w:t>
      </w:r>
      <w:r>
        <w:rPr>
          <w:rFonts w:ascii="Times New Roman" w:cs="Times New Roman" w:eastAsia="Times New Roman" w:hAnsi="Times New Roman"/>
          <w:sz w:val="16"/>
          <w:szCs w:val="16"/>
          <w:u w:val="single" w:color="auto"/>
          <w:color w:val="auto"/>
        </w:rPr>
        <w:t>Section 1.5(d)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b w:val="1"/>
          <w:bCs w:val="1"/>
          <w:i w:val="1"/>
          <w:iCs w:val="1"/>
          <w:color w:val="auto"/>
        </w:rPr>
        <w:t>Holder</w:t>
      </w:r>
      <w:r>
        <w:rPr>
          <w:rFonts w:ascii="Times New Roman" w:cs="Times New Roman" w:eastAsia="Times New Roman" w:hAnsi="Times New Roman"/>
          <w:sz w:val="16"/>
          <w:szCs w:val="16"/>
          <w:color w:val="auto"/>
        </w:rPr>
        <w:t>”) shall have the right, subject to the limitations set forth in this Article 2, to submit an election in accordance with the following procedures:</w:t>
      </w:r>
    </w:p>
    <w:p>
      <w:pPr>
        <w:spacing w:after="0" w:line="96" w:lineRule="exact"/>
        <w:rPr>
          <w:sz w:val="20"/>
          <w:szCs w:val="20"/>
          <w:color w:val="auto"/>
        </w:rPr>
      </w:pPr>
    </w:p>
    <w:p>
      <w:pPr>
        <w:ind w:left="1100" w:right="999" w:firstLine="320"/>
        <w:spacing w:after="0" w:line="244" w:lineRule="auto"/>
        <w:tabs>
          <w:tab w:leader="none" w:pos="1732"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Holder may specify in a request made in accordance with the provisions of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(herein called an “</w:t>
      </w:r>
      <w:r>
        <w:rPr>
          <w:rFonts w:ascii="Times New Roman" w:cs="Times New Roman" w:eastAsia="Times New Roman" w:hAnsi="Times New Roman"/>
          <w:sz w:val="16"/>
          <w:szCs w:val="16"/>
          <w:b w:val="1"/>
          <w:bCs w:val="1"/>
          <w:i w:val="1"/>
          <w:iCs w:val="1"/>
          <w:color w:val="auto"/>
        </w:rPr>
        <w:t>Election</w:t>
      </w:r>
      <w:r>
        <w:rPr>
          <w:rFonts w:ascii="Times New Roman" w:cs="Times New Roman" w:eastAsia="Times New Roman" w:hAnsi="Times New Roman"/>
          <w:sz w:val="16"/>
          <w:szCs w:val="16"/>
          <w:color w:val="auto"/>
        </w:rPr>
        <w:t>”) (A) the number of shares of Company Common Stock owned by such Holder with respect to which such Holder desires to make a Stock Election and (B) the number of shares of Company Common Stock owned by such Holder with respect to which such Holder desires to make a Cash Election.</w:t>
      </w:r>
    </w:p>
    <w:p>
      <w:pPr>
        <w:spacing w:after="0" w:line="288" w:lineRule="exact"/>
        <w:rPr>
          <w:rFonts w:ascii="Times New Roman" w:cs="Times New Roman" w:eastAsia="Times New Roman" w:hAnsi="Times New Roman"/>
          <w:sz w:val="16"/>
          <w:szCs w:val="16"/>
          <w:color w:val="auto"/>
        </w:rPr>
      </w:pPr>
    </w:p>
    <w:p>
      <w:pPr>
        <w:ind w:left="1100" w:right="1299" w:firstLine="320"/>
        <w:spacing w:after="0" w:line="256" w:lineRule="auto"/>
        <w:tabs>
          <w:tab w:leader="none" w:pos="174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prepare a form reasonably acceptable to the Company, including appropriate and customary transmittal materials in such form as prepared by Parent and reasonably acceptable to the Company (the “</w:t>
      </w:r>
      <w:r>
        <w:rPr>
          <w:rFonts w:ascii="Times New Roman" w:cs="Times New Roman" w:eastAsia="Times New Roman" w:hAnsi="Times New Roman"/>
          <w:sz w:val="16"/>
          <w:szCs w:val="16"/>
          <w:b w:val="1"/>
          <w:bCs w:val="1"/>
          <w:i w:val="1"/>
          <w:iCs w:val="1"/>
          <w:color w:val="auto"/>
        </w:rPr>
        <w:t>Form of Election</w:t>
      </w:r>
      <w:r>
        <w:rPr>
          <w:rFonts w:ascii="Times New Roman" w:cs="Times New Roman" w:eastAsia="Times New Roman" w:hAnsi="Times New Roman"/>
          <w:sz w:val="16"/>
          <w:szCs w:val="16"/>
          <w:color w:val="auto"/>
        </w:rPr>
        <w:t>”), so as to permit Holders to exercise their right to make an Election.</w:t>
      </w:r>
    </w:p>
    <w:p>
      <w:pPr>
        <w:spacing w:after="0" w:line="3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039" w:firstLine="320"/>
        <w:spacing w:after="0" w:line="254" w:lineRule="auto"/>
        <w:tabs>
          <w:tab w:leader="none" w:pos="1732"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 shall initially make available and mail the Form of Election not less than twenty (20) Business Days prior to the anticipated Election Deadline to Holders of record as of the Business Day prior to such mailing date, and (B) following such mailing date, shall make available as promptly as possible a Form of Election to any stockholder who reasonably requests such Form of Election prior to the Election Deadline. The time period between such mailing date and the Election Deadline is referred to herein as the “</w:t>
      </w:r>
      <w:r>
        <w:rPr>
          <w:rFonts w:ascii="Times New Roman" w:cs="Times New Roman" w:eastAsia="Times New Roman" w:hAnsi="Times New Roman"/>
          <w:sz w:val="16"/>
          <w:szCs w:val="16"/>
          <w:b w:val="1"/>
          <w:bCs w:val="1"/>
          <w:i w:val="1"/>
          <w:iCs w:val="1"/>
          <w:color w:val="auto"/>
        </w:rPr>
        <w:t>Election Period.</w:t>
      </w:r>
      <w:r>
        <w:rPr>
          <w:rFonts w:ascii="Times New Roman" w:cs="Times New Roman" w:eastAsia="Times New Roman" w:hAnsi="Times New Roman"/>
          <w:sz w:val="16"/>
          <w:szCs w:val="16"/>
          <w:color w:val="auto"/>
        </w:rPr>
        <w:t>”</w:t>
      </w:r>
    </w:p>
    <w:p>
      <w:pPr>
        <w:spacing w:after="0" w:line="106" w:lineRule="exact"/>
        <w:rPr>
          <w:rFonts w:ascii="Times New Roman" w:cs="Times New Roman" w:eastAsia="Times New Roman" w:hAnsi="Times New Roman"/>
          <w:sz w:val="16"/>
          <w:szCs w:val="16"/>
          <w:color w:val="auto"/>
        </w:rPr>
      </w:pPr>
    </w:p>
    <w:p>
      <w:pPr>
        <w:ind w:left="1100" w:right="919" w:firstLine="320"/>
        <w:spacing w:after="0" w:line="250" w:lineRule="auto"/>
        <w:tabs>
          <w:tab w:leader="none" w:pos="1732"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Election shall have been made properly only if the Exchange Agent shall have received, during the Election Period, a Form of Election properly completed and executed (including duly executed transmittal materials included in the Form of Election) and accompanied by any Certificates representing all certificated shares to which such Form of Election relates or by an appropriate customary guarantee of delivery of such Certificates, as set forth in such Form of Election, from a member of any registered national securities exchange or a commercial bank or trust company in the United States. As used herein, unless otherwise agreed in advance by the Parties, “</w:t>
      </w:r>
      <w:r>
        <w:rPr>
          <w:rFonts w:ascii="Times New Roman" w:cs="Times New Roman" w:eastAsia="Times New Roman" w:hAnsi="Times New Roman"/>
          <w:sz w:val="16"/>
          <w:szCs w:val="16"/>
          <w:b w:val="1"/>
          <w:bCs w:val="1"/>
          <w:i w:val="1"/>
          <w:iCs w:val="1"/>
          <w:color w:val="auto"/>
        </w:rPr>
        <w:t>Election Deadline</w:t>
      </w:r>
      <w:r>
        <w:rPr>
          <w:rFonts w:ascii="Times New Roman" w:cs="Times New Roman" w:eastAsia="Times New Roman" w:hAnsi="Times New Roman"/>
          <w:sz w:val="16"/>
          <w:szCs w:val="16"/>
          <w:color w:val="auto"/>
        </w:rPr>
        <w:t>” means 5:00 p.m. local time (in the city in which the principal office of the Exchange Agent is located) on the last Business Day prior to the Company Shareholders’ Meeting. The Company and Parent shall cooperate to issue a press release reasonably satisfactory to each of them announcing the date of the Election Deadline not more than fifteen</w:t>
      </w:r>
    </w:p>
    <w:p>
      <w:pPr>
        <w:spacing w:after="0" w:line="6" w:lineRule="exact"/>
        <w:rPr>
          <w:rFonts w:ascii="Times New Roman" w:cs="Times New Roman" w:eastAsia="Times New Roman" w:hAnsi="Times New Roman"/>
          <w:sz w:val="16"/>
          <w:szCs w:val="16"/>
          <w:color w:val="auto"/>
        </w:rPr>
      </w:pPr>
    </w:p>
    <w:p>
      <w:pPr>
        <w:ind w:left="1420" w:hanging="317"/>
        <w:spacing w:after="0"/>
        <w:tabs>
          <w:tab w:leader="none" w:pos="14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before, and at least five (5) Business Days prior to, the Election Deadline.</w:t>
      </w:r>
    </w:p>
    <w:p>
      <w:pPr>
        <w:spacing w:after="0" w:line="120" w:lineRule="exact"/>
        <w:rPr>
          <w:rFonts w:ascii="Times New Roman" w:cs="Times New Roman" w:eastAsia="Times New Roman" w:hAnsi="Times New Roman"/>
          <w:sz w:val="16"/>
          <w:szCs w:val="16"/>
          <w:color w:val="auto"/>
        </w:rPr>
      </w:pPr>
    </w:p>
    <w:p>
      <w:pPr>
        <w:ind w:left="1100" w:right="1039" w:firstLine="320"/>
        <w:spacing w:after="0" w:line="253" w:lineRule="auto"/>
        <w:tabs>
          <w:tab w:leader="none" w:pos="1723"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Holder may, at any time during the Election Period, change or revoke his, her or its Election by written notice to the Exchange Agent prior to the Election Deadline accompanied by a properly completed and executed revised Form of Election. If any Election is not properly made with respect to any shares of Company Common Stock (none of Parent, the Company or the Exchange Agent being under any duty to notify any Holder of any such defect), such Election shall be deemed to be not in effect, and the shares of Company Common Stock covered by such Election shall, for purposes hereof, be deemed to be Non-Election Shares, unless a proper Election is thereafter timely made.</w:t>
      </w:r>
    </w:p>
    <w:p>
      <w:pPr>
        <w:spacing w:after="0" w:line="95" w:lineRule="exact"/>
        <w:rPr>
          <w:rFonts w:ascii="Times New Roman" w:cs="Times New Roman" w:eastAsia="Times New Roman" w:hAnsi="Times New Roman"/>
          <w:sz w:val="16"/>
          <w:szCs w:val="16"/>
          <w:color w:val="auto"/>
        </w:rPr>
      </w:pPr>
    </w:p>
    <w:p>
      <w:pPr>
        <w:ind w:left="1100" w:right="939" w:firstLine="320"/>
        <w:spacing w:after="0" w:line="253" w:lineRule="auto"/>
        <w:tabs>
          <w:tab w:leader="none" w:pos="1705"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Holder may, at any time during the Election Period, revoke his, her or its Election by written notice received by the Exchange Agent prior to the Election Deadline or by withdrawal prior to the Election Deadline of his, her or its Certificates, or of the guarantee of delivery of such Certificates, previously deposited with the Exchange Agent. The Certificate or Certificates relating to any revoked Form of Election shall be promptly returned without charge to the Holder submitting the Form of Election to the Exchange Agent. All Elections shall be automatically deemed revoked upon receipt by the Exchange Agent of written notification from the Parties that this Agreement has been terminated in accordance with the terms hereof.</w:t>
      </w:r>
    </w:p>
    <w:p>
      <w:pPr>
        <w:spacing w:after="0" w:line="107" w:lineRule="exact"/>
        <w:rPr>
          <w:rFonts w:ascii="Times New Roman" w:cs="Times New Roman" w:eastAsia="Times New Roman" w:hAnsi="Times New Roman"/>
          <w:sz w:val="16"/>
          <w:szCs w:val="16"/>
          <w:color w:val="auto"/>
        </w:rPr>
      </w:pPr>
    </w:p>
    <w:p>
      <w:pPr>
        <w:ind w:left="1100" w:right="939" w:firstLine="320"/>
        <w:spacing w:after="0" w:line="253" w:lineRule="auto"/>
        <w:tabs>
          <w:tab w:leader="none" w:pos="1741"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Agreement and the Form of Election, Parent, in the exercise of its reasonable, good faith discretion, shall have the right to make all determinations, not inconsistent with the terms of this Agreement, governing (A) the validity of the Forms of Election and compliance by any Holder with the Election procedures set forth herein, (B) the method of issuance of shares of Parent Common Stock into which shares of Company Common Stock are converted in the Mergers and (C) the method of payment of cash for shares of Company Common Stock converted into the right to receive the Cash Consideration and cash in lieu of fractional shares of Parent Common Stock.</w:t>
      </w:r>
    </w:p>
    <w:p>
      <w:pPr>
        <w:spacing w:after="0" w:line="106" w:lineRule="exact"/>
        <w:rPr>
          <w:sz w:val="20"/>
          <w:szCs w:val="20"/>
          <w:color w:val="auto"/>
        </w:rPr>
      </w:pPr>
    </w:p>
    <w:p>
      <w:pPr>
        <w:ind w:left="1100" w:right="919" w:firstLine="318"/>
        <w:spacing w:after="0" w:line="252" w:lineRule="auto"/>
        <w:rPr>
          <w:sz w:val="20"/>
          <w:szCs w:val="20"/>
          <w:color w:val="auto"/>
        </w:rPr>
      </w:pPr>
      <w:r>
        <w:rPr>
          <w:rFonts w:ascii="Times New Roman" w:cs="Times New Roman" w:eastAsia="Times New Roman" w:hAnsi="Times New Roman"/>
          <w:sz w:val="16"/>
          <w:szCs w:val="16"/>
          <w:b w:val="1"/>
          <w:bCs w:val="1"/>
          <w:color w:val="auto"/>
        </w:rPr>
        <w:t>2.3 Parent to Make Merger Consideration Available</w:t>
      </w:r>
      <w:r>
        <w:rPr>
          <w:rFonts w:ascii="Times New Roman" w:cs="Times New Roman" w:eastAsia="Times New Roman" w:hAnsi="Times New Roman"/>
          <w:sz w:val="16"/>
          <w:szCs w:val="16"/>
          <w:color w:val="auto"/>
        </w:rPr>
        <w:t>. Prior to the Effective Time, Parent shall deposit,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shall cause to be deposited, with an exchange agent designated by Parent (the “</w:t>
      </w:r>
      <w:r>
        <w:rPr>
          <w:rFonts w:ascii="Times New Roman" w:cs="Times New Roman" w:eastAsia="Times New Roman" w:hAnsi="Times New Roman"/>
          <w:sz w:val="16"/>
          <w:szCs w:val="16"/>
          <w:b w:val="1"/>
          <w:bCs w:val="1"/>
          <w:i w:val="1"/>
          <w:iCs w:val="1"/>
          <w:color w:val="auto"/>
        </w:rPr>
        <w:t>Exchange Agent</w:t>
      </w:r>
      <w:r>
        <w:rPr>
          <w:rFonts w:ascii="Times New Roman" w:cs="Times New Roman" w:eastAsia="Times New Roman" w:hAnsi="Times New Roman"/>
          <w:sz w:val="16"/>
          <w:szCs w:val="16"/>
          <w:color w:val="auto"/>
        </w:rPr>
        <w:t xml:space="preserve">”), for the benefit of holders of Old Certificates, for exchange in accordance with this </w:t>
      </w:r>
      <w:r>
        <w:rPr>
          <w:rFonts w:ascii="Times New Roman" w:cs="Times New Roman" w:eastAsia="Times New Roman" w:hAnsi="Times New Roman"/>
          <w:sz w:val="16"/>
          <w:szCs w:val="16"/>
          <w:u w:val="single" w:color="auto"/>
          <w:color w:val="auto"/>
        </w:rPr>
        <w:t>Article 2</w:t>
      </w:r>
      <w:r>
        <w:rPr>
          <w:rFonts w:ascii="Times New Roman" w:cs="Times New Roman" w:eastAsia="Times New Roman" w:hAnsi="Times New Roman"/>
          <w:sz w:val="16"/>
          <w:szCs w:val="16"/>
          <w:color w:val="auto"/>
        </w:rPr>
        <w:t>, (a) certificates or, at Parent’s option, evidence of shares in book-entry form (collectively referred to herein as “</w:t>
      </w:r>
      <w:r>
        <w:rPr>
          <w:rFonts w:ascii="Times New Roman" w:cs="Times New Roman" w:eastAsia="Times New Roman" w:hAnsi="Times New Roman"/>
          <w:sz w:val="16"/>
          <w:szCs w:val="16"/>
          <w:b w:val="1"/>
          <w:bCs w:val="1"/>
          <w:i w:val="1"/>
          <w:iCs w:val="1"/>
          <w:color w:val="auto"/>
        </w:rPr>
        <w:t>New Certificates</w:t>
      </w:r>
      <w:r>
        <w:rPr>
          <w:rFonts w:ascii="Times New Roman" w:cs="Times New Roman" w:eastAsia="Times New Roman" w:hAnsi="Times New Roman"/>
          <w:sz w:val="16"/>
          <w:szCs w:val="16"/>
          <w:color w:val="auto"/>
        </w:rPr>
        <w:t xml:space="preserve">”), representing the aggregate Stock Consideration to be issued pursuant to </w:t>
      </w: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6"/>
          <w:szCs w:val="16"/>
          <w:color w:val="auto"/>
        </w:rPr>
        <w:t xml:space="preserve"> and exchanged pursuant to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in exchange for outstanding shares of Company Common Stock, and (b) cash in an amount sufficient to pay (i) the aggregate Cash Consideration payable to holders of Company Common Stock and</w:t>
      </w:r>
    </w:p>
    <w:p>
      <w:pPr>
        <w:spacing w:after="0" w:line="1" w:lineRule="exact"/>
        <w:rPr>
          <w:sz w:val="20"/>
          <w:szCs w:val="20"/>
          <w:color w:val="auto"/>
        </w:rPr>
      </w:pPr>
    </w:p>
    <w:p>
      <w:pPr>
        <w:ind w:left="1360" w:hanging="257"/>
        <w:spacing w:after="0"/>
        <w:tabs>
          <w:tab w:leader="none" w:pos="13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in lieu of any fractional shares (such cash and New Certificates described in the foregoing clauses</w:t>
      </w:r>
    </w:p>
    <w:p>
      <w:pPr>
        <w:spacing w:after="0" w:line="6" w:lineRule="exact"/>
        <w:rPr>
          <w:rFonts w:ascii="Times New Roman" w:cs="Times New Roman" w:eastAsia="Times New Roman" w:hAnsi="Times New Roman"/>
          <w:sz w:val="16"/>
          <w:szCs w:val="16"/>
          <w:color w:val="auto"/>
        </w:rPr>
      </w:pPr>
    </w:p>
    <w:p>
      <w:pPr>
        <w:ind w:left="1100" w:right="939" w:firstLine="3"/>
        <w:spacing w:after="0" w:line="250" w:lineRule="auto"/>
        <w:tabs>
          <w:tab w:leader="none" w:pos="1329"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(b), together with any dividends or distributions with respect thereto, being hereinafter referred to as the “</w:t>
      </w:r>
      <w:r>
        <w:rPr>
          <w:rFonts w:ascii="Times New Roman" w:cs="Times New Roman" w:eastAsia="Times New Roman" w:hAnsi="Times New Roman"/>
          <w:sz w:val="16"/>
          <w:szCs w:val="16"/>
          <w:b w:val="1"/>
          <w:bCs w:val="1"/>
          <w:i w:val="1"/>
          <w:iCs w:val="1"/>
          <w:color w:val="auto"/>
        </w:rPr>
        <w:t>Exchange Fund</w:t>
      </w:r>
      <w:r>
        <w:rPr>
          <w:rFonts w:ascii="Times New Roman" w:cs="Times New Roman" w:eastAsia="Times New Roman" w:hAnsi="Times New Roman"/>
          <w:sz w:val="16"/>
          <w:szCs w:val="16"/>
          <w:color w:val="auto"/>
        </w:rPr>
        <w:t>”). Prior to the Effective Time, Parent shall also instruct the Exchange Agent to pay such Merger Consideration and cash in lieu of fractional shares in accordance with this Agreement as promptly as practicable after the Effective Time and conditioned upon receipt of a properly completed Form of Election and/or a letter of transmittal, as applicable.</w:t>
      </w:r>
    </w:p>
    <w:p>
      <w:pPr>
        <w:spacing w:after="0" w:line="3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2.4 Exchange of Shares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59" w:firstLine="320"/>
        <w:spacing w:after="0"/>
        <w:tabs>
          <w:tab w:leader="none" w:pos="1723"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promptly as practicable after the Effective Time, but in no event later than five (5) Business Days thereafter, Parent shall cause the Exchange Agent to mail to each holder of record of one or more Old Certificates representing shares of Company Common Stock immediately prior to the Effective Time that have been converted at the Effective Time into the right to receive the Merger Consideration pursuant to </w:t>
      </w:r>
      <w:r>
        <w:rPr>
          <w:rFonts w:ascii="Times New Roman" w:cs="Times New Roman" w:eastAsia="Times New Roman" w:hAnsi="Times New Roman"/>
          <w:sz w:val="16"/>
          <w:szCs w:val="16"/>
          <w:u w:val="single" w:color="auto"/>
          <w:color w:val="auto"/>
        </w:rPr>
        <w:t>Article 1</w:t>
      </w:r>
      <w:r>
        <w:rPr>
          <w:rFonts w:ascii="Times New Roman" w:cs="Times New Roman" w:eastAsia="Times New Roman" w:hAnsi="Times New Roman"/>
          <w:sz w:val="16"/>
          <w:szCs w:val="16"/>
          <w:color w:val="auto"/>
        </w:rPr>
        <w:t xml:space="preserve"> and that has not theretofore submitted its Old Certificates with a Form of Election, a letter of transmittal (which shall specify that delivery shall be effected, and risk of loss and title to the Old Certificates shall pass, only upon proper delivery of the Old Certificates to the Exchange Agent), the form of which shall be agreed in good faith by the parties prior to the Closing, and instructions for use in effecting the surrender of the Old Certificates in exchange for the Stock Consideration and/or the Cash Consideration which holder shall have become entitled to receive in accordance with, and subject to, </w:t>
      </w:r>
      <w:r>
        <w:rPr>
          <w:rFonts w:ascii="Times New Roman" w:cs="Times New Roman" w:eastAsia="Times New Roman" w:hAnsi="Times New Roman"/>
          <w:sz w:val="16"/>
          <w:szCs w:val="16"/>
          <w:u w:val="single" w:color="auto"/>
          <w:color w:val="auto"/>
        </w:rPr>
        <w:t>Sections 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and any cash in lieu of fractional shares, which the shares of Company Common Stock represented by such Old Certificate or Old Certificates shall have been converted into the right to receive pursuant to this Agreement, as well as any dividends or distributions to be paid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Upon proper surrender of an Old Certificate or Old Certificates for exchange and cancellation to the Exchange Agent, together with such properly completed letter of transmittal, duly executed, the holder of such Old Certificate or Old Certificates shall be entitled to receive in exchange therefor, as applicable, (i) a New Certificate representing the Stock Consideration to which such holder of Company Common Stock shall have become entitled pursuant to the provisions of </w:t>
      </w:r>
      <w:r>
        <w:rPr>
          <w:rFonts w:ascii="Times New Roman" w:cs="Times New Roman" w:eastAsia="Times New Roman" w:hAnsi="Times New Roman"/>
          <w:sz w:val="16"/>
          <w:szCs w:val="16"/>
          <w:u w:val="single" w:color="auto"/>
          <w:color w:val="auto"/>
        </w:rPr>
        <w:t>Article 1</w:t>
      </w:r>
      <w:r>
        <w:rPr>
          <w:rFonts w:ascii="Times New Roman" w:cs="Times New Roman" w:eastAsia="Times New Roman" w:hAnsi="Times New Roman"/>
          <w:sz w:val="16"/>
          <w:szCs w:val="16"/>
          <w:color w:val="auto"/>
        </w:rPr>
        <w:t xml:space="preserve"> and (ii) a check representing the amount of (A) Cash Consideration which such holder has the right to receive in respect of the surrendered Old Certificate or Old Certificates in accordance with, and subject to, the provisions of </w:t>
      </w:r>
      <w:r>
        <w:rPr>
          <w:rFonts w:ascii="Times New Roman" w:cs="Times New Roman" w:eastAsia="Times New Roman" w:hAnsi="Times New Roman"/>
          <w:sz w:val="16"/>
          <w:szCs w:val="16"/>
          <w:u w:val="single" w:color="auto"/>
          <w:color w:val="auto"/>
        </w:rPr>
        <w:t>Sections 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(B) any cash in lieu of fractional shares which such holder has the right to receive in respect of the Old Certificate or Old Certificates surrendered pursuant to the provisions of this </w:t>
      </w:r>
      <w:r>
        <w:rPr>
          <w:rFonts w:ascii="Times New Roman" w:cs="Times New Roman" w:eastAsia="Times New Roman" w:hAnsi="Times New Roman"/>
          <w:sz w:val="16"/>
          <w:szCs w:val="16"/>
          <w:u w:val="single" w:color="auto"/>
          <w:color w:val="auto"/>
        </w:rPr>
        <w:t>Article 2</w:t>
      </w:r>
      <w:r>
        <w:rPr>
          <w:rFonts w:ascii="Times New Roman" w:cs="Times New Roman" w:eastAsia="Times New Roman" w:hAnsi="Times New Roman"/>
          <w:sz w:val="16"/>
          <w:szCs w:val="16"/>
          <w:color w:val="auto"/>
        </w:rPr>
        <w:t xml:space="preserve">, and (C) any dividends or distributions which the holder thereof has the right to receive pursuant to this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and the Old Certificate or Old Certificates so surrendered shall forthwith be cancelled. No interest shall be paid or accrued on the Cash Consideration or any cash in lieu of fractional shares payable to holders of Old Certificates. Until surrendered as contemplated by this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each Old Certificate shall be deemed at any time after the Effective Time to represent only the right to receive, upon surrender, the applicable Merger Consideration, and any cash in lieu of fractional shares or in respect of dividends or distributions as contemplated by this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w:t>
      </w:r>
    </w:p>
    <w:p>
      <w:pPr>
        <w:spacing w:after="0" w:line="268" w:lineRule="exact"/>
        <w:rPr>
          <w:rFonts w:ascii="Times New Roman" w:cs="Times New Roman" w:eastAsia="Times New Roman" w:hAnsi="Times New Roman"/>
          <w:sz w:val="16"/>
          <w:szCs w:val="16"/>
          <w:color w:val="auto"/>
        </w:rPr>
      </w:pPr>
    </w:p>
    <w:p>
      <w:pPr>
        <w:ind w:left="1100" w:right="939" w:firstLine="320"/>
        <w:spacing w:after="0" w:line="243" w:lineRule="auto"/>
        <w:tabs>
          <w:tab w:leader="none" w:pos="1741"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dividends or other distributions declared with respect to Parent Common Stock shall be paid to the holder of any unsurrendered Old Certificate until the holder thereof shall surrender such Old Certificate in accordance with this </w:t>
      </w:r>
      <w:r>
        <w:rPr>
          <w:rFonts w:ascii="Times New Roman" w:cs="Times New Roman" w:eastAsia="Times New Roman" w:hAnsi="Times New Roman"/>
          <w:sz w:val="16"/>
          <w:szCs w:val="16"/>
          <w:u w:val="single" w:color="auto"/>
          <w:color w:val="auto"/>
        </w:rPr>
        <w:t>Article 2</w:t>
      </w:r>
      <w:r>
        <w:rPr>
          <w:rFonts w:ascii="Times New Roman" w:cs="Times New Roman" w:eastAsia="Times New Roman" w:hAnsi="Times New Roman"/>
          <w:sz w:val="16"/>
          <w:szCs w:val="16"/>
          <w:color w:val="auto"/>
        </w:rPr>
        <w:t xml:space="preserve">. After the surrender of an Old Certificate in accordance with this </w:t>
      </w:r>
      <w:r>
        <w:rPr>
          <w:rFonts w:ascii="Times New Roman" w:cs="Times New Roman" w:eastAsia="Times New Roman" w:hAnsi="Times New Roman"/>
          <w:sz w:val="16"/>
          <w:szCs w:val="16"/>
          <w:u w:val="single" w:color="auto"/>
          <w:color w:val="auto"/>
        </w:rPr>
        <w:t>Article 2</w:t>
      </w:r>
      <w:r>
        <w:rPr>
          <w:rFonts w:ascii="Times New Roman" w:cs="Times New Roman" w:eastAsia="Times New Roman" w:hAnsi="Times New Roman"/>
          <w:sz w:val="16"/>
          <w:szCs w:val="16"/>
          <w:color w:val="auto"/>
        </w:rPr>
        <w:t>, the record holder thereof shall be entitled to receive any such dividends or other distributions, without any interest thereon, which theretofore had become payable with respect to the Stock Consideration which the shares of Company Common Stock represented by such Old Certificate had been converted into the right to receive.</w:t>
      </w:r>
    </w:p>
    <w:p>
      <w:pPr>
        <w:spacing w:after="0" w:line="287" w:lineRule="exact"/>
        <w:rPr>
          <w:rFonts w:ascii="Times New Roman" w:cs="Times New Roman" w:eastAsia="Times New Roman" w:hAnsi="Times New Roman"/>
          <w:sz w:val="16"/>
          <w:szCs w:val="16"/>
          <w:color w:val="auto"/>
        </w:rPr>
      </w:pPr>
    </w:p>
    <w:p>
      <w:pPr>
        <w:ind w:left="1100" w:right="899" w:firstLine="320"/>
        <w:spacing w:after="0" w:line="242" w:lineRule="auto"/>
        <w:tabs>
          <w:tab w:leader="none" w:pos="1732"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New Certificate representing shares of Parent Common Stock is to be issued in a name other than that in which the Old Certificate or Old Certificates surrendered in exchange therefor is or are registered, it shall be a condition of the issuance thereof that the Old Certificate or Old Certificates so surrendered shall be properly endorsed (or accompanied by an appropriate instrument of transfer) and otherwise in proper form for transfer, and that the Person requesting such exchange shall pay to the Exchange Agent in advance any transfer or other similar Taxes required by reason of the issuance of a New Certificate representing shares of Parent Common Stock in any name other than that of the registered holder of the Old Certificate or Old Certificates surrendered, or required for any other reason, or shall establish to the satisfaction of the Exchange Agent that such Tax has been paid or is not payable.</w:t>
      </w:r>
    </w:p>
    <w:p>
      <w:pPr>
        <w:spacing w:after="0" w:line="105" w:lineRule="exact"/>
        <w:rPr>
          <w:rFonts w:ascii="Times New Roman" w:cs="Times New Roman" w:eastAsia="Times New Roman" w:hAnsi="Times New Roman"/>
          <w:sz w:val="16"/>
          <w:szCs w:val="16"/>
          <w:color w:val="auto"/>
        </w:rPr>
      </w:pPr>
    </w:p>
    <w:p>
      <w:pPr>
        <w:ind w:left="1100" w:right="899" w:firstLine="320"/>
        <w:spacing w:after="0" w:line="244" w:lineRule="auto"/>
        <w:tabs>
          <w:tab w:leader="none" w:pos="1732"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the Effective Time, there shall be no transfers on the stock transfer books of the Company of the shares of Company Common Stock that were issued and outstanding immediately prior to the Effective Time. If, after the Effective Time, Old Certificates representing such shares are presented for transfer to the Exchange Agent, they shall be cancelled and exchanged for the applicable Merger Consideration and cash in lieu of fractional shares as provided in this </w:t>
      </w:r>
      <w:r>
        <w:rPr>
          <w:rFonts w:ascii="Times New Roman" w:cs="Times New Roman" w:eastAsia="Times New Roman" w:hAnsi="Times New Roman"/>
          <w:sz w:val="16"/>
          <w:szCs w:val="16"/>
          <w:u w:val="single" w:color="auto"/>
          <w:color w:val="auto"/>
        </w:rPr>
        <w:t>Article 2</w:t>
      </w:r>
      <w:r>
        <w:rPr>
          <w:rFonts w:ascii="Times New Roman" w:cs="Times New Roman" w:eastAsia="Times New Roman" w:hAnsi="Times New Roman"/>
          <w:sz w:val="16"/>
          <w:szCs w:val="16"/>
          <w:color w:val="auto"/>
        </w:rPr>
        <w:t>.</w:t>
      </w:r>
    </w:p>
    <w:p>
      <w:pPr>
        <w:spacing w:after="0" w:line="101" w:lineRule="exact"/>
        <w:rPr>
          <w:rFonts w:ascii="Times New Roman" w:cs="Times New Roman" w:eastAsia="Times New Roman" w:hAnsi="Times New Roman"/>
          <w:sz w:val="16"/>
          <w:szCs w:val="16"/>
          <w:color w:val="auto"/>
        </w:rPr>
      </w:pPr>
    </w:p>
    <w:p>
      <w:pPr>
        <w:jc w:val="center"/>
        <w:ind w:left="1100" w:right="1059" w:firstLine="320"/>
        <w:spacing w:after="0" w:line="263" w:lineRule="auto"/>
        <w:tabs>
          <w:tab w:leader="none" w:pos="1732"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no New Certificates or scrip representing fractional shares of Parent Common Stock shall be issued upon the surrender for exchange of</w:t>
      </w:r>
    </w:p>
    <w:p>
      <w:pPr>
        <w:spacing w:after="0" w:line="3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79"/>
        <w:spacing w:after="0"/>
        <w:rPr>
          <w:sz w:val="20"/>
          <w:szCs w:val="20"/>
          <w:color w:val="auto"/>
        </w:rPr>
      </w:pPr>
      <w:r>
        <w:rPr>
          <w:rFonts w:ascii="Times New Roman" w:cs="Times New Roman" w:eastAsia="Times New Roman" w:hAnsi="Times New Roman"/>
          <w:sz w:val="16"/>
          <w:szCs w:val="16"/>
          <w:color w:val="auto"/>
        </w:rPr>
        <w:t>Old Certificates, no dividend or distribution with respect to Parent Common Stock shall be payable on or with respect to any fractional share, and such fractional share interests shall not entitle the owner thereof to vote or to any other rights of a shareholder of Parent. In lieu of the issuance of any such fractional share, Parent shall pay to each former Company Shareholder who otherwise would be entitled to receive such fractional share an amount in cash (rounded to the nearest cent) equal to the product of (i) the average closing sale price of Parent Common Stock on the twenty (20) consecutive full trading days immediately preceding the Closing Date as reported on the New York Stock Exchange (“</w:t>
      </w:r>
      <w:r>
        <w:rPr>
          <w:rFonts w:ascii="Times New Roman" w:cs="Times New Roman" w:eastAsia="Times New Roman" w:hAnsi="Times New Roman"/>
          <w:sz w:val="16"/>
          <w:szCs w:val="16"/>
          <w:b w:val="1"/>
          <w:bCs w:val="1"/>
          <w:i w:val="1"/>
          <w:iCs w:val="1"/>
          <w:color w:val="auto"/>
        </w:rPr>
        <w:t>NYSE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(ii) the fraction of a share (rounded to the nearest thousandth when expressed in decimal form) of Parent Common Stock which such holder would otherwise be entitled to receive pursuant to </w:t>
      </w: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6"/>
          <w:szCs w:val="16"/>
          <w:color w:val="auto"/>
        </w:rPr>
        <w:t xml:space="preserve"> and subject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The parties acknowledge that payment of such cash consideration in lieu of issuing fractional shares is not separately bargained -for consideration, but merely represents a mechanical rounding off for purposes of avoiding the expense and inconvenience that would otherwise be caused by the issuance of fractional shares.</w:t>
      </w:r>
    </w:p>
    <w:p>
      <w:pPr>
        <w:spacing w:after="0" w:line="294" w:lineRule="exact"/>
        <w:rPr>
          <w:sz w:val="20"/>
          <w:szCs w:val="20"/>
          <w:color w:val="auto"/>
        </w:rPr>
      </w:pPr>
    </w:p>
    <w:p>
      <w:pPr>
        <w:ind w:left="1100" w:right="959" w:firstLine="320"/>
        <w:spacing w:after="0" w:line="241" w:lineRule="auto"/>
        <w:tabs>
          <w:tab w:leader="none" w:pos="170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portion of the Exchange Fund that remains unclaimed by the Company Shareholders for twelve (12) months after the Effective Time shall be delivered to the Surviving Corporation. Any former Company Shareholder that has not theretofore complied with this </w:t>
      </w:r>
      <w:r>
        <w:rPr>
          <w:rFonts w:ascii="Times New Roman" w:cs="Times New Roman" w:eastAsia="Times New Roman" w:hAnsi="Times New Roman"/>
          <w:sz w:val="16"/>
          <w:szCs w:val="16"/>
          <w:u w:val="single" w:color="auto"/>
          <w:color w:val="auto"/>
        </w:rPr>
        <w:t>Article 2</w:t>
      </w:r>
      <w:r>
        <w:rPr>
          <w:rFonts w:ascii="Times New Roman" w:cs="Times New Roman" w:eastAsia="Times New Roman" w:hAnsi="Times New Roman"/>
          <w:sz w:val="16"/>
          <w:szCs w:val="16"/>
          <w:color w:val="auto"/>
        </w:rPr>
        <w:t xml:space="preserve"> shall thereafter look only to the Surviving Corporation for payment of the Merger Consideration, cash in lieu of fractional shares and any unpaid dividends and distributions on the Parent Common Stock deliverable in respect of each former share of Company Common Stock such former shareholder holds as determined pursuant to this Agreement, in each case, without any interest thereon. Notwithstanding the foregoing, none of Parent, the Company, the Surviving Corporation, the Exchange Agent or any other Person shall be liable to any former holder of shares of Company Common Stock for any amount delivered in good faith to a public official pursuant to applicable abandoned property, escheat or similar laws.</w:t>
      </w:r>
    </w:p>
    <w:p>
      <w:pPr>
        <w:spacing w:after="0" w:line="106" w:lineRule="exact"/>
        <w:rPr>
          <w:rFonts w:ascii="Times New Roman" w:cs="Times New Roman" w:eastAsia="Times New Roman" w:hAnsi="Times New Roman"/>
          <w:sz w:val="16"/>
          <w:szCs w:val="16"/>
          <w:color w:val="auto"/>
        </w:rPr>
      </w:pPr>
    </w:p>
    <w:p>
      <w:pPr>
        <w:ind w:left="1100" w:right="979" w:firstLine="320"/>
        <w:spacing w:after="0" w:line="243" w:lineRule="auto"/>
        <w:tabs>
          <w:tab w:leader="none" w:pos="1741"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Parent and the Exchange Agent shall be entitled to deduct and withhold from any consideration otherwise payable pursuant to this Agreement such amounts as it is required to deduct and withhold with respect to the making of such payment under the Code or any provision of state, local or foreign Tax law. To the extent that amounts are so withheld by Parent or the Exchange Agent, as the case may be, and paid over to the appropriate Governmental Authority, the withheld amounts shall be treated for all purposes of this Agreement as having been paid to the Person in respect of which the deduction and withholding was made.</w:t>
      </w:r>
    </w:p>
    <w:p>
      <w:pPr>
        <w:spacing w:after="0" w:line="287" w:lineRule="exact"/>
        <w:rPr>
          <w:rFonts w:ascii="Times New Roman" w:cs="Times New Roman" w:eastAsia="Times New Roman" w:hAnsi="Times New Roman"/>
          <w:sz w:val="16"/>
          <w:szCs w:val="16"/>
          <w:color w:val="auto"/>
        </w:rPr>
      </w:pPr>
    </w:p>
    <w:p>
      <w:pPr>
        <w:ind w:left="1100" w:right="939" w:firstLine="320"/>
        <w:spacing w:after="0" w:line="243" w:lineRule="auto"/>
        <w:tabs>
          <w:tab w:leader="none" w:pos="1741"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any Old Certificate shall have been lost, stolen or destroyed, upon the making of an affidavit of that fact by the Person claiming such Old Certificate to be lost, stolen or destroyed and, if required by Parent, the posting by such Person of a bond in such amount as Parent may determine is reasonably necessary as indemnity against any claim that may be made against it with respect to such Old Certificate, the Exchange Agent will issue in exchange for such lost, stolen or destroyed Old Certificate, the applicable Merger Consideration and any cash in lieu of fractional shares deliverable in respect thereof pursuant to this Agreement, as well as any dividends or distributions to be paid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ARTICLE 3</w:t>
      </w:r>
    </w:p>
    <w:p>
      <w:pPr>
        <w:spacing w:after="0" w:line="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109" w:lineRule="exact"/>
        <w:rPr>
          <w:sz w:val="20"/>
          <w:szCs w:val="20"/>
          <w:color w:val="auto"/>
        </w:rPr>
      </w:pPr>
    </w:p>
    <w:p>
      <w:pPr>
        <w:ind w:left="1100" w:right="919" w:firstLine="318"/>
        <w:spacing w:after="0" w:line="241" w:lineRule="auto"/>
        <w:rPr>
          <w:sz w:val="20"/>
          <w:szCs w:val="20"/>
          <w:color w:val="auto"/>
        </w:rPr>
      </w:pPr>
      <w:r>
        <w:rPr>
          <w:rFonts w:ascii="Times New Roman" w:cs="Times New Roman" w:eastAsia="Times New Roman" w:hAnsi="Times New Roman"/>
          <w:sz w:val="16"/>
          <w:szCs w:val="16"/>
          <w:color w:val="auto"/>
        </w:rPr>
        <w:t>Except as disclosed in the applicable section of the disclosure memorandum delivered by the Company to Parent immediately prior to the execution of this Agreement (the “</w:t>
      </w:r>
      <w:r>
        <w:rPr>
          <w:rFonts w:ascii="Times New Roman" w:cs="Times New Roman" w:eastAsia="Times New Roman" w:hAnsi="Times New Roman"/>
          <w:sz w:val="16"/>
          <w:szCs w:val="16"/>
          <w:b w:val="1"/>
          <w:bCs w:val="1"/>
          <w:i w:val="1"/>
          <w:iCs w:val="1"/>
          <w:color w:val="auto"/>
        </w:rPr>
        <w:t>Company Disclosure Memorandum</w:t>
      </w:r>
      <w:r>
        <w:rPr>
          <w:rFonts w:ascii="Times New Roman" w:cs="Times New Roman" w:eastAsia="Times New Roman" w:hAnsi="Times New Roman"/>
          <w:sz w:val="16"/>
          <w:szCs w:val="16"/>
          <w:color w:val="auto"/>
        </w:rPr>
        <w:t xml:space="preserve">”) (it being understood that any disclosure made in the Company Disclosure Memorandum with respect to a section of this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 xml:space="preserve"> shall be deemed to apply to and qualify (a) the section set forth in this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 xml:space="preserve"> to which it corresponds in number and (b) (i) any other section of this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 xml:space="preserve"> specifically referenced or cross-referenced and (ii) any other section of this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 xml:space="preserve"> to the extent it is reasonably apparent on the face of the disclosure (notwithstanding the absence of a specific reference or cross-reference) that such disclosure applies to such other section), the Company hereby represents and warrants to Parent as follows:</w:t>
      </w:r>
    </w:p>
    <w:p>
      <w:pPr>
        <w:spacing w:after="0" w:line="104" w:lineRule="exact"/>
        <w:rPr>
          <w:sz w:val="20"/>
          <w:szCs w:val="20"/>
          <w:color w:val="auto"/>
        </w:rPr>
      </w:pPr>
    </w:p>
    <w:p>
      <w:pPr>
        <w:ind w:left="1100" w:right="919" w:firstLine="318"/>
        <w:spacing w:after="0" w:line="245" w:lineRule="auto"/>
        <w:rPr>
          <w:sz w:val="20"/>
          <w:szCs w:val="20"/>
          <w:color w:val="auto"/>
        </w:rPr>
      </w:pPr>
      <w:r>
        <w:rPr>
          <w:rFonts w:ascii="Times New Roman" w:cs="Times New Roman" w:eastAsia="Times New Roman" w:hAnsi="Times New Roman"/>
          <w:sz w:val="16"/>
          <w:szCs w:val="16"/>
          <w:b w:val="1"/>
          <w:bCs w:val="1"/>
          <w:color w:val="auto"/>
        </w:rPr>
        <w:t>3.1 Organization, Standing and Power</w:t>
      </w:r>
      <w:r>
        <w:rPr>
          <w:rFonts w:ascii="Times New Roman" w:cs="Times New Roman" w:eastAsia="Times New Roman" w:hAnsi="Times New Roman"/>
          <w:sz w:val="16"/>
          <w:szCs w:val="16"/>
          <w:color w:val="auto"/>
        </w:rPr>
        <w:t>. The Company is a corporation duly organized, validly existing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in good standing under the laws of the State of Georgia and is a bank holding company duly registered under the Bank Holding Company Act of 1956 (the “</w:t>
      </w:r>
      <w:r>
        <w:rPr>
          <w:rFonts w:ascii="Times New Roman" w:cs="Times New Roman" w:eastAsia="Times New Roman" w:hAnsi="Times New Roman"/>
          <w:sz w:val="16"/>
          <w:szCs w:val="16"/>
          <w:b w:val="1"/>
          <w:bCs w:val="1"/>
          <w:i w:val="1"/>
          <w:iCs w:val="1"/>
          <w:color w:val="auto"/>
        </w:rPr>
        <w:t>BHC Act</w:t>
      </w:r>
      <w:r>
        <w:rPr>
          <w:rFonts w:ascii="Times New Roman" w:cs="Times New Roman" w:eastAsia="Times New Roman" w:hAnsi="Times New Roman"/>
          <w:sz w:val="16"/>
          <w:szCs w:val="16"/>
          <w:color w:val="auto"/>
        </w:rPr>
        <w:t>”) . Company Bank is a state-chartered bank duly organized, validly existing and in good standing under the laws of the State of Georgia. Each of the Company and Company Bank has the corporate power and authority to carry on its business as presently</w:t>
      </w:r>
    </w:p>
    <w:p>
      <w:pPr>
        <w:spacing w:after="0" w:line="32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spacing w:after="0" w:line="251" w:lineRule="auto"/>
        <w:rPr>
          <w:sz w:val="20"/>
          <w:szCs w:val="20"/>
          <w:color w:val="auto"/>
        </w:rPr>
      </w:pPr>
      <w:r>
        <w:rPr>
          <w:rFonts w:ascii="Times New Roman" w:cs="Times New Roman" w:eastAsia="Times New Roman" w:hAnsi="Times New Roman"/>
          <w:sz w:val="16"/>
          <w:szCs w:val="16"/>
          <w:color w:val="auto"/>
        </w:rPr>
        <w:t>conducted and to own, lease and operate its properties. Each of the Company and Company Bank is duly qualified or licensed to transact business as a foreign corporation in good standing in the states of the United States and foreign jurisdictions where the character of the properties it owns or the nature or conduct of its business requires it to be so qualified or licensed, except for such jurisdictions where the failure to be so qualified or licensed is not reasonably likely to have, individually or in the aggregate, a Material Adverse Effect on the Company. Company Bank is an “insured depository institution” as defined in the Federal Deposit Insurance Act, and the deposits of Company Bank are insured by the Federal Deposit Insurance Corporation (the “</w:t>
      </w:r>
      <w:r>
        <w:rPr>
          <w:rFonts w:ascii="Times New Roman" w:cs="Times New Roman" w:eastAsia="Times New Roman" w:hAnsi="Times New Roman"/>
          <w:sz w:val="16"/>
          <w:szCs w:val="16"/>
          <w:b w:val="1"/>
          <w:bCs w:val="1"/>
          <w:i w:val="1"/>
          <w:iCs w:val="1"/>
          <w:color w:val="auto"/>
        </w:rPr>
        <w:t>FDIC</w:t>
      </w:r>
      <w:r>
        <w:rPr>
          <w:rFonts w:ascii="Times New Roman" w:cs="Times New Roman" w:eastAsia="Times New Roman" w:hAnsi="Times New Roman"/>
          <w:sz w:val="16"/>
          <w:szCs w:val="16"/>
          <w:color w:val="auto"/>
        </w:rPr>
        <w:t>”) to the fullest extent permitted by Law, all premiums and assessments required to be paid in connection therewith have been paid when due in all material respects, and to the Company’s Knowledge, no proceedings for the termination of such insurance are pending or threatened. True, correct and complete copies of the Articles of Incorporation of the Company, the Bylaws of the Company, the Articles of Incorporation of Company Bank and the Bylaws of Company Bank, each as in effect as of the date of this Agreement, have previously been made available by the Company to Parent.</w:t>
      </w:r>
    </w:p>
    <w:p>
      <w:pPr>
        <w:spacing w:after="0" w:line="103" w:lineRule="exact"/>
        <w:rPr>
          <w:sz w:val="20"/>
          <w:szCs w:val="20"/>
          <w:color w:val="auto"/>
        </w:rPr>
      </w:pPr>
    </w:p>
    <w:p>
      <w:pPr>
        <w:ind w:left="1100" w:right="919" w:firstLine="320"/>
        <w:spacing w:after="0" w:line="250" w:lineRule="auto"/>
        <w:tabs>
          <w:tab w:leader="none" w:pos="1732"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Subsidiary of the Company (each, a “</w:t>
      </w:r>
      <w:r>
        <w:rPr>
          <w:rFonts w:ascii="Times New Roman" w:cs="Times New Roman" w:eastAsia="Times New Roman" w:hAnsi="Times New Roman"/>
          <w:sz w:val="16"/>
          <w:szCs w:val="16"/>
          <w:b w:val="1"/>
          <w:bCs w:val="1"/>
          <w:i w:val="1"/>
          <w:iCs w:val="1"/>
          <w:color w:val="auto"/>
        </w:rPr>
        <w:t>Company Subsidiary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Subsidiaries</w:t>
      </w:r>
      <w:r>
        <w:rPr>
          <w:rFonts w:ascii="Times New Roman" w:cs="Times New Roman" w:eastAsia="Times New Roman" w:hAnsi="Times New Roman"/>
          <w:sz w:val="16"/>
          <w:szCs w:val="16"/>
          <w:color w:val="auto"/>
        </w:rPr>
        <w:t>”) other than Company Bank (i) is duly organized and validly existing under the laws of 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jurisdiction of organization, (ii) is duly licensed or qualified to do business and, where such concept is recognized under applicable Law, in good standing in all jurisdictions (whether federal, state, local or foreign) where its ownership or leasing of property or the conduct of its business requires it to be so licensed or qualified or in good standing, except for such jurisdictions where the failure to be so qualified or licensed is not reasonably likely to have, individually or in the aggregate, a Material Adverse Effect on the Company, and (iii) has all requisite corporate power and authority to own or lease its properties and assets and to carry on its business as now conducted. There are no restrictions on the ability of any Company Subsidiary, including Company Bank, to pay dividends or distributions except, in the case of a Subsidiary that is a regulated entity, for restrictions on dividends or distributions generally applicable to all similarly regulated entities. </w:t>
      </w:r>
      <w:r>
        <w:rPr>
          <w:rFonts w:ascii="Times New Roman" w:cs="Times New Roman" w:eastAsia="Times New Roman" w:hAnsi="Times New Roman"/>
          <w:sz w:val="16"/>
          <w:szCs w:val="16"/>
          <w:u w:val="single" w:color="auto"/>
          <w:color w:val="auto"/>
        </w:rPr>
        <w:t>Section 3.1(b)</w:t>
      </w:r>
      <w:r>
        <w:rPr>
          <w:rFonts w:ascii="Times New Roman" w:cs="Times New Roman" w:eastAsia="Times New Roman" w:hAnsi="Times New Roman"/>
          <w:sz w:val="16"/>
          <w:szCs w:val="16"/>
          <w:color w:val="auto"/>
        </w:rPr>
        <w:t xml:space="preserve"> of the Company Disclosure Memorandum lists all of the Company Subsidiaries, including Company Bank, and for each Company Subsidiary, the jurisdiction of formation. True, correct and complete copies of the Charter Documents of each Company Subsidiary have previously been made available by the Company to Parent. Except as set forth on </w:t>
      </w:r>
      <w:r>
        <w:rPr>
          <w:rFonts w:ascii="Times New Roman" w:cs="Times New Roman" w:eastAsia="Times New Roman" w:hAnsi="Times New Roman"/>
          <w:sz w:val="16"/>
          <w:szCs w:val="16"/>
          <w:u w:val="single" w:color="auto"/>
          <w:color w:val="auto"/>
        </w:rPr>
        <w:t>Sections 3.1(b)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3.24</w:t>
      </w:r>
      <w:r>
        <w:rPr>
          <w:rFonts w:ascii="Times New Roman" w:cs="Times New Roman" w:eastAsia="Times New Roman" w:hAnsi="Times New Roman"/>
          <w:sz w:val="16"/>
          <w:szCs w:val="16"/>
          <w:color w:val="auto"/>
        </w:rPr>
        <w:t xml:space="preserve"> of the Company Disclosure Memorandum, neither the Company nor any of the Company Subsidiaries owns any securities or other investment assets.</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3.2 Authority of the Company; No Conflicts; Consents</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ind w:left="1100" w:right="939" w:firstLine="320"/>
        <w:spacing w:after="0" w:line="251" w:lineRule="auto"/>
        <w:tabs>
          <w:tab w:leader="none" w:pos="1729"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all requisite corporate power and authority to execute and deliver this Agreement and, subject to receipt of the Requisite Company Shareholder Vote, all required consents and the Regulatory Approvals, to consummate the transactions contemplated by this Agreement. The execution, delivery and performance of this Agreement and the consummation of the Merger and the Bank Merger have been duly and validly approved by the Company Board, and the Company Board has adopted this Agreement. The Company Board has determined that the Merger, on the terms and conditions set forth in this Agreement, is fair to, and in the best interests of, the Company and the Company Shareholders, and has resolved to (i) recommend that the Company Shareholders adopt and approve this Agreement and</w:t>
      </w:r>
    </w:p>
    <w:p>
      <w:pPr>
        <w:spacing w:after="0" w:line="2" w:lineRule="exact"/>
        <w:rPr>
          <w:rFonts w:ascii="Times New Roman" w:cs="Times New Roman" w:eastAsia="Times New Roman" w:hAnsi="Times New Roman"/>
          <w:sz w:val="16"/>
          <w:szCs w:val="16"/>
          <w:color w:val="auto"/>
        </w:rPr>
      </w:pPr>
    </w:p>
    <w:p>
      <w:pPr>
        <w:ind w:left="1100" w:right="919" w:firstLine="3"/>
        <w:spacing w:after="0" w:line="248" w:lineRule="auto"/>
        <w:tabs>
          <w:tab w:leader="none" w:pos="135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this Agreement to the Company Shareholders for adoption and approval at a meeting of such shareholders in accordance with the terms of this Agreement, and has adopted resolutions to the foregoing effect. Except for (i) the adoption and approval of this Agreement by the holders of a majority of the outstanding shares of Company Common Stock (the “</w:t>
      </w:r>
      <w:r>
        <w:rPr>
          <w:rFonts w:ascii="Times New Roman" w:cs="Times New Roman" w:eastAsia="Times New Roman" w:hAnsi="Times New Roman"/>
          <w:sz w:val="16"/>
          <w:szCs w:val="16"/>
          <w:b w:val="1"/>
          <w:bCs w:val="1"/>
          <w:i w:val="1"/>
          <w:iCs w:val="1"/>
          <w:color w:val="auto"/>
        </w:rPr>
        <w:t>Requisite Company Shareholder Vote</w:t>
      </w:r>
      <w:r>
        <w:rPr>
          <w:rFonts w:ascii="Times New Roman" w:cs="Times New Roman" w:eastAsia="Times New Roman" w:hAnsi="Times New Roman"/>
          <w:sz w:val="16"/>
          <w:szCs w:val="16"/>
          <w:color w:val="auto"/>
        </w:rPr>
        <w:t>”), (ii) the adoption and approval of the Bank Merger Agreement by the Company as Company Bank’s sole shareholder and</w:t>
      </w:r>
    </w:p>
    <w:p>
      <w:pPr>
        <w:spacing w:after="0" w:line="2" w:lineRule="exact"/>
        <w:rPr>
          <w:rFonts w:ascii="Times New Roman" w:cs="Times New Roman" w:eastAsia="Times New Roman" w:hAnsi="Times New Roman"/>
          <w:sz w:val="16"/>
          <w:szCs w:val="16"/>
          <w:color w:val="auto"/>
        </w:rPr>
      </w:pPr>
    </w:p>
    <w:p>
      <w:pPr>
        <w:ind w:left="1100" w:right="919" w:firstLine="3"/>
        <w:spacing w:after="0" w:line="249" w:lineRule="auto"/>
        <w:tabs>
          <w:tab w:leader="none" w:pos="1397"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and approval of the dissolution of 332 Spring, LLC, a Georgia limited liability company and wholly-owned subsidiary of the Company (“</w:t>
      </w:r>
      <w:r>
        <w:rPr>
          <w:rFonts w:ascii="Times New Roman" w:cs="Times New Roman" w:eastAsia="Times New Roman" w:hAnsi="Times New Roman"/>
          <w:sz w:val="16"/>
          <w:szCs w:val="16"/>
          <w:b w:val="1"/>
          <w:bCs w:val="1"/>
          <w:i w:val="1"/>
          <w:iCs w:val="1"/>
          <w:color w:val="auto"/>
        </w:rPr>
        <w:t>332 Spring</w:t>
      </w:r>
      <w:r>
        <w:rPr>
          <w:rFonts w:ascii="Times New Roman" w:cs="Times New Roman" w:eastAsia="Times New Roman" w:hAnsi="Times New Roman"/>
          <w:sz w:val="16"/>
          <w:szCs w:val="16"/>
          <w:color w:val="auto"/>
        </w:rPr>
        <w:t>”), by the Company as 332 Spring’s sole equity holder, no other corporate proceedings on the part of the Company are necessary to approve this Agreement or to consummate the transactions contemplated hereby. This Agreement has been duly and validly executed and delivered by the Company and (assuming due authorization, execution and delivery by Parent) constitutes a valid and binding obligation of the Company, enforceable against the Company in accordance with its terms (except in all cases as such enforceability may be limited by bankruptcy, insolvency, moratorium, fraudulent transfer, reorganization, restructuring or similar laws affecting the rights of creditors generally and the availability of equitable remedies (the “</w:t>
      </w:r>
      <w:r>
        <w:rPr>
          <w:rFonts w:ascii="Times New Roman" w:cs="Times New Roman" w:eastAsia="Times New Roman" w:hAnsi="Times New Roman"/>
          <w:sz w:val="16"/>
          <w:szCs w:val="16"/>
          <w:b w:val="1"/>
          <w:bCs w:val="1"/>
          <w:i w:val="1"/>
          <w:iCs w:val="1"/>
          <w:color w:val="auto"/>
        </w:rPr>
        <w:t>Enforceability Exceptions</w:t>
      </w:r>
      <w:r>
        <w:rPr>
          <w:rFonts w:ascii="Times New Roman" w:cs="Times New Roman" w:eastAsia="Times New Roman" w:hAnsi="Times New Roman"/>
          <w:sz w:val="16"/>
          <w:szCs w:val="16"/>
          <w:color w:val="auto"/>
        </w:rPr>
        <w:t>”)).</w:t>
      </w:r>
    </w:p>
    <w:p>
      <w:pPr>
        <w:spacing w:after="0" w:line="3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26" w:name="page127"/>
    <w:bookmarkEnd w:id="12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firstLine="320"/>
        <w:spacing w:after="0"/>
        <w:tabs>
          <w:tab w:leader="none" w:pos="1741"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Neither the execution and delivery of this Agreement by the Company, nor the consummation by the Company of the transactions contemplated hereby (including the Bank Merger), nor compliance by the Company with any of the provisions hereof, will (i) conflict with or result in a breach of any provision of the Company’s Charter Documents or any resolution adopted by the Company Board or the Company Shareholders or any Company Subsidiary; (ii) except as set forth on </w:t>
      </w:r>
      <w:r>
        <w:rPr>
          <w:rFonts w:ascii="Times New Roman" w:cs="Times New Roman" w:eastAsia="Times New Roman" w:hAnsi="Times New Roman"/>
          <w:sz w:val="16"/>
          <w:szCs w:val="16"/>
          <w:u w:val="single" w:color="auto"/>
          <w:color w:val="auto"/>
        </w:rPr>
        <w:t>Section 3.2(b)</w:t>
      </w:r>
      <w:r>
        <w:rPr>
          <w:rFonts w:ascii="Times New Roman" w:cs="Times New Roman" w:eastAsia="Times New Roman" w:hAnsi="Times New Roman"/>
          <w:sz w:val="16"/>
          <w:szCs w:val="16"/>
          <w:color w:val="auto"/>
        </w:rPr>
        <w:t xml:space="preserve"> of the Company Disclosure Memorandum, violate, conflict with, constitute or result in a default under or the loss of any benefit under, result in the termination of or a right of termination or cancellation under, accelerate the performance required by, require any consent pursuant to, or result in the creation of any Lien on any asset or property of the Company or any of the Company Subsidiaries under, any agreement, contract, instrument, arrangement or understanding, whether oral or written, that is legally binding (each, a “</w:t>
      </w:r>
      <w:r>
        <w:rPr>
          <w:rFonts w:ascii="Times New Roman" w:cs="Times New Roman" w:eastAsia="Times New Roman" w:hAnsi="Times New Roman"/>
          <w:sz w:val="16"/>
          <w:szCs w:val="16"/>
          <w:b w:val="1"/>
          <w:bCs w:val="1"/>
          <w:i w:val="1"/>
          <w:iCs w:val="1"/>
          <w:color w:val="auto"/>
        </w:rPr>
        <w:t>Contract</w:t>
      </w:r>
      <w:r>
        <w:rPr>
          <w:rFonts w:ascii="Times New Roman" w:cs="Times New Roman" w:eastAsia="Times New Roman" w:hAnsi="Times New Roman"/>
          <w:sz w:val="16"/>
          <w:szCs w:val="16"/>
          <w:color w:val="auto"/>
        </w:rPr>
        <w:t>”) or Permit of the Company or any of the Company Subsidiaries; or (iii) subject to receipt of the Regulatory Approvals, constitute or result in a default under, or require any consent pursuant to, any Law or Order applicable to the Company or any of the Company Subsidiaries or any of their respective properties or assets, except in the case of clauses (ii) and (iii), as would not reasonably be expected to have, individually or in the aggregate, a Material Adverse Effect on the Company. As used in this Agreement, (A) the term “</w:t>
      </w:r>
      <w:r>
        <w:rPr>
          <w:rFonts w:ascii="Times New Roman" w:cs="Times New Roman" w:eastAsia="Times New Roman" w:hAnsi="Times New Roman"/>
          <w:sz w:val="16"/>
          <w:szCs w:val="16"/>
          <w:b w:val="1"/>
          <w:bCs w:val="1"/>
          <w:i w:val="1"/>
          <w:iCs w:val="1"/>
          <w:color w:val="auto"/>
        </w:rPr>
        <w:t>Permit</w:t>
      </w:r>
      <w:r>
        <w:rPr>
          <w:rFonts w:ascii="Times New Roman" w:cs="Times New Roman" w:eastAsia="Times New Roman" w:hAnsi="Times New Roman"/>
          <w:sz w:val="16"/>
          <w:szCs w:val="16"/>
          <w:color w:val="auto"/>
        </w:rPr>
        <w:t>” shall mean any grant, exemption, declaration, registration, filing, order, authorization, approval, consent, exception, accreditation, certificate, license, permit or franchise of, from or required by any Governmental Authority of competent jurisdiction or pursuant to any Law, and (B) the term “</w:t>
      </w:r>
      <w:r>
        <w:rPr>
          <w:rFonts w:ascii="Times New Roman" w:cs="Times New Roman" w:eastAsia="Times New Roman" w:hAnsi="Times New Roman"/>
          <w:sz w:val="16"/>
          <w:szCs w:val="16"/>
          <w:b w:val="1"/>
          <w:bCs w:val="1"/>
          <w:i w:val="1"/>
          <w:iCs w:val="1"/>
          <w:color w:val="auto"/>
        </w:rPr>
        <w:t>Order</w:t>
      </w:r>
      <w:r>
        <w:rPr>
          <w:rFonts w:ascii="Times New Roman" w:cs="Times New Roman" w:eastAsia="Times New Roman" w:hAnsi="Times New Roman"/>
          <w:sz w:val="16"/>
          <w:szCs w:val="16"/>
          <w:color w:val="auto"/>
        </w:rPr>
        <w:t>” shall mean any award, injunction, judgment, decree, determination, writ, stipulation, settlement, order, ruling or verdict or other similar decision issued, promulgated or entered by or with any Governmental Authority of competent jurisdiction.</w:t>
      </w:r>
    </w:p>
    <w:p>
      <w:pPr>
        <w:spacing w:after="0" w:line="108" w:lineRule="exact"/>
        <w:rPr>
          <w:rFonts w:ascii="Times New Roman" w:cs="Times New Roman" w:eastAsia="Times New Roman" w:hAnsi="Times New Roman"/>
          <w:sz w:val="16"/>
          <w:szCs w:val="16"/>
          <w:color w:val="auto"/>
        </w:rPr>
      </w:pPr>
    </w:p>
    <w:p>
      <w:pPr>
        <w:ind w:left="1100" w:right="899" w:firstLine="320"/>
        <w:spacing w:after="0"/>
        <w:tabs>
          <w:tab w:leader="none" w:pos="173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the Regulatory Approvals and the 322 Spring Dissolution Filings (as defined below), no consents or approvals of or filings or registrations with any Governmental Authority are necessary in connection with the consummation by the Company of the Merger and the other transactions contemplated by this Agreement (including the Bank Merger). As used in this Agreement, the term “</w:t>
      </w:r>
      <w:r>
        <w:rPr>
          <w:rFonts w:ascii="Times New Roman" w:cs="Times New Roman" w:eastAsia="Times New Roman" w:hAnsi="Times New Roman"/>
          <w:sz w:val="16"/>
          <w:szCs w:val="16"/>
          <w:b w:val="1"/>
          <w:bCs w:val="1"/>
          <w:i w:val="1"/>
          <w:iCs w:val="1"/>
          <w:color w:val="auto"/>
        </w:rPr>
        <w:t>Regulatory Approvals</w:t>
      </w:r>
      <w:r>
        <w:rPr>
          <w:rFonts w:ascii="Times New Roman" w:cs="Times New Roman" w:eastAsia="Times New Roman" w:hAnsi="Times New Roman"/>
          <w:sz w:val="16"/>
          <w:szCs w:val="16"/>
          <w:color w:val="auto"/>
        </w:rPr>
        <w:t>” shall mean (i) the filing of applications, filings and notices, as applicable, with NYSE by Parent, (ii) the filing with the U.S. Securities and Exchange Commission (the “</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of the Registration Statement (which will include the Proxy Statement/Prospectus) by Parent and the declaration of effectiveness of the Registration Statement by the SEC, (iii) the filing of the Georgia Articles of Merger and the Bank Articles of Merger, (iv) approval of the Board of Governors of the Federal Reserve System (the “</w:t>
      </w:r>
      <w:r>
        <w:rPr>
          <w:rFonts w:ascii="Times New Roman" w:cs="Times New Roman" w:eastAsia="Times New Roman" w:hAnsi="Times New Roman"/>
          <w:sz w:val="16"/>
          <w:szCs w:val="16"/>
          <w:b w:val="1"/>
          <w:bCs w:val="1"/>
          <w:i w:val="1"/>
          <w:iCs w:val="1"/>
          <w:color w:val="auto"/>
        </w:rPr>
        <w:t>Federal Reserve</w:t>
      </w:r>
      <w:r>
        <w:rPr>
          <w:rFonts w:ascii="Times New Roman" w:cs="Times New Roman" w:eastAsia="Times New Roman" w:hAnsi="Times New Roman"/>
          <w:sz w:val="16"/>
          <w:szCs w:val="16"/>
          <w:color w:val="auto"/>
        </w:rPr>
        <w:t>”), the South Carolina Board of Financial Institutions, the Georgia Department of Banking and Finance, and any other regulatory agency which is required to consummate the transactions contemplated by this Agreement (including the Bank Merger), and (v) such filings and approvals as are required to be made or obtained under the securities or “Blue Sky” laws of various states in connection with the issuance of the shares of Parent Common Stock pursuant to this Agreement and the approval of the listing of such Parent Common Stock on NYSE.</w:t>
      </w:r>
    </w:p>
    <w:p>
      <w:pPr>
        <w:spacing w:after="0" w:line="2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3.3 Capital Stock</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1139" w:firstLine="320"/>
        <w:spacing w:after="0" w:line="244" w:lineRule="auto"/>
        <w:tabs>
          <w:tab w:leader="none" w:pos="1729"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the Company consists of (i) 10,000,000 shares of Company Common Stock, par value $5.00 per share, of which (1) 3,000,542 shares are issued and outstanding, and</w:t>
      </w:r>
    </w:p>
    <w:p>
      <w:pPr>
        <w:spacing w:after="0" w:line="1" w:lineRule="exact"/>
        <w:rPr>
          <w:rFonts w:ascii="Times New Roman" w:cs="Times New Roman" w:eastAsia="Times New Roman" w:hAnsi="Times New Roman"/>
          <w:sz w:val="16"/>
          <w:szCs w:val="16"/>
          <w:color w:val="auto"/>
        </w:rPr>
      </w:pPr>
    </w:p>
    <w:p>
      <w:pPr>
        <w:ind w:left="1340" w:hanging="237"/>
        <w:spacing w:after="0"/>
        <w:tabs>
          <w:tab w:leader="none" w:pos="13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11,350 are held in treasury, (ii) 2,000,000 shares of preferred stock of the Company, no par value, of</w:t>
      </w:r>
    </w:p>
    <w:p>
      <w:pPr>
        <w:spacing w:after="0" w:line="6" w:lineRule="exact"/>
        <w:rPr>
          <w:sz w:val="20"/>
          <w:szCs w:val="20"/>
          <w:color w:val="auto"/>
        </w:rPr>
      </w:pPr>
    </w:p>
    <w:p>
      <w:pPr>
        <w:ind w:left="1100" w:right="899"/>
        <w:spacing w:after="0" w:line="237" w:lineRule="auto"/>
        <w:rPr>
          <w:sz w:val="20"/>
          <w:szCs w:val="20"/>
          <w:color w:val="auto"/>
        </w:rPr>
      </w:pPr>
      <w:r>
        <w:rPr>
          <w:rFonts w:ascii="Times New Roman" w:cs="Times New Roman" w:eastAsia="Times New Roman" w:hAnsi="Times New Roman"/>
          <w:sz w:val="16"/>
          <w:szCs w:val="16"/>
          <w:color w:val="auto"/>
        </w:rPr>
        <w:t xml:space="preserve">which no shares are issued and outstanding, (iii) Company Stock Options to purchase an aggregate of 345,750 shares of Company Common Stock are outstanding. All of the issued and outstanding shares of Company Common Stock have been duly authorized and validly issued and are fully paid, nonassessable and free of preemptive rights. There are no bonds, debentures, notes or other indebtedness that have the right to vote on any matters on which Company Shareholders may vote. Except as set forth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of the Company Disclosure Memorandum, no trust preferred or subordinated debt securities of the Company are issued or outstanding. Except as set forth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of the Company Disclosure Memorandum, there are no (A) restricted shares, stock appreciation rights, performance units, contingent value rights, “phantom” stock or similar securities or rights that are derivative of, or valued by reference to, or provide economic benefits based, directly or indirectly, on the value or price of, the Company Common Stock or any other capital stock or voting securities of the Company or any of the Company Subsidiaries, or</w:t>
      </w:r>
    </w:p>
    <w:p>
      <w:pPr>
        <w:spacing w:after="0" w:line="4" w:lineRule="exact"/>
        <w:rPr>
          <w:sz w:val="20"/>
          <w:szCs w:val="20"/>
          <w:color w:val="auto"/>
        </w:rPr>
      </w:pPr>
    </w:p>
    <w:p>
      <w:pPr>
        <w:ind w:left="1100" w:right="899" w:firstLine="3"/>
        <w:spacing w:after="0" w:line="242" w:lineRule="auto"/>
        <w:tabs>
          <w:tab w:leader="none" w:pos="1364"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outstanding subscriptions, options, warrants, rights of first refusal or similar rights, puts, calls, rights, exchangeable or convertible securities or other commitments or agreements of any character obligating the Company to issue, transfer, sell, purchase, redeem or otherwise acquire, any such securities. Except for the Voting and Support Agreements, the Company is not a party to, and, to the Company’s Knowledge, there are no voting</w:t>
      </w:r>
    </w:p>
    <w:p>
      <w:pPr>
        <w:spacing w:after="0" w:line="3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39"/>
        <w:spacing w:after="0" w:line="256" w:lineRule="auto"/>
        <w:rPr>
          <w:sz w:val="20"/>
          <w:szCs w:val="20"/>
          <w:color w:val="auto"/>
        </w:rPr>
      </w:pPr>
      <w:r>
        <w:rPr>
          <w:rFonts w:ascii="Times New Roman" w:cs="Times New Roman" w:eastAsia="Times New Roman" w:hAnsi="Times New Roman"/>
          <w:sz w:val="16"/>
          <w:szCs w:val="16"/>
          <w:color w:val="auto"/>
        </w:rPr>
        <w:t>trusts, shareholder agreements, proxies or other agreements in effect with respect to the voting or transfer of Company Common Stock or other equity interests of the Company. No Company Subsidiary owns any shares of Company Common Stock or other equity interests of the Company.</w:t>
      </w:r>
    </w:p>
    <w:p>
      <w:pPr>
        <w:spacing w:after="0" w:line="90" w:lineRule="exact"/>
        <w:rPr>
          <w:sz w:val="20"/>
          <w:szCs w:val="20"/>
          <w:color w:val="auto"/>
        </w:rPr>
      </w:pPr>
    </w:p>
    <w:p>
      <w:pPr>
        <w:ind w:left="1100" w:right="979" w:firstLine="320"/>
        <w:spacing w:after="0" w:line="243" w:lineRule="auto"/>
        <w:tabs>
          <w:tab w:leader="none" w:pos="1741"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3.3(b)</w:t>
      </w:r>
      <w:r>
        <w:rPr>
          <w:rFonts w:ascii="Times New Roman" w:cs="Times New Roman" w:eastAsia="Times New Roman" w:hAnsi="Times New Roman"/>
          <w:sz w:val="16"/>
          <w:szCs w:val="16"/>
          <w:color w:val="auto"/>
        </w:rPr>
        <w:t xml:space="preserve"> of the Company Disclosure Memorandum sets forth each outstanding Company Stock Option and, to the extent applicable, (i) the name (or employee identification number) and country of residence (if outside the United States) of the holder thereof, (ii) the number of shares of Company Common Stock issuable thereunder, (iii) the exercise price or strike price relating thereto, (iv) the grant date, (v) the amount exercisable and outstanding and the amount not exercisable and outstanding and</w:t>
      </w:r>
    </w:p>
    <w:p>
      <w:pPr>
        <w:spacing w:after="0" w:line="2" w:lineRule="exact"/>
        <w:rPr>
          <w:rFonts w:ascii="Times New Roman" w:cs="Times New Roman" w:eastAsia="Times New Roman" w:hAnsi="Times New Roman"/>
          <w:sz w:val="16"/>
          <w:szCs w:val="16"/>
          <w:color w:val="auto"/>
        </w:rPr>
      </w:pPr>
    </w:p>
    <w:p>
      <w:pPr>
        <w:ind w:left="1100" w:right="959" w:firstLine="3"/>
        <w:spacing w:after="0" w:line="238" w:lineRule="auto"/>
        <w:tabs>
          <w:tab w:leader="none" w:pos="1385"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equity plan in accordance with which the award was made. Each grant of a Company Stock Option was duly authorized no later than the date on which the grant of such Company Stock Option was by its terms to be effective by all necessary corporate action. No Company Stock Option has been granted with a per share exercise price less than the fair market value of a share of Company Common Stock on the applicable date of grant, and the Company has not granted any Company Stock Options that are subject to Section 409A of the Code. The Company has the requisite power and authority, in accordance with the applicable Company equity plan, the applicable award agreements and any other applicable Contracts, to take the actions contemplated by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xml:space="preserve">, and the treatment of Company Stock Options as described in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xml:space="preserve"> as of the Effective Time will be binding on the holders of Company Stock Options.</w:t>
      </w:r>
    </w:p>
    <w:p>
      <w:pPr>
        <w:spacing w:after="0" w:line="104" w:lineRule="exact"/>
        <w:rPr>
          <w:rFonts w:ascii="Times New Roman" w:cs="Times New Roman" w:eastAsia="Times New Roman" w:hAnsi="Times New Roman"/>
          <w:sz w:val="16"/>
          <w:szCs w:val="16"/>
          <w:color w:val="auto"/>
        </w:rPr>
      </w:pPr>
    </w:p>
    <w:p>
      <w:pPr>
        <w:ind w:left="1100" w:right="899" w:firstLine="320"/>
        <w:spacing w:after="0"/>
        <w:tabs>
          <w:tab w:leader="none" w:pos="1732"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xml:space="preserve"> of the Company Disclosure Memorandum, the Company owns, directly or indirectly, all of the issued and outstanding shares of capital stock or other equity ownership interests of each of the Company Subsidiaries, free and clear of any license, sublicense, covenant, condition, restriction, option, right of first refusal or offer (or other third party right), liens, pledges, charges, encumbrances and security interests whatsoever (“</w:t>
      </w:r>
      <w:r>
        <w:rPr>
          <w:rFonts w:ascii="Times New Roman" w:cs="Times New Roman" w:eastAsia="Times New Roman" w:hAnsi="Times New Roman"/>
          <w:sz w:val="16"/>
          <w:szCs w:val="16"/>
          <w:b w:val="1"/>
          <w:bCs w:val="1"/>
          <w:i w:val="1"/>
          <w:iCs w:val="1"/>
          <w:color w:val="auto"/>
        </w:rPr>
        <w:t>Liens</w:t>
      </w:r>
      <w:r>
        <w:rPr>
          <w:rFonts w:ascii="Times New Roman" w:cs="Times New Roman" w:eastAsia="Times New Roman" w:hAnsi="Times New Roman"/>
          <w:sz w:val="16"/>
          <w:szCs w:val="16"/>
          <w:color w:val="auto"/>
        </w:rPr>
        <w:t>”), other than restrictions on transfer under applicable securities or banking Laws, and all of such shares or equity ownership interests are duly authorized and validly issued and are fully paid, nonassessable and free of preemptive rights, with no personal liability attaching to the ownership thereof. No Company Subsidiary has or is bound by any outstanding subscriptions, options, warrants, rights of first refusal or similar rights, puts, calls, rights, exchangeable or convertible securities or other commitments or agreements of any character obligating the purchase or issuance of any shares of capital stock or any other equity security of such Company Subsidiary or any securities representing the right to purchase or otherwise receive any shares of capital stock or any other equity security of such Company Subsidiary.</w:t>
      </w:r>
    </w:p>
    <w:p>
      <w:pPr>
        <w:spacing w:after="0" w:line="29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3.4 Financial Statements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1059" w:firstLine="320"/>
        <w:spacing w:after="0" w:line="242" w:lineRule="auto"/>
        <w:tabs>
          <w:tab w:leader="none" w:pos="1732"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Copies of (i) the Company’s consolidated audited financial statements including the financial information of the Company as of December 31, 2025, 2024 and 2023, including the balance sheets, statements of income, statements of comprehensive income, statements of changes in stockholders’ equity and statements of cash flows for the years then ended (collectively, the “</w:t>
      </w:r>
      <w:r>
        <w:rPr>
          <w:rFonts w:ascii="Times New Roman" w:cs="Times New Roman" w:eastAsia="Times New Roman" w:hAnsi="Times New Roman"/>
          <w:sz w:val="16"/>
          <w:szCs w:val="16"/>
          <w:b w:val="1"/>
          <w:bCs w:val="1"/>
          <w:i w:val="1"/>
          <w:iCs w:val="1"/>
          <w:color w:val="auto"/>
        </w:rPr>
        <w:t>Audited Financial Statements</w:t>
      </w:r>
      <w:r>
        <w:rPr>
          <w:rFonts w:ascii="Times New Roman" w:cs="Times New Roman" w:eastAsia="Times New Roman" w:hAnsi="Times New Roman"/>
          <w:sz w:val="16"/>
          <w:szCs w:val="16"/>
          <w:color w:val="auto"/>
        </w:rPr>
        <w:t>”),</w:t>
      </w:r>
    </w:p>
    <w:p>
      <w:pPr>
        <w:spacing w:after="0" w:line="2" w:lineRule="exact"/>
        <w:rPr>
          <w:rFonts w:ascii="Times New Roman" w:cs="Times New Roman" w:eastAsia="Times New Roman" w:hAnsi="Times New Roman"/>
          <w:sz w:val="16"/>
          <w:szCs w:val="16"/>
          <w:color w:val="auto"/>
        </w:rPr>
      </w:pPr>
    </w:p>
    <w:p>
      <w:pPr>
        <w:ind w:left="1100" w:right="959" w:firstLine="3"/>
        <w:spacing w:after="0" w:line="239" w:lineRule="auto"/>
        <w:tabs>
          <w:tab w:leader="none" w:pos="135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Reports of Condition and Income that were filed by Company Bank prior to the date hereof in 2025, 2024 and 2023 (collectively, the “</w:t>
      </w:r>
      <w:r>
        <w:rPr>
          <w:rFonts w:ascii="Times New Roman" w:cs="Times New Roman" w:eastAsia="Times New Roman" w:hAnsi="Times New Roman"/>
          <w:sz w:val="16"/>
          <w:szCs w:val="16"/>
          <w:b w:val="1"/>
          <w:bCs w:val="1"/>
          <w:i w:val="1"/>
          <w:iCs w:val="1"/>
          <w:color w:val="auto"/>
        </w:rPr>
        <w:t>Call Reports</w:t>
      </w:r>
      <w:r>
        <w:rPr>
          <w:rFonts w:ascii="Times New Roman" w:cs="Times New Roman" w:eastAsia="Times New Roman" w:hAnsi="Times New Roman"/>
          <w:sz w:val="16"/>
          <w:szCs w:val="16"/>
          <w:color w:val="auto"/>
        </w:rPr>
        <w:t>”) and (iii) the unaudited consolidated balance sheet of the Company as of March 31, 2026 (the “</w:t>
      </w:r>
      <w:r>
        <w:rPr>
          <w:rFonts w:ascii="Times New Roman" w:cs="Times New Roman" w:eastAsia="Times New Roman" w:hAnsi="Times New Roman"/>
          <w:sz w:val="16"/>
          <w:szCs w:val="16"/>
          <w:b w:val="1"/>
          <w:bCs w:val="1"/>
          <w:i w:val="1"/>
          <w:iCs w:val="1"/>
          <w:color w:val="auto"/>
        </w:rPr>
        <w:t>Balance Sheet Date</w:t>
      </w:r>
      <w:r>
        <w:rPr>
          <w:rFonts w:ascii="Times New Roman" w:cs="Times New Roman" w:eastAsia="Times New Roman" w:hAnsi="Times New Roman"/>
          <w:sz w:val="16"/>
          <w:szCs w:val="16"/>
          <w:color w:val="auto"/>
        </w:rPr>
        <w:t>”) and the related statements of comprehensive income (loss) for the three-month period then ended (the “</w:t>
      </w:r>
      <w:r>
        <w:rPr>
          <w:rFonts w:ascii="Times New Roman" w:cs="Times New Roman" w:eastAsia="Times New Roman" w:hAnsi="Times New Roman"/>
          <w:sz w:val="16"/>
          <w:szCs w:val="16"/>
          <w:b w:val="1"/>
          <w:bCs w:val="1"/>
          <w:i w:val="1"/>
          <w:iCs w:val="1"/>
          <w:color w:val="auto"/>
        </w:rPr>
        <w:t>Unaudited Financial Statements</w:t>
      </w:r>
      <w:r>
        <w:rPr>
          <w:rFonts w:ascii="Times New Roman" w:cs="Times New Roman" w:eastAsia="Times New Roman" w:hAnsi="Times New Roman"/>
          <w:sz w:val="16"/>
          <w:szCs w:val="16"/>
          <w:color w:val="auto"/>
        </w:rPr>
        <w:t>”) ((i), (ii) and (iii) collectively, the “</w:t>
      </w:r>
      <w:r>
        <w:rPr>
          <w:rFonts w:ascii="Times New Roman" w:cs="Times New Roman" w:eastAsia="Times New Roman" w:hAnsi="Times New Roman"/>
          <w:sz w:val="16"/>
          <w:szCs w:val="16"/>
          <w:b w:val="1"/>
          <w:bCs w:val="1"/>
          <w:i w:val="1"/>
          <w:iCs w:val="1"/>
          <w:color w:val="auto"/>
        </w:rPr>
        <w:t>Financial Statements</w:t>
      </w:r>
      <w:r>
        <w:rPr>
          <w:rFonts w:ascii="Times New Roman" w:cs="Times New Roman" w:eastAsia="Times New Roman" w:hAnsi="Times New Roman"/>
          <w:sz w:val="16"/>
          <w:szCs w:val="16"/>
          <w:color w:val="auto"/>
        </w:rPr>
        <w:t>”) have previously been made available to Parent.</w:t>
      </w:r>
    </w:p>
    <w:p>
      <w:pPr>
        <w:spacing w:after="0" w:line="102" w:lineRule="exact"/>
        <w:rPr>
          <w:rFonts w:ascii="Times New Roman" w:cs="Times New Roman" w:eastAsia="Times New Roman" w:hAnsi="Times New Roman"/>
          <w:sz w:val="16"/>
          <w:szCs w:val="16"/>
          <w:color w:val="auto"/>
        </w:rPr>
      </w:pPr>
    </w:p>
    <w:p>
      <w:pPr>
        <w:ind w:left="1100" w:right="959" w:firstLine="320"/>
        <w:spacing w:after="0" w:line="241" w:lineRule="auto"/>
        <w:tabs>
          <w:tab w:leader="none" w:pos="1741"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assumptions and qualifications set forth therein, the Financial Statements, when read together, (i) present fairly, in all material respects, the consolidated financial position, results of operations, changes in stockholders’ equity and cash flows of the Company and the Company Subsidiaries, for the respective periods or as of the respective dates set forth therein (subject in the case of unaudited statements to year-end audit adjustments normal in nature and amount), (ii) have been prepared in accordance with the books and records of the Company and the Company Subsidiaries and (iii) have been prepared in accordance with GAAP applied on a consistent basis throughout the periods covered thereby. All Call Reports required to be filed by Company Bank within the twelve (12) months preceding the date hereof have been filed on a timely basis. As of their respective filing dates, the Call Reports complied in all material respects with all statutes and applicable rules and regulations of any applicable governmental agency or body, as the case may be. The books and records of the Company and the Company Subsidiaries have been, and are being, maintained in all material respects in accordance with GAAP and any other applicable legal and accounting requirements and reflect only actual transactions. Since January 1, 2024, no independent auditor of the</w:t>
      </w:r>
    </w:p>
    <w:p>
      <w:pPr>
        <w:spacing w:after="0" w:line="200" w:lineRule="exact"/>
        <w:rPr>
          <w:sz w:val="20"/>
          <w:szCs w:val="20"/>
          <w:color w:val="auto"/>
        </w:rPr>
      </w:pPr>
    </w:p>
    <w:p>
      <w:pPr>
        <w:spacing w:after="0" w:line="3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spacing w:after="0" w:line="256" w:lineRule="auto"/>
        <w:rPr>
          <w:sz w:val="20"/>
          <w:szCs w:val="20"/>
          <w:color w:val="auto"/>
        </w:rPr>
      </w:pPr>
      <w:r>
        <w:rPr>
          <w:rFonts w:ascii="Times New Roman" w:cs="Times New Roman" w:eastAsia="Times New Roman" w:hAnsi="Times New Roman"/>
          <w:sz w:val="16"/>
          <w:szCs w:val="16"/>
          <w:color w:val="auto"/>
        </w:rPr>
        <w:t>Company has resigned (or informed the Company that it intends to resign) or been dismissed as independent auditors of the Company as a result of, or in connection with, any disagreements with the Company on a matter of accounting principles or practices, financial statement disclosure or auditing scope or procedure.</w:t>
      </w:r>
    </w:p>
    <w:p>
      <w:pPr>
        <w:spacing w:after="0" w:line="90" w:lineRule="exact"/>
        <w:rPr>
          <w:sz w:val="20"/>
          <w:szCs w:val="20"/>
          <w:color w:val="auto"/>
        </w:rPr>
      </w:pPr>
    </w:p>
    <w:p>
      <w:pPr>
        <w:ind w:left="1100" w:right="919" w:firstLine="320"/>
        <w:spacing w:after="0" w:line="245" w:lineRule="auto"/>
        <w:tabs>
          <w:tab w:leader="none" w:pos="173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in the Financial Statements or on any schedules hereto, neither the Company nor any of the Company Subsidiaries is liable upon or with respect to, or obligated in any other way to provide funds in respect of or to guarantee or assume in any manner, any debt, obligation or dividend of any Person (other than debts or obligations of the Company or the Company Subsidiaries). Neither the Company nor any of the Company Subsidiaries is currently liable for, or obligated to pay, any deferred purchase price amount arising from the acquisition of the equity or assets of a Person.</w:t>
      </w:r>
    </w:p>
    <w:p>
      <w:pPr>
        <w:spacing w:after="0" w:line="100" w:lineRule="exact"/>
        <w:rPr>
          <w:rFonts w:ascii="Times New Roman" w:cs="Times New Roman" w:eastAsia="Times New Roman" w:hAnsi="Times New Roman"/>
          <w:sz w:val="16"/>
          <w:szCs w:val="16"/>
          <w:color w:val="auto"/>
        </w:rPr>
      </w:pPr>
    </w:p>
    <w:p>
      <w:pPr>
        <w:ind w:left="1100" w:right="919" w:firstLine="320"/>
        <w:spacing w:after="0" w:line="239" w:lineRule="auto"/>
        <w:tabs>
          <w:tab w:leader="none" w:pos="1738"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records, systems, controls, data and information of the Company and the Company Subsidiaries are recorded, stored, maintained and operated under means (including any electronic, mechanical or photographic process, whether computerized or not) that are under the exclusive ownership and control of the Company or the Company Subsidiaries or their respective accountants (including all means of access thereto and therefrom), except for any non-exclusive ownership and non-direct control that, either individually or in the aggregate, would not be reasonably likely to have a Material Adverse Effect on the Company. The Company and the Company Subsidiaries have established and maintain a system of internal accounting controls sufficient to provide reasonable assurances that (i) transactions are executed in accordance with its management’s general or specific authorizations and (ii) transactions are recorded in conformity with GAAP and applicable Law. None of the Company, the Company Subsidiaries or to the Company’s Knowledge, any director, officer, employee, agent or other Person acting on behalf of the Company or any of the Company Subsidiaries, has made any fraudulent entry on the books or records of the Company or any of the Company Subsidiaries. Neither the Company nor any of the Company Subsidiaries nor, to the Company’s Knowledge, any director, senior executive officer, or auditor independent accountant of the Company or the Company Subsidiaries, has received written notice or otherwise obtained actual knowledge of any material weakness regarding the accounting or auditing practices, procedures or methods of the Company or any of the Company Subsidiaries or their respective internal accounting controls.</w:t>
      </w:r>
    </w:p>
    <w:p>
      <w:pPr>
        <w:spacing w:after="0" w:line="113" w:lineRule="exact"/>
        <w:rPr>
          <w:rFonts w:ascii="Times New Roman" w:cs="Times New Roman" w:eastAsia="Times New Roman" w:hAnsi="Times New Roman"/>
          <w:sz w:val="16"/>
          <w:szCs w:val="16"/>
          <w:color w:val="auto"/>
        </w:rPr>
      </w:pPr>
    </w:p>
    <w:p>
      <w:pPr>
        <w:ind w:left="1100" w:right="899" w:firstLine="320"/>
        <w:spacing w:after="0" w:line="241" w:lineRule="auto"/>
        <w:tabs>
          <w:tab w:leader="none" w:pos="1729"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have (i) implemented and at all times maintained disclosure controls and procedures to ensure that material information relating to the Company and the Company Subsidiaries is made known in a timely manner to the chief executive officer and the chief financial officer of the Company by others within those entities, and (ii) disclosed, based on the most recent evaluation prior to the date of this Agreement, to the Company’s outside auditors and the audit committee of the Company Board (A) any significant deficiencies and material weaknesses in the design or operation of internal controls over financial reporting that are reasonably likely to adversely affect the Company’s ability to record, process, summarize and report financial information and (B) any fraud, whether or not material, that involves management or other employees who have a significant role in the Company’s internal controls over financial reporting.</w:t>
      </w:r>
    </w:p>
    <w:p>
      <w:pPr>
        <w:spacing w:after="0" w:line="2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3.5 332 Spring</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ind w:left="1100" w:right="959" w:firstLine="320"/>
        <w:spacing w:after="0" w:line="256" w:lineRule="auto"/>
        <w:tabs>
          <w:tab w:leader="none" w:pos="1732"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3.5(a)</w:t>
      </w:r>
      <w:r>
        <w:rPr>
          <w:rFonts w:ascii="Times New Roman" w:cs="Times New Roman" w:eastAsia="Times New Roman" w:hAnsi="Times New Roman"/>
          <w:sz w:val="16"/>
          <w:szCs w:val="16"/>
          <w:color w:val="auto"/>
        </w:rPr>
        <w:t xml:space="preserve"> of the Company Disclosure Memorandum, as of the date of this Agreement, 332 Spring is not party to any Contract or any other arrangement with any of the Company, Company Bank and/or any third party.</w:t>
      </w:r>
    </w:p>
    <w:p>
      <w:pPr>
        <w:spacing w:after="0" w:line="90" w:lineRule="exact"/>
        <w:rPr>
          <w:rFonts w:ascii="Times New Roman" w:cs="Times New Roman" w:eastAsia="Times New Roman" w:hAnsi="Times New Roman"/>
          <w:sz w:val="16"/>
          <w:szCs w:val="16"/>
          <w:color w:val="auto"/>
        </w:rPr>
      </w:pPr>
    </w:p>
    <w:p>
      <w:pPr>
        <w:ind w:left="1100" w:right="919" w:firstLine="320"/>
        <w:spacing w:after="0" w:line="244" w:lineRule="auto"/>
        <w:tabs>
          <w:tab w:leader="none" w:pos="1741"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3.5(b)</w:t>
      </w:r>
      <w:r>
        <w:rPr>
          <w:rFonts w:ascii="Times New Roman" w:cs="Times New Roman" w:eastAsia="Times New Roman" w:hAnsi="Times New Roman"/>
          <w:sz w:val="16"/>
          <w:szCs w:val="16"/>
          <w:color w:val="auto"/>
        </w:rPr>
        <w:t xml:space="preserve"> of the Company Disclosure Memorandum sets forth, as of the Balance Sheet Date, the non-consolidated balance sheet of 332 Spring. As of the Balance Sheet Date, 332 Spring does not have any material liability or obligation (whether absolute, accrued, contingent or otherwise) except for those liabilities that are reflected or reserved against on the non-consolidated balance sheet of 332 Spring set forth on </w:t>
      </w:r>
      <w:r>
        <w:rPr>
          <w:rFonts w:ascii="Times New Roman" w:cs="Times New Roman" w:eastAsia="Times New Roman" w:hAnsi="Times New Roman"/>
          <w:sz w:val="16"/>
          <w:szCs w:val="16"/>
          <w:u w:val="single" w:color="auto"/>
          <w:color w:val="auto"/>
        </w:rPr>
        <w:t>Section 3.5(b)</w:t>
      </w:r>
      <w:r>
        <w:rPr>
          <w:rFonts w:ascii="Times New Roman" w:cs="Times New Roman" w:eastAsia="Times New Roman" w:hAnsi="Times New Roman"/>
          <w:sz w:val="16"/>
          <w:szCs w:val="16"/>
          <w:color w:val="auto"/>
        </w:rPr>
        <w:t xml:space="preserve"> of the Company Disclosure Memorandum.</w:t>
      </w:r>
    </w:p>
    <w:p>
      <w:pPr>
        <w:spacing w:after="0" w:line="99" w:lineRule="exact"/>
        <w:rPr>
          <w:sz w:val="20"/>
          <w:szCs w:val="20"/>
          <w:color w:val="auto"/>
        </w:rPr>
      </w:pPr>
    </w:p>
    <w:p>
      <w:pPr>
        <w:jc w:val="both"/>
        <w:ind w:left="1100" w:right="919" w:firstLine="318"/>
        <w:spacing w:after="0" w:line="246" w:lineRule="auto"/>
        <w:rPr>
          <w:sz w:val="20"/>
          <w:szCs w:val="20"/>
          <w:color w:val="auto"/>
        </w:rPr>
      </w:pPr>
      <w:r>
        <w:rPr>
          <w:rFonts w:ascii="Times New Roman" w:cs="Times New Roman" w:eastAsia="Times New Roman" w:hAnsi="Times New Roman"/>
          <w:sz w:val="16"/>
          <w:szCs w:val="16"/>
          <w:b w:val="1"/>
          <w:bCs w:val="1"/>
          <w:color w:val="auto"/>
        </w:rPr>
        <w:t>3.6 Absence of Undisclosed Liabilities</w:t>
      </w:r>
      <w:r>
        <w:rPr>
          <w:rFonts w:ascii="Times New Roman" w:cs="Times New Roman" w:eastAsia="Times New Roman" w:hAnsi="Times New Roman"/>
          <w:sz w:val="16"/>
          <w:szCs w:val="16"/>
          <w:color w:val="auto"/>
        </w:rPr>
        <w:t>. Neither the Company nor any of the Company Subsidiaries has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material liability or obligation (whether absolute, accrued, contingent or otherwise), except for (a) those liabilities that are reflected or reserved against on the Financial Statements (including any notes thereto),</w:t>
      </w:r>
    </w:p>
    <w:p>
      <w:pPr>
        <w:spacing w:after="0" w:line="2" w:lineRule="exact"/>
        <w:rPr>
          <w:sz w:val="20"/>
          <w:szCs w:val="20"/>
          <w:color w:val="auto"/>
        </w:rPr>
      </w:pPr>
    </w:p>
    <w:p>
      <w:pPr>
        <w:ind w:left="1100" w:right="979" w:firstLine="3"/>
        <w:spacing w:after="0"/>
        <w:tabs>
          <w:tab w:leader="none" w:pos="1337"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those liabilities incurred in the ordinary course of business consistent with past practice from the Balance Sheet Date through the date of this Agreement, (c) those liabilities incurred in connection with this Agreement and the transactions contemplated hereby, and (d) those liabilities and obligations, if any, set forth on </w:t>
      </w:r>
      <w:r>
        <w:rPr>
          <w:rFonts w:ascii="Times New Roman" w:cs="Times New Roman" w:eastAsia="Times New Roman" w:hAnsi="Times New Roman"/>
          <w:sz w:val="16"/>
          <w:szCs w:val="16"/>
          <w:u w:val="single" w:color="auto"/>
          <w:color w:val="auto"/>
        </w:rPr>
        <w:t>Section 3.6</w:t>
      </w:r>
      <w:r>
        <w:rPr>
          <w:rFonts w:ascii="Times New Roman" w:cs="Times New Roman" w:eastAsia="Times New Roman" w:hAnsi="Times New Roman"/>
          <w:sz w:val="16"/>
          <w:szCs w:val="16"/>
          <w:color w:val="auto"/>
        </w:rPr>
        <w:t xml:space="preserve"> of the Company Disclosure Memorandum.</w:t>
      </w:r>
    </w:p>
    <w:p>
      <w:pPr>
        <w:spacing w:after="0" w:line="3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right="1079" w:firstLine="318"/>
        <w:spacing w:after="0" w:line="243" w:lineRule="auto"/>
        <w:rPr>
          <w:sz w:val="20"/>
          <w:szCs w:val="20"/>
          <w:color w:val="auto"/>
        </w:rPr>
      </w:pPr>
      <w:r>
        <w:rPr>
          <w:rFonts w:ascii="Times New Roman" w:cs="Times New Roman" w:eastAsia="Times New Roman" w:hAnsi="Times New Roman"/>
          <w:sz w:val="16"/>
          <w:szCs w:val="16"/>
          <w:b w:val="1"/>
          <w:bCs w:val="1"/>
          <w:color w:val="auto"/>
        </w:rPr>
        <w:t>3.7 Absence of Certain Changes or Events</w:t>
      </w:r>
      <w:r>
        <w:rPr>
          <w:rFonts w:ascii="Times New Roman" w:cs="Times New Roman" w:eastAsia="Times New Roman" w:hAnsi="Times New Roman"/>
          <w:sz w:val="16"/>
          <w:szCs w:val="16"/>
          <w:color w:val="auto"/>
        </w:rPr>
        <w:t>. From the Balance Sheet Date through the date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Agreement, except as set forth on </w:t>
      </w:r>
      <w:r>
        <w:rPr>
          <w:rFonts w:ascii="Times New Roman" w:cs="Times New Roman" w:eastAsia="Times New Roman" w:hAnsi="Times New Roman"/>
          <w:sz w:val="16"/>
          <w:szCs w:val="16"/>
          <w:u w:val="single" w:color="auto"/>
          <w:color w:val="auto"/>
        </w:rPr>
        <w:t>Section 3.7</w:t>
      </w:r>
      <w:r>
        <w:rPr>
          <w:rFonts w:ascii="Times New Roman" w:cs="Times New Roman" w:eastAsia="Times New Roman" w:hAnsi="Times New Roman"/>
          <w:sz w:val="16"/>
          <w:szCs w:val="16"/>
          <w:color w:val="auto"/>
        </w:rPr>
        <w:t xml:space="preserve"> of the Company Disclosure Memorandum, (a) the Company and the Company Subsidiaries have operated in the ordinary course of business consistent with past practice, (b) there has not occurred any Material Adverse Effect with respect to the Company or the Company Subsidiaries and (c) there has been no action taken by the Company or any of the Company Subsidiaries that would have required Parent’s consent if the Company had been subject to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at such time.</w:t>
      </w:r>
    </w:p>
    <w:p>
      <w:pPr>
        <w:spacing w:after="0" w:line="2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3.8 Compliance with Laws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59" w:firstLine="320"/>
        <w:spacing w:after="0"/>
        <w:tabs>
          <w:tab w:leader="none" w:pos="1729"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the Company Subsidiaries are, and have been since January 1, 2023, in compliance in all material respects with all applicable Laws and Orders, including the USA PATRIOT Act, the Bank Secrecy Act, the Equal Credit Opportunity Act and Regulation B, the Community Reinvestment Act, the Fair Credit Reporting Act, the Truth in Lending Act and Regulation Z,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and any other law relating to bank secrecy, fair lending, financing or leasing practices, money laundering prevention, Sections 23A and 23B of the Federal Reserve Act, all agency requirements relating to the origination, sale and servicing of consumer loans and all requirements of the Coronavirus Aid, Relief, and Economic Security (CARES) Act and the Paycheck Protection Program.</w:t>
      </w:r>
    </w:p>
    <w:p>
      <w:pPr>
        <w:spacing w:after="0" w:line="292" w:lineRule="exact"/>
        <w:rPr>
          <w:rFonts w:ascii="Times New Roman" w:cs="Times New Roman" w:eastAsia="Times New Roman" w:hAnsi="Times New Roman"/>
          <w:sz w:val="16"/>
          <w:szCs w:val="16"/>
          <w:color w:val="auto"/>
        </w:rPr>
      </w:pPr>
    </w:p>
    <w:p>
      <w:pPr>
        <w:ind w:left="1100" w:right="1059" w:firstLine="320"/>
        <w:spacing w:after="0" w:line="245" w:lineRule="auto"/>
        <w:tabs>
          <w:tab w:leader="none" w:pos="1738"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the Company Subsidiaries hold, and have at all times since January 1, 2023 held,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and no suspension or cancellation of any such necessary license, franchise, Permit or authorization is pending or, to the Company’s Knowledge, threatened.</w:t>
      </w:r>
    </w:p>
    <w:p>
      <w:pPr>
        <w:spacing w:after="0" w:line="100" w:lineRule="exact"/>
        <w:rPr>
          <w:rFonts w:ascii="Times New Roman" w:cs="Times New Roman" w:eastAsia="Times New Roman" w:hAnsi="Times New Roman"/>
          <w:sz w:val="16"/>
          <w:szCs w:val="16"/>
          <w:color w:val="auto"/>
        </w:rPr>
      </w:pPr>
    </w:p>
    <w:p>
      <w:pPr>
        <w:ind w:left="1100" w:right="979" w:firstLine="320"/>
        <w:spacing w:after="0" w:line="241" w:lineRule="auto"/>
        <w:tabs>
          <w:tab w:leader="none" w:pos="1732"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any of the Company Subsidiaries, or, to the Company’s Knowledge, any of their respective directors, officers, employees, agents or other Persons acting at the direction of the Company or a Company Subsidiary has: (i) directly or indirectly, used any corporate funds for unlawful contributions, gifts, entertainment or other unlawful expenses relating to foreign or domestic political activity; (ii) made any direct or indirect unlawful payments to any foreign or domestic governmental officials or employees or to any foreign or domestic political parties or campaigns from corporate funds;</w:t>
      </w:r>
    </w:p>
    <w:p>
      <w:pPr>
        <w:spacing w:after="0" w:line="4" w:lineRule="exact"/>
        <w:rPr>
          <w:rFonts w:ascii="Times New Roman" w:cs="Times New Roman" w:eastAsia="Times New Roman" w:hAnsi="Times New Roman"/>
          <w:sz w:val="16"/>
          <w:szCs w:val="16"/>
          <w:color w:val="auto"/>
        </w:rPr>
      </w:pPr>
    </w:p>
    <w:p>
      <w:pPr>
        <w:jc w:val="both"/>
        <w:ind w:left="1100" w:right="999" w:firstLine="3"/>
        <w:spacing w:after="0" w:line="238" w:lineRule="auto"/>
        <w:tabs>
          <w:tab w:leader="none" w:pos="1397"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violated any provision of the Foreign Corrupt Practices Act of 1977, as amended (the “</w:t>
      </w:r>
      <w:r>
        <w:rPr>
          <w:rFonts w:ascii="Times New Roman" w:cs="Times New Roman" w:eastAsia="Times New Roman" w:hAnsi="Times New Roman"/>
          <w:sz w:val="16"/>
          <w:szCs w:val="16"/>
          <w:b w:val="1"/>
          <w:bCs w:val="1"/>
          <w:i w:val="1"/>
          <w:iCs w:val="1"/>
          <w:color w:val="auto"/>
        </w:rPr>
        <w:t>Foreign Corrupt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Practices Act</w:t>
      </w:r>
      <w:r>
        <w:rPr>
          <w:rFonts w:ascii="Times New Roman" w:cs="Times New Roman" w:eastAsia="Times New Roman" w:hAnsi="Times New Roman"/>
          <w:sz w:val="16"/>
          <w:szCs w:val="16"/>
          <w:color w:val="auto"/>
        </w:rPr>
        <w:t>”); or (iv) made any other unlawful bribe, rebate, payoff, influence payment, kickback or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material unlawful payment to any foreign or domestic government official or employee.</w:t>
      </w:r>
    </w:p>
    <w:p>
      <w:pPr>
        <w:spacing w:after="0" w:line="102" w:lineRule="exact"/>
        <w:rPr>
          <w:rFonts w:ascii="Times New Roman" w:cs="Times New Roman" w:eastAsia="Times New Roman" w:hAnsi="Times New Roman"/>
          <w:sz w:val="16"/>
          <w:szCs w:val="16"/>
          <w:color w:val="auto"/>
        </w:rPr>
      </w:pPr>
    </w:p>
    <w:p>
      <w:pPr>
        <w:ind w:left="1100" w:right="1019" w:firstLine="320"/>
        <w:spacing w:after="0" w:line="254" w:lineRule="auto"/>
        <w:tabs>
          <w:tab w:leader="none" w:pos="1741"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the Company Subsidiaries is in default in any material respect under or in violation of any term or provision of (i) its certificate of formation, certificate of incorporation, articles of organization, articles of incorporation, articles of association, bylaws, operating agreement or other similar organizational document (collectively, “</w:t>
      </w:r>
      <w:r>
        <w:rPr>
          <w:rFonts w:ascii="Times New Roman" w:cs="Times New Roman" w:eastAsia="Times New Roman" w:hAnsi="Times New Roman"/>
          <w:sz w:val="16"/>
          <w:szCs w:val="16"/>
          <w:b w:val="1"/>
          <w:bCs w:val="1"/>
          <w:i w:val="1"/>
          <w:iCs w:val="1"/>
          <w:color w:val="auto"/>
        </w:rPr>
        <w:t>Charter Documents</w:t>
      </w:r>
      <w:r>
        <w:rPr>
          <w:rFonts w:ascii="Times New Roman" w:cs="Times New Roman" w:eastAsia="Times New Roman" w:hAnsi="Times New Roman"/>
          <w:sz w:val="16"/>
          <w:szCs w:val="16"/>
          <w:color w:val="auto"/>
        </w:rPr>
        <w:t>”), (ii) any Material Contract or</w:t>
      </w:r>
    </w:p>
    <w:p>
      <w:pPr>
        <w:ind w:left="1400" w:hanging="297"/>
        <w:spacing w:after="0"/>
        <w:tabs>
          <w:tab w:leader="none" w:pos="140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Permit which it holds.</w:t>
      </w:r>
    </w:p>
    <w:p>
      <w:pPr>
        <w:spacing w:after="0" w:line="120" w:lineRule="exact"/>
        <w:rPr>
          <w:rFonts w:ascii="Times New Roman" w:cs="Times New Roman" w:eastAsia="Times New Roman" w:hAnsi="Times New Roman"/>
          <w:sz w:val="16"/>
          <w:szCs w:val="16"/>
          <w:color w:val="auto"/>
        </w:rPr>
      </w:pPr>
    </w:p>
    <w:p>
      <w:pPr>
        <w:ind w:left="1100" w:right="999" w:firstLine="320"/>
        <w:spacing w:after="0" w:line="254" w:lineRule="auto"/>
        <w:tabs>
          <w:tab w:leader="none" w:pos="1729"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implemented one or more policies addressing each of ethics, personal trading policies, conflicts of interest policies, customer privacy policies, anti-money laundering policies, fair lending policies, vendor risk management policies, policies related to compliance with the Foreign Corrupt Practices Act and other material policies as may be required by any applicable Law for itself and the Company Subsidiaries, and a complete and correct copy of each such policy has been made available to Parent. Such policies comply in all material respects with the requirements of any Laws applicable thereto.</w:t>
      </w:r>
    </w:p>
    <w:p>
      <w:pPr>
        <w:spacing w:after="0" w:line="106" w:lineRule="exact"/>
        <w:rPr>
          <w:rFonts w:ascii="Times New Roman" w:cs="Times New Roman" w:eastAsia="Times New Roman" w:hAnsi="Times New Roman"/>
          <w:sz w:val="16"/>
          <w:szCs w:val="16"/>
          <w:color w:val="auto"/>
        </w:rPr>
      </w:pPr>
    </w:p>
    <w:p>
      <w:pPr>
        <w:ind w:left="1100" w:right="959" w:firstLine="320"/>
        <w:spacing w:after="0" w:line="254" w:lineRule="auto"/>
        <w:tabs>
          <w:tab w:leader="none" w:pos="1711"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a written information privacy and security program that maintains reasonable measures to protect the privacy, confidentiality and security of all data or information that constitutes personal data or personal information under applicable law (“</w:t>
      </w:r>
      <w:r>
        <w:rPr>
          <w:rFonts w:ascii="Times New Roman" w:cs="Times New Roman" w:eastAsia="Times New Roman" w:hAnsi="Times New Roman"/>
          <w:sz w:val="16"/>
          <w:szCs w:val="16"/>
          <w:b w:val="1"/>
          <w:bCs w:val="1"/>
          <w:i w:val="1"/>
          <w:iCs w:val="1"/>
          <w:color w:val="auto"/>
        </w:rPr>
        <w:t>Personal Data</w:t>
      </w:r>
      <w:r>
        <w:rPr>
          <w:rFonts w:ascii="Times New Roman" w:cs="Times New Roman" w:eastAsia="Times New Roman" w:hAnsi="Times New Roman"/>
          <w:sz w:val="16"/>
          <w:szCs w:val="16"/>
          <w:color w:val="auto"/>
        </w:rPr>
        <w:t>”) against any (i) loss or misuse of Personal Data, (ii) unauthorized or unlawful operations performed upon Personal Data or</w:t>
      </w:r>
    </w:p>
    <w:p>
      <w:pPr>
        <w:ind w:left="1400" w:hanging="297"/>
        <w:spacing w:after="0"/>
        <w:tabs>
          <w:tab w:leader="none" w:pos="14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act or omission that compromises the security or confidentiality of Personal Data (clauses</w:t>
      </w:r>
    </w:p>
    <w:p>
      <w:pPr>
        <w:spacing w:after="0" w:line="6" w:lineRule="exact"/>
        <w:rPr>
          <w:rFonts w:ascii="Times New Roman" w:cs="Times New Roman" w:eastAsia="Times New Roman" w:hAnsi="Times New Roman"/>
          <w:sz w:val="16"/>
          <w:szCs w:val="16"/>
          <w:color w:val="auto"/>
        </w:rPr>
      </w:pPr>
    </w:p>
    <w:p>
      <w:pPr>
        <w:jc w:val="both"/>
        <w:ind w:left="1100" w:right="1159" w:firstLine="3"/>
        <w:spacing w:after="0" w:line="252" w:lineRule="auto"/>
        <w:tabs>
          <w:tab w:leader="none" w:pos="1302"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(iii), a “</w:t>
      </w:r>
      <w:r>
        <w:rPr>
          <w:rFonts w:ascii="Times New Roman" w:cs="Times New Roman" w:eastAsia="Times New Roman" w:hAnsi="Times New Roman"/>
          <w:sz w:val="16"/>
          <w:szCs w:val="16"/>
          <w:b w:val="1"/>
          <w:bCs w:val="1"/>
          <w:i w:val="1"/>
          <w:iCs w:val="1"/>
          <w:color w:val="auto"/>
        </w:rPr>
        <w:t>Security Breach</w:t>
      </w:r>
      <w:r>
        <w:rPr>
          <w:rFonts w:ascii="Times New Roman" w:cs="Times New Roman" w:eastAsia="Times New Roman" w:hAnsi="Times New Roman"/>
          <w:sz w:val="16"/>
          <w:szCs w:val="16"/>
          <w:color w:val="auto"/>
        </w:rPr>
        <w:t>”). To the Company’s Knowledge, neither the Company nor any of the Company Subsidiaries has experienced any Security Breach that, individually or in the aggregate, would reasonably be</w:t>
      </w: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139"/>
        <w:spacing w:after="0" w:line="248" w:lineRule="auto"/>
        <w:rPr>
          <w:sz w:val="20"/>
          <w:szCs w:val="20"/>
          <w:color w:val="auto"/>
        </w:rPr>
      </w:pPr>
      <w:r>
        <w:rPr>
          <w:rFonts w:ascii="Times New Roman" w:cs="Times New Roman" w:eastAsia="Times New Roman" w:hAnsi="Times New Roman"/>
          <w:sz w:val="16"/>
          <w:szCs w:val="16"/>
          <w:color w:val="auto"/>
        </w:rPr>
        <w:t>expected to have a Material Adverse Effect on the Company. To the Company’s Knowledge, there are no data security or other technological vulnerabilities with respect to the Company’s or any of the Company Subsidiaries’ information technology systems or networks that, individually or in the aggregate, would reasonably be expected to have a Material Adverse Effect on the Company.</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3.9 Legal Proceedings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99" w:firstLine="320"/>
        <w:spacing w:after="0" w:line="245" w:lineRule="auto"/>
        <w:tabs>
          <w:tab w:leader="none" w:pos="1732"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3.9(a)</w:t>
      </w:r>
      <w:r>
        <w:rPr>
          <w:rFonts w:ascii="Times New Roman" w:cs="Times New Roman" w:eastAsia="Times New Roman" w:hAnsi="Times New Roman"/>
          <w:sz w:val="16"/>
          <w:szCs w:val="16"/>
          <w:color w:val="auto"/>
        </w:rPr>
        <w:t xml:space="preserve"> of the Company Disclosure Memorandum, there is no material legal, administrative, arbitral or other proceeding, claim, action or governmental or regulatory investigation of any nature (each, a “</w:t>
      </w:r>
      <w:r>
        <w:rPr>
          <w:rFonts w:ascii="Times New Roman" w:cs="Times New Roman" w:eastAsia="Times New Roman" w:hAnsi="Times New Roman"/>
          <w:sz w:val="16"/>
          <w:szCs w:val="16"/>
          <w:b w:val="1"/>
          <w:bCs w:val="1"/>
          <w:i w:val="1"/>
          <w:iCs w:val="1"/>
          <w:color w:val="auto"/>
        </w:rPr>
        <w:t>Proceeding</w:t>
      </w:r>
      <w:r>
        <w:rPr>
          <w:rFonts w:ascii="Times New Roman" w:cs="Times New Roman" w:eastAsia="Times New Roman" w:hAnsi="Times New Roman"/>
          <w:sz w:val="16"/>
          <w:szCs w:val="16"/>
          <w:color w:val="auto"/>
        </w:rPr>
        <w:t>”) pending or, to the Company’s Knowledge, threatened, either (i) against the Company or any of the Company Subsidiaries, or to which any assets, interest or right of any of them may be subject, or (ii) seeking to prevent, materially alter or delay any of the transactions contemplated by this Agreement.</w:t>
      </w:r>
    </w:p>
    <w:p>
      <w:pPr>
        <w:spacing w:after="0" w:line="100" w:lineRule="exact"/>
        <w:rPr>
          <w:rFonts w:ascii="Times New Roman" w:cs="Times New Roman" w:eastAsia="Times New Roman" w:hAnsi="Times New Roman"/>
          <w:sz w:val="16"/>
          <w:szCs w:val="16"/>
          <w:color w:val="auto"/>
        </w:rPr>
      </w:pPr>
    </w:p>
    <w:p>
      <w:pPr>
        <w:ind w:left="1100" w:right="919" w:firstLine="320"/>
        <w:spacing w:after="0" w:line="248" w:lineRule="auto"/>
        <w:tabs>
          <w:tab w:leader="none" w:pos="1741"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3.9(b)</w:t>
      </w:r>
      <w:r>
        <w:rPr>
          <w:rFonts w:ascii="Times New Roman" w:cs="Times New Roman" w:eastAsia="Times New Roman" w:hAnsi="Times New Roman"/>
          <w:sz w:val="16"/>
          <w:szCs w:val="16"/>
          <w:color w:val="auto"/>
        </w:rPr>
        <w:t xml:space="preserve"> of the Company Disclosure Memorandum, there is no Order either (i) outstanding against the Company or any of the Company Subsidiaries, or to which any assets, interest or right of any of them may be subject, or (ii) seeking to prevent, materially alter or delay any of the transactions contemplated by this Agreement.</w:t>
      </w:r>
    </w:p>
    <w:p>
      <w:pPr>
        <w:spacing w:after="0" w:line="97" w:lineRule="exact"/>
        <w:rPr>
          <w:rFonts w:ascii="Times New Roman" w:cs="Times New Roman" w:eastAsia="Times New Roman" w:hAnsi="Times New Roman"/>
          <w:sz w:val="16"/>
          <w:szCs w:val="16"/>
          <w:color w:val="auto"/>
        </w:rPr>
      </w:pPr>
    </w:p>
    <w:p>
      <w:pPr>
        <w:jc w:val="both"/>
        <w:ind w:left="1100" w:right="959" w:firstLine="320"/>
        <w:spacing w:after="0" w:line="248" w:lineRule="auto"/>
        <w:tabs>
          <w:tab w:leader="none" w:pos="172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no event has occurred or circumstance exists that could reasonably be expected to give rise to or serve as a basis for the commencement of any material Proceeding against the Company or any of the Company Subsidiaries.</w:t>
      </w:r>
    </w:p>
    <w:p>
      <w:pPr>
        <w:spacing w:after="0" w:line="95" w:lineRule="exact"/>
        <w:rPr>
          <w:sz w:val="20"/>
          <w:szCs w:val="20"/>
          <w:color w:val="auto"/>
        </w:rPr>
      </w:pPr>
    </w:p>
    <w:p>
      <w:pPr>
        <w:ind w:left="1100" w:right="959" w:firstLine="318"/>
        <w:spacing w:after="0" w:line="244" w:lineRule="auto"/>
        <w:rPr>
          <w:sz w:val="20"/>
          <w:szCs w:val="20"/>
          <w:color w:val="auto"/>
        </w:rPr>
      </w:pPr>
      <w:r>
        <w:rPr>
          <w:rFonts w:ascii="Times New Roman" w:cs="Times New Roman" w:eastAsia="Times New Roman" w:hAnsi="Times New Roman"/>
          <w:sz w:val="16"/>
          <w:szCs w:val="16"/>
          <w:b w:val="1"/>
          <w:bCs w:val="1"/>
          <w:color w:val="auto"/>
        </w:rPr>
        <w:t>3.10 Regulatory Matters</w:t>
      </w:r>
      <w:r>
        <w:rPr>
          <w:rFonts w:ascii="Times New Roman" w:cs="Times New Roman" w:eastAsia="Times New Roman" w:hAnsi="Times New Roman"/>
          <w:sz w:val="16"/>
          <w:szCs w:val="16"/>
          <w:color w:val="auto"/>
        </w:rPr>
        <w:t>. The Company and each of the Company Subsidiaries have timely filed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furnished) all reports, registrations and statements, together with any amendments required to be made with respect thereto, that it was required to file since January 1, 2023 with (a) the Georgia Department of Banking and Finance, (b) the FDIC, (c) any state regulatory authority, (d) any self-regulatory organization, (e) any other applicable bank regulatory agencies and (f) any other applicable Governmental</w:t>
      </w:r>
    </w:p>
    <w:p>
      <w:pPr>
        <w:ind w:left="1100"/>
        <w:spacing w:after="0" w:line="235" w:lineRule="auto"/>
        <w:rPr>
          <w:sz w:val="20"/>
          <w:szCs w:val="20"/>
          <w:color w:val="auto"/>
        </w:rPr>
      </w:pPr>
      <w:r>
        <w:rPr>
          <w:rFonts w:ascii="Times New Roman" w:cs="Times New Roman" w:eastAsia="Times New Roman" w:hAnsi="Times New Roman"/>
          <w:sz w:val="16"/>
          <w:szCs w:val="16"/>
          <w:color w:val="auto"/>
        </w:rPr>
        <w:t>Authority ((a) – (f), collectively, the “</w:t>
      </w:r>
      <w:r>
        <w:rPr>
          <w:rFonts w:ascii="Times New Roman" w:cs="Times New Roman" w:eastAsia="Times New Roman" w:hAnsi="Times New Roman"/>
          <w:sz w:val="16"/>
          <w:szCs w:val="16"/>
          <w:b w:val="1"/>
          <w:bCs w:val="1"/>
          <w:i w:val="1"/>
          <w:iCs w:val="1"/>
          <w:color w:val="auto"/>
        </w:rPr>
        <w:t>Regulatory Agencies</w:t>
      </w:r>
      <w:r>
        <w:rPr>
          <w:rFonts w:ascii="Times New Roman" w:cs="Times New Roman" w:eastAsia="Times New Roman" w:hAnsi="Times New Roman"/>
          <w:sz w:val="16"/>
          <w:szCs w:val="16"/>
          <w:color w:val="auto"/>
        </w:rPr>
        <w:t>”) and have paid all applicable fees, premiums and</w:t>
      </w:r>
    </w:p>
    <w:p>
      <w:pPr>
        <w:ind w:left="1100"/>
        <w:spacing w:after="0" w:line="233" w:lineRule="auto"/>
        <w:rPr>
          <w:sz w:val="20"/>
          <w:szCs w:val="20"/>
          <w:color w:val="auto"/>
        </w:rPr>
      </w:pPr>
      <w:r>
        <w:rPr>
          <w:rFonts w:ascii="Times New Roman" w:cs="Times New Roman" w:eastAsia="Times New Roman" w:hAnsi="Times New Roman"/>
          <w:sz w:val="16"/>
          <w:szCs w:val="16"/>
          <w:color w:val="auto"/>
        </w:rPr>
        <w:t>assessments due and payable thereto, except where the failure to file such report, registration or statement or</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to pay such fees, premiums and assessments, either individually or in the aggregate, would not reasonably</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be likely to have a Material Adverse Effect on the Company. Since January 1, 2023, each such report,</w:t>
      </w:r>
    </w:p>
    <w:p>
      <w:pPr>
        <w:ind w:left="1100"/>
        <w:spacing w:after="0" w:line="233" w:lineRule="auto"/>
        <w:rPr>
          <w:sz w:val="20"/>
          <w:szCs w:val="20"/>
          <w:color w:val="auto"/>
        </w:rPr>
      </w:pPr>
      <w:r>
        <w:rPr>
          <w:rFonts w:ascii="Times New Roman" w:cs="Times New Roman" w:eastAsia="Times New Roman" w:hAnsi="Times New Roman"/>
          <w:sz w:val="16"/>
          <w:szCs w:val="16"/>
          <w:color w:val="auto"/>
        </w:rPr>
        <w:t>registration and statement, including financial statements, exhibits and schedules thereto, complied, in all</w:t>
      </w:r>
    </w:p>
    <w:p>
      <w:pPr>
        <w:ind w:left="1100"/>
        <w:spacing w:after="0"/>
        <w:rPr>
          <w:sz w:val="20"/>
          <w:szCs w:val="20"/>
          <w:color w:val="auto"/>
        </w:rPr>
      </w:pPr>
      <w:r>
        <w:rPr>
          <w:rFonts w:ascii="Times New Roman" w:cs="Times New Roman" w:eastAsia="Times New Roman" w:hAnsi="Times New Roman"/>
          <w:sz w:val="16"/>
          <w:szCs w:val="16"/>
          <w:color w:val="auto"/>
        </w:rPr>
        <w:t>material respects, with applicable Law. Neither the Company nor any of the Company Subsidiaries, except</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as would not reasonably be expected to have a Material Adverse Effect, is subject to any cease-and-desist or</w:t>
      </w:r>
    </w:p>
    <w:p>
      <w:pPr>
        <w:ind w:left="1100"/>
        <w:spacing w:after="0" w:line="233" w:lineRule="auto"/>
        <w:rPr>
          <w:sz w:val="20"/>
          <w:szCs w:val="20"/>
          <w:color w:val="auto"/>
        </w:rPr>
      </w:pPr>
      <w:r>
        <w:rPr>
          <w:rFonts w:ascii="Times New Roman" w:cs="Times New Roman" w:eastAsia="Times New Roman" w:hAnsi="Times New Roman"/>
          <w:sz w:val="16"/>
          <w:szCs w:val="16"/>
          <w:color w:val="auto"/>
        </w:rPr>
        <w:t>other formal or informal order or enforcement action issued by, or is a party to any written agreement,</w:t>
      </w:r>
    </w:p>
    <w:p>
      <w:pPr>
        <w:ind w:left="1100"/>
        <w:spacing w:after="0"/>
        <w:rPr>
          <w:sz w:val="20"/>
          <w:szCs w:val="20"/>
          <w:color w:val="auto"/>
        </w:rPr>
      </w:pPr>
      <w:r>
        <w:rPr>
          <w:rFonts w:ascii="Times New Roman" w:cs="Times New Roman" w:eastAsia="Times New Roman" w:hAnsi="Times New Roman"/>
          <w:sz w:val="16"/>
          <w:szCs w:val="16"/>
          <w:color w:val="auto"/>
        </w:rPr>
        <w:t>consent agreement, operating agreement or memorandum of understanding with, or is a party to any</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commitment letter, regulatory directive or similar undertaking with, or is subject to any capital directive by,</w:t>
      </w:r>
    </w:p>
    <w:p>
      <w:pPr>
        <w:ind w:left="1100"/>
        <w:spacing w:after="0" w:line="233" w:lineRule="auto"/>
        <w:rPr>
          <w:sz w:val="20"/>
          <w:szCs w:val="20"/>
          <w:color w:val="auto"/>
        </w:rPr>
      </w:pPr>
      <w:r>
        <w:rPr>
          <w:rFonts w:ascii="Times New Roman" w:cs="Times New Roman" w:eastAsia="Times New Roman" w:hAnsi="Times New Roman"/>
          <w:sz w:val="16"/>
          <w:szCs w:val="16"/>
          <w:color w:val="auto"/>
        </w:rPr>
        <w:t>or since January 1, 2023, has been ordered to pay any civil money penalty by, or since January 1, 2023, has</w:t>
      </w:r>
    </w:p>
    <w:p>
      <w:pPr>
        <w:ind w:left="1100"/>
        <w:spacing w:after="0"/>
        <w:rPr>
          <w:sz w:val="20"/>
          <w:szCs w:val="20"/>
          <w:color w:val="auto"/>
        </w:rPr>
      </w:pPr>
      <w:r>
        <w:rPr>
          <w:rFonts w:ascii="Times New Roman" w:cs="Times New Roman" w:eastAsia="Times New Roman" w:hAnsi="Times New Roman"/>
          <w:sz w:val="16"/>
          <w:szCs w:val="16"/>
          <w:color w:val="auto"/>
        </w:rPr>
        <w:t>been the recipient of any supervisory letter from, or has adopted any board resolutions at the request of, any</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Regulatory Agency or other Governmental Authority of any kind (each, a “</w:t>
      </w:r>
      <w:r>
        <w:rPr>
          <w:rFonts w:ascii="Times New Roman" w:cs="Times New Roman" w:eastAsia="Times New Roman" w:hAnsi="Times New Roman"/>
          <w:sz w:val="16"/>
          <w:szCs w:val="16"/>
          <w:b w:val="1"/>
          <w:bCs w:val="1"/>
          <w:i w:val="1"/>
          <w:iCs w:val="1"/>
          <w:color w:val="auto"/>
        </w:rPr>
        <w:t>Company Regulatory</w:t>
      </w:r>
    </w:p>
    <w:p>
      <w:pPr>
        <w:ind w:left="1100"/>
        <w:spacing w:after="0" w:line="233" w:lineRule="auto"/>
        <w:rPr>
          <w:sz w:val="20"/>
          <w:szCs w:val="20"/>
          <w:color w:val="auto"/>
        </w:rPr>
      </w:pP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nor has the Company or any of the Company Subsidiaries been advised since January 1, 2023</w:t>
      </w:r>
    </w:p>
    <w:p>
      <w:pPr>
        <w:ind w:left="1100"/>
        <w:spacing w:after="0"/>
        <w:rPr>
          <w:sz w:val="20"/>
          <w:szCs w:val="20"/>
          <w:color w:val="auto"/>
        </w:rPr>
      </w:pPr>
      <w:r>
        <w:rPr>
          <w:rFonts w:ascii="Times New Roman" w:cs="Times New Roman" w:eastAsia="Times New Roman" w:hAnsi="Times New Roman"/>
          <w:sz w:val="16"/>
          <w:szCs w:val="16"/>
          <w:color w:val="auto"/>
        </w:rPr>
        <w:t>by any Regulatory Agency or other Governmental Authority that it is considering issuing, initiating,</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ordering or requesting any such Company Regulatory Agreement. There is no material unresolved written</w:t>
      </w:r>
    </w:p>
    <w:p>
      <w:pPr>
        <w:ind w:left="1100"/>
        <w:spacing w:after="0" w:line="233" w:lineRule="auto"/>
        <w:rPr>
          <w:sz w:val="20"/>
          <w:szCs w:val="20"/>
          <w:color w:val="auto"/>
        </w:rPr>
      </w:pPr>
      <w:r>
        <w:rPr>
          <w:rFonts w:ascii="Times New Roman" w:cs="Times New Roman" w:eastAsia="Times New Roman" w:hAnsi="Times New Roman"/>
          <w:sz w:val="16"/>
          <w:szCs w:val="16"/>
          <w:color w:val="auto"/>
        </w:rPr>
        <w:t>violation, criticism, comment or exception by any Regulatory Agency or other Governmental Authority</w:t>
      </w:r>
    </w:p>
    <w:p>
      <w:pPr>
        <w:ind w:left="1100"/>
        <w:spacing w:after="0"/>
        <w:rPr>
          <w:sz w:val="20"/>
          <w:szCs w:val="20"/>
          <w:color w:val="auto"/>
        </w:rPr>
      </w:pPr>
      <w:r>
        <w:rPr>
          <w:rFonts w:ascii="Times New Roman" w:cs="Times New Roman" w:eastAsia="Times New Roman" w:hAnsi="Times New Roman"/>
          <w:sz w:val="16"/>
          <w:szCs w:val="16"/>
          <w:color w:val="auto"/>
        </w:rPr>
        <w:t>relating to the Company or any of the Company Subsidiaries. To the Company’s Knowledge, and except for</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ordinary course examinations, no Regulatory Agency or other Governmental Authority has initiated or has</w:t>
      </w:r>
    </w:p>
    <w:p>
      <w:pPr>
        <w:ind w:left="1100"/>
        <w:spacing w:after="0" w:line="233" w:lineRule="auto"/>
        <w:rPr>
          <w:sz w:val="20"/>
          <w:szCs w:val="20"/>
          <w:color w:val="auto"/>
        </w:rPr>
      </w:pPr>
      <w:r>
        <w:rPr>
          <w:rFonts w:ascii="Times New Roman" w:cs="Times New Roman" w:eastAsia="Times New Roman" w:hAnsi="Times New Roman"/>
          <w:sz w:val="16"/>
          <w:szCs w:val="16"/>
          <w:color w:val="auto"/>
        </w:rPr>
        <w:t>pending any proceeding or investigation into the business or operations of the Company or any of the</w:t>
      </w:r>
    </w:p>
    <w:p>
      <w:pPr>
        <w:ind w:left="1100"/>
        <w:spacing w:after="0"/>
        <w:rPr>
          <w:sz w:val="20"/>
          <w:szCs w:val="20"/>
          <w:color w:val="auto"/>
        </w:rPr>
      </w:pPr>
      <w:r>
        <w:rPr>
          <w:rFonts w:ascii="Times New Roman" w:cs="Times New Roman" w:eastAsia="Times New Roman" w:hAnsi="Times New Roman"/>
          <w:sz w:val="16"/>
          <w:szCs w:val="16"/>
          <w:color w:val="auto"/>
        </w:rPr>
        <w:t>Company Subsidiaries since January 1, 2023, and there has been no formal or informal inquiries by, or</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disagreements or disputes with, any Regulatory Agency or other Governmental Authority with respect to the</w:t>
      </w:r>
    </w:p>
    <w:p>
      <w:pPr>
        <w:ind w:left="1100"/>
        <w:spacing w:after="0" w:line="233" w:lineRule="auto"/>
        <w:rPr>
          <w:sz w:val="20"/>
          <w:szCs w:val="20"/>
          <w:color w:val="auto"/>
        </w:rPr>
      </w:pPr>
      <w:r>
        <w:rPr>
          <w:rFonts w:ascii="Times New Roman" w:cs="Times New Roman" w:eastAsia="Times New Roman" w:hAnsi="Times New Roman"/>
          <w:sz w:val="16"/>
          <w:szCs w:val="16"/>
          <w:color w:val="auto"/>
        </w:rPr>
        <w:t>business, operations, policies or procedures of the Company or any of the Company Subsidiaries since</w:t>
      </w:r>
    </w:p>
    <w:p>
      <w:pPr>
        <w:ind w:left="1100"/>
        <w:spacing w:after="0"/>
        <w:rPr>
          <w:sz w:val="20"/>
          <w:szCs w:val="20"/>
          <w:color w:val="auto"/>
        </w:rPr>
      </w:pPr>
      <w:r>
        <w:rPr>
          <w:rFonts w:ascii="Times New Roman" w:cs="Times New Roman" w:eastAsia="Times New Roman" w:hAnsi="Times New Roman"/>
          <w:sz w:val="16"/>
          <w:szCs w:val="16"/>
          <w:color w:val="auto"/>
        </w:rPr>
        <w:t>January 1, 2023. To the Company’s Knowledge, there are no facts or circumstances related to it that would</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materially impede or delay receipt of any required Regulatory Approvals. Notwithstanding the foregoing, in</w:t>
      </w:r>
    </w:p>
    <w:p>
      <w:pPr>
        <w:ind w:left="1100"/>
        <w:spacing w:after="0" w:line="233" w:lineRule="auto"/>
        <w:rPr>
          <w:sz w:val="20"/>
          <w:szCs w:val="20"/>
          <w:color w:val="auto"/>
        </w:rPr>
      </w:pPr>
      <w:r>
        <w:rPr>
          <w:rFonts w:ascii="Times New Roman" w:cs="Times New Roman" w:eastAsia="Times New Roman" w:hAnsi="Times New Roman"/>
          <w:sz w:val="16"/>
          <w:szCs w:val="16"/>
          <w:color w:val="auto"/>
        </w:rPr>
        <w:t xml:space="preserve">no event shall this </w:t>
      </w:r>
      <w:r>
        <w:rPr>
          <w:rFonts w:ascii="Times New Roman" w:cs="Times New Roman" w:eastAsia="Times New Roman" w:hAnsi="Times New Roman"/>
          <w:sz w:val="16"/>
          <w:szCs w:val="16"/>
          <w:u w:val="single" w:color="auto"/>
          <w:color w:val="auto"/>
        </w:rPr>
        <w:t>Section 3.10</w:t>
      </w:r>
      <w:r>
        <w:rPr>
          <w:rFonts w:ascii="Times New Roman" w:cs="Times New Roman" w:eastAsia="Times New Roman" w:hAnsi="Times New Roman"/>
          <w:sz w:val="16"/>
          <w:szCs w:val="16"/>
          <w:color w:val="auto"/>
        </w:rPr>
        <w:t xml:space="preserve"> require any disclosure to be made (or other action to be taken) that would</w:t>
      </w:r>
    </w:p>
    <w:p>
      <w:pPr>
        <w:ind w:left="1100"/>
        <w:spacing w:after="0"/>
        <w:rPr>
          <w:sz w:val="20"/>
          <w:szCs w:val="20"/>
          <w:color w:val="auto"/>
        </w:rPr>
      </w:pPr>
      <w:r>
        <w:rPr>
          <w:rFonts w:ascii="Times New Roman" w:cs="Times New Roman" w:eastAsia="Times New Roman" w:hAnsi="Times New Roman"/>
          <w:sz w:val="16"/>
          <w:szCs w:val="16"/>
          <w:color w:val="auto"/>
        </w:rPr>
        <w:t>involve the disclosure of confidential supervisory information (including confidential supervisory</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information as defined in 12 C.F.R. 261.2(c) and as identified in 12 C.F.R. 309.5(g)(8)) of a Regulatory</w:t>
      </w:r>
    </w:p>
    <w:p>
      <w:pPr>
        <w:ind w:left="1100"/>
        <w:spacing w:after="0" w:line="233" w:lineRule="auto"/>
        <w:rPr>
          <w:sz w:val="20"/>
          <w:szCs w:val="20"/>
          <w:color w:val="auto"/>
        </w:rPr>
      </w:pPr>
      <w:r>
        <w:rPr>
          <w:rFonts w:ascii="Times New Roman" w:cs="Times New Roman" w:eastAsia="Times New Roman" w:hAnsi="Times New Roman"/>
          <w:sz w:val="16"/>
          <w:szCs w:val="16"/>
          <w:color w:val="auto"/>
        </w:rPr>
        <w:t>Agency or other Governmental Authority by any party to this Agreement where such disclosure is</w:t>
      </w:r>
    </w:p>
    <w:p>
      <w:pPr>
        <w:ind w:left="1100"/>
        <w:spacing w:after="0"/>
        <w:rPr>
          <w:sz w:val="20"/>
          <w:szCs w:val="20"/>
          <w:color w:val="auto"/>
        </w:rPr>
      </w:pPr>
      <w:r>
        <w:rPr>
          <w:rFonts w:ascii="Times New Roman" w:cs="Times New Roman" w:eastAsia="Times New Roman" w:hAnsi="Times New Roman"/>
          <w:sz w:val="16"/>
          <w:szCs w:val="16"/>
          <w:color w:val="auto"/>
        </w:rPr>
        <w:t>prohibited by applicable Law.</w:t>
      </w:r>
    </w:p>
    <w:p>
      <w:pPr>
        <w:spacing w:after="0" w:line="33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31" w:name="page132"/>
    <w:bookmarkEnd w:id="13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3.11 Tax Matters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79" w:firstLine="320"/>
        <w:spacing w:after="0" w:line="254" w:lineRule="auto"/>
        <w:tabs>
          <w:tab w:leader="none" w:pos="1732"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All federal and state income Tax Returns and all other material Tax Returns that were or are required to be filed on or before the Closing Date by the Company or the Company Subsidiaries have been or will be timely filed on or before the Closing Date, and all such Tax Returns are or will be true, correct and complete in all material respects and were prepared in substantial compliance with all applicable Laws;</w:t>
      </w:r>
    </w:p>
    <w:p>
      <w:pPr>
        <w:ind w:left="1100" w:right="939" w:firstLine="3"/>
        <w:spacing w:after="0" w:line="250" w:lineRule="auto"/>
        <w:tabs>
          <w:tab w:leader="none" w:pos="135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material Taxes due and owing by the Company or the Company Subsidiaries (whether or not shown on the Tax Returns referred to in clause (i)) have been or will be timely paid in full on or before the Closing Date; and (iii) all deficiencies with respect to a material amount of Taxes asserted in writing or assessments made in writing by the relevant taxing authority in connection with any of the Tax Returns referred to in clause (i) have been or will be timely paid in full on or before the Closing Date. Neither the Company nor any of the Company Subsidiaries currently is the beneficiary of any extension of time within which to file any Tax Return, other than an extension granted in the ordinary course of business.</w:t>
      </w:r>
    </w:p>
    <w:p>
      <w:pPr>
        <w:spacing w:after="0" w:line="106" w:lineRule="exact"/>
        <w:rPr>
          <w:rFonts w:ascii="Times New Roman" w:cs="Times New Roman" w:eastAsia="Times New Roman" w:hAnsi="Times New Roman"/>
          <w:sz w:val="16"/>
          <w:szCs w:val="16"/>
          <w:color w:val="auto"/>
        </w:rPr>
      </w:pPr>
    </w:p>
    <w:p>
      <w:pPr>
        <w:ind w:left="1100" w:right="899" w:firstLine="320"/>
        <w:spacing w:after="0" w:line="250" w:lineRule="auto"/>
        <w:tabs>
          <w:tab w:leader="none" w:pos="1741"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federal, state, local or non-U.S. Tax audits or administrative or judicial Tax proceedings are pending or presently being conducted with respect to the Company or any of the Company Subsidiaries. Neither the Company nor any of the Company Subsidiaries has received from any federal, state, local or non-U.S. taxing authority (including jurisdictions where the Company or the Company Subsidiaries have not filed Tax Returns) any written (i) notice indicating an intent to open an audit or other review; (ii) request for information related to Tax matters; or (iii) notice of deficiency or proposed adjustment for any amount of Tax proposed, asserted or assessed by any taxing authority against the Company or any of the Company Subsidiaries, that is, in case of clauses (i)-(iii), pending or unresolved as of the date of this Agreement. </w:t>
      </w:r>
      <w:r>
        <w:rPr>
          <w:rFonts w:ascii="Times New Roman" w:cs="Times New Roman" w:eastAsia="Times New Roman" w:hAnsi="Times New Roman"/>
          <w:sz w:val="16"/>
          <w:szCs w:val="16"/>
          <w:u w:val="single" w:color="auto"/>
          <w:color w:val="auto"/>
        </w:rPr>
        <w:t>Section 3.11(b)</w:t>
      </w:r>
      <w:r>
        <w:rPr>
          <w:rFonts w:ascii="Times New Roman" w:cs="Times New Roman" w:eastAsia="Times New Roman" w:hAnsi="Times New Roman"/>
          <w:sz w:val="16"/>
          <w:szCs w:val="16"/>
          <w:color w:val="auto"/>
        </w:rPr>
        <w:t xml:space="preserve"> of the Company Disclosure Memorandum lists all state and federal Tax Returns filed by the Company and the Company Subsidiaries for taxable periods ended on or after December 31, 2018, indicates those state and federal Tax Returns that have been audited and indicates those state and federal Tax Returns that currently are the subject of audit. Parent has received true, correct and complete copies of all material federal and state Tax Returns, or been provided access to correct and complete copies of all such Tax Returns, filed by the Company for taxable periods ended on or after January 1, 2020, and have received all examination reports and statements of deficiencies related to federal and state income Tax assessed against or agreed to by the Company with respect to those taxable periods.</w:t>
      </w:r>
    </w:p>
    <w:p>
      <w:pPr>
        <w:spacing w:after="0" w:line="102" w:lineRule="exact"/>
        <w:rPr>
          <w:rFonts w:ascii="Times New Roman" w:cs="Times New Roman" w:eastAsia="Times New Roman" w:hAnsi="Times New Roman"/>
          <w:sz w:val="16"/>
          <w:szCs w:val="16"/>
          <w:color w:val="auto"/>
        </w:rPr>
      </w:pPr>
    </w:p>
    <w:p>
      <w:pPr>
        <w:ind w:left="1100" w:right="1139" w:firstLine="320"/>
        <w:spacing w:after="0" w:line="256" w:lineRule="auto"/>
        <w:tabs>
          <w:tab w:leader="none" w:pos="1729"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Liens on the Company’s or any of the Company Subsidiaries’ assets that arose in connection with any failure (or alleged failure) to pay any Tax other than Liens for Taxes not yet due and payable or which the validity thereof is being contested in good faith by appropriate proceedings and for which adequate accruals or reserves have been established in accordance with GAAP in the Financial Statements.</w:t>
      </w:r>
    </w:p>
    <w:p>
      <w:pPr>
        <w:spacing w:after="0" w:line="102" w:lineRule="exact"/>
        <w:rPr>
          <w:rFonts w:ascii="Times New Roman" w:cs="Times New Roman" w:eastAsia="Times New Roman" w:hAnsi="Times New Roman"/>
          <w:sz w:val="16"/>
          <w:szCs w:val="16"/>
          <w:color w:val="auto"/>
        </w:rPr>
      </w:pPr>
    </w:p>
    <w:p>
      <w:pPr>
        <w:ind w:left="1100" w:right="899" w:firstLine="320"/>
        <w:spacing w:after="0" w:line="263" w:lineRule="auto"/>
        <w:tabs>
          <w:tab w:leader="none" w:pos="1741"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the Company Subsidiaries has waived any statute of limitations in respect of income Taxes or agreed to any extension of time with respect to an income Tax assessment or deficiency that is currently in effect.</w:t>
      </w:r>
    </w:p>
    <w:p>
      <w:pPr>
        <w:spacing w:after="0" w:line="97" w:lineRule="exact"/>
        <w:rPr>
          <w:rFonts w:ascii="Times New Roman" w:cs="Times New Roman" w:eastAsia="Times New Roman" w:hAnsi="Times New Roman"/>
          <w:sz w:val="16"/>
          <w:szCs w:val="16"/>
          <w:color w:val="auto"/>
        </w:rPr>
      </w:pPr>
    </w:p>
    <w:p>
      <w:pPr>
        <w:ind w:left="1100" w:right="919" w:firstLine="320"/>
        <w:spacing w:after="0" w:line="263" w:lineRule="auto"/>
        <w:tabs>
          <w:tab w:leader="none" w:pos="1729"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the Company and the Company Subsidiaries have withheld and paid all Taxes required to have been withheld and paid in connection with any amounts paid or owing to any employee, independent contractor, creditor, shareholder or other third party.</w:t>
      </w:r>
    </w:p>
    <w:p>
      <w:pPr>
        <w:spacing w:after="0" w:line="86" w:lineRule="exact"/>
        <w:rPr>
          <w:rFonts w:ascii="Times New Roman" w:cs="Times New Roman" w:eastAsia="Times New Roman" w:hAnsi="Times New Roman"/>
          <w:sz w:val="16"/>
          <w:szCs w:val="16"/>
          <w:color w:val="auto"/>
        </w:rPr>
      </w:pPr>
    </w:p>
    <w:p>
      <w:pPr>
        <w:ind w:left="1100" w:right="979" w:firstLine="320"/>
        <w:spacing w:after="0" w:line="251" w:lineRule="auto"/>
        <w:tabs>
          <w:tab w:leader="none" w:pos="1714"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the Company Subsidiaries is (or has been) a party to any Tax allocation, tax sharing, or tax indemnitee agreement (other than such an agreement exclusively among the Company and Company Subsidiaries). Neither the Company nor any of the Company Subsidiaries (i) has been a member of an Affiliated Group filing a consolidated federal Tax Return for which the statute of limitations is open (other than a group the common parent of which was the Company); or (ii) has any liability for Taxes of any Person (other than the Company or any of the Company Subsidiaries) under Treasury Regulations Section 1.1502-6 (or any similar provision of state, local, or non-U.S. law) as a transferee, successor, by contract or otherwise. All Tax allocation, tax sharing, or tax indemnity agreements will be terminated as of the day of the Effective Time and will have no further effect for any taxable year (whether the current year, a future year or a past year). As of the Closing Date, the Company and the Company Subsidiaries shall have no further liability or claim under such Tax allocation, tax sharing, or tax indemnity agreements.</w:t>
      </w:r>
    </w:p>
    <w:p>
      <w:pPr>
        <w:spacing w:after="0" w:line="200" w:lineRule="exact"/>
        <w:rPr>
          <w:sz w:val="20"/>
          <w:szCs w:val="20"/>
          <w:color w:val="auto"/>
        </w:rPr>
      </w:pPr>
    </w:p>
    <w:p>
      <w:pPr>
        <w:spacing w:after="0" w:line="3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32" w:name="page133"/>
    <w:bookmarkEnd w:id="13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199" w:firstLine="320"/>
        <w:spacing w:after="0" w:line="263" w:lineRule="auto"/>
        <w:tabs>
          <w:tab w:leader="none" w:pos="1738"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joint ventures, partnerships, limited liability companies, or other arrangements or contracts to which the Company or any Company Subsidiary is a party and that could be treated as a partnership for federal income Tax purposes.</w:t>
      </w:r>
    </w:p>
    <w:p>
      <w:pPr>
        <w:spacing w:after="0" w:line="97" w:lineRule="exact"/>
        <w:rPr>
          <w:rFonts w:ascii="Times New Roman" w:cs="Times New Roman" w:eastAsia="Times New Roman" w:hAnsi="Times New Roman"/>
          <w:sz w:val="16"/>
          <w:szCs w:val="16"/>
          <w:color w:val="auto"/>
        </w:rPr>
      </w:pPr>
    </w:p>
    <w:p>
      <w:pPr>
        <w:ind w:left="1100" w:right="1159" w:firstLine="320"/>
        <w:spacing w:after="0" w:line="263" w:lineRule="auto"/>
        <w:tabs>
          <w:tab w:leader="none" w:pos="1741"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nor has it ever had, a “permanent establishment” in any foreign country, as such term is defined in any applicable Tax treaty or convention between the United States and such foreign country.</w:t>
      </w:r>
    </w:p>
    <w:p>
      <w:pPr>
        <w:spacing w:after="0" w:line="97" w:lineRule="exact"/>
        <w:rPr>
          <w:rFonts w:ascii="Times New Roman" w:cs="Times New Roman" w:eastAsia="Times New Roman" w:hAnsi="Times New Roman"/>
          <w:sz w:val="16"/>
          <w:szCs w:val="16"/>
          <w:color w:val="auto"/>
        </w:rPr>
      </w:pPr>
    </w:p>
    <w:p>
      <w:pPr>
        <w:ind w:left="1100" w:right="1059" w:firstLine="320"/>
        <w:spacing w:after="0" w:line="263" w:lineRule="auto"/>
        <w:tabs>
          <w:tab w:leader="none" w:pos="1706"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has been made in the last five (5) years in writing by a taxing authority in a jurisdiction where the Company or any Company Subsidiary does not file Tax Returns that the Company (or such Company Subsidiary) is or may be subject to taxation by that jurisdiction.</w:t>
      </w:r>
    </w:p>
    <w:p>
      <w:pPr>
        <w:spacing w:after="0" w:line="86" w:lineRule="exact"/>
        <w:rPr>
          <w:rFonts w:ascii="Times New Roman" w:cs="Times New Roman" w:eastAsia="Times New Roman" w:hAnsi="Times New Roman"/>
          <w:sz w:val="16"/>
          <w:szCs w:val="16"/>
          <w:color w:val="auto"/>
        </w:rPr>
      </w:pPr>
    </w:p>
    <w:p>
      <w:pPr>
        <w:ind w:left="1100" w:right="959" w:firstLine="320"/>
        <w:spacing w:after="0" w:line="258" w:lineRule="auto"/>
        <w:tabs>
          <w:tab w:leader="none" w:pos="1706"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distributed stock of another corporation, or had its stock distributed by another corporation, in a transaction (or “plan” or “series of related transactions”) that was purported or intended to be governed in whole or in part by Section 355 or 361 of the Code in the two (2) years prior to the date of this Agreement.</w:t>
      </w:r>
    </w:p>
    <w:p>
      <w:pPr>
        <w:spacing w:after="0" w:line="102" w:lineRule="exact"/>
        <w:rPr>
          <w:rFonts w:ascii="Times New Roman" w:cs="Times New Roman" w:eastAsia="Times New Roman" w:hAnsi="Times New Roman"/>
          <w:sz w:val="16"/>
          <w:szCs w:val="16"/>
          <w:color w:val="auto"/>
        </w:rPr>
      </w:pPr>
    </w:p>
    <w:p>
      <w:pPr>
        <w:ind w:left="1100" w:right="1039" w:firstLine="320"/>
        <w:spacing w:after="0" w:line="263" w:lineRule="auto"/>
        <w:tabs>
          <w:tab w:leader="none" w:pos="1741"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is or has been a “United States real property holding corporation” (as​ defined in Section 897(c)(2) of the Code) at any time in the five (5) years prior to the date of this Agreement.</w:t>
      </w:r>
    </w:p>
    <w:p>
      <w:pPr>
        <w:spacing w:after="0" w:line="97" w:lineRule="exact"/>
        <w:rPr>
          <w:rFonts w:ascii="Times New Roman" w:cs="Times New Roman" w:eastAsia="Times New Roman" w:hAnsi="Times New Roman"/>
          <w:sz w:val="16"/>
          <w:szCs w:val="16"/>
          <w:color w:val="auto"/>
        </w:rPr>
      </w:pPr>
    </w:p>
    <w:p>
      <w:pPr>
        <w:ind w:left="1100" w:right="919" w:firstLine="320"/>
        <w:spacing w:after="0" w:line="271" w:lineRule="auto"/>
        <w:tabs>
          <w:tab w:leader="none" w:pos="1706"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participates in or cooperates with (or has at any time participated in or cooperated with) an international boycott within the meaning of Section 999 of the Code.</w:t>
      </w:r>
    </w:p>
    <w:p>
      <w:pPr>
        <w:spacing w:after="0" w:line="275" w:lineRule="exact"/>
        <w:rPr>
          <w:rFonts w:ascii="Times New Roman" w:cs="Times New Roman" w:eastAsia="Times New Roman" w:hAnsi="Times New Roman"/>
          <w:sz w:val="16"/>
          <w:szCs w:val="16"/>
          <w:color w:val="auto"/>
        </w:rPr>
      </w:pPr>
    </w:p>
    <w:p>
      <w:pPr>
        <w:ind w:left="1100" w:right="1019" w:firstLine="320"/>
        <w:spacing w:after="0" w:line="279" w:lineRule="auto"/>
        <w:tabs>
          <w:tab w:leader="none" w:pos="1785"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engaged in any transaction that, as of the date hereof, is a “listed transaction” under Treasury Regulations Section 1.6011-4(b)(2).</w:t>
      </w:r>
    </w:p>
    <w:p>
      <w:pPr>
        <w:spacing w:after="0" w:line="84" w:lineRule="exact"/>
        <w:rPr>
          <w:rFonts w:ascii="Times New Roman" w:cs="Times New Roman" w:eastAsia="Times New Roman" w:hAnsi="Times New Roman"/>
          <w:sz w:val="16"/>
          <w:szCs w:val="16"/>
          <w:color w:val="auto"/>
        </w:rPr>
      </w:pPr>
    </w:p>
    <w:p>
      <w:pPr>
        <w:ind w:left="1100" w:right="1039" w:firstLine="320"/>
        <w:spacing w:after="0" w:line="263" w:lineRule="auto"/>
        <w:tabs>
          <w:tab w:leader="none" w:pos="1741"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the Company Subsidiaries has obtained a private letter ruling or closing agreements from the Internal Revenue Service (“</w:t>
      </w:r>
      <w:r>
        <w:rPr>
          <w:rFonts w:ascii="Times New Roman" w:cs="Times New Roman" w:eastAsia="Times New Roman" w:hAnsi="Times New Roman"/>
          <w:sz w:val="16"/>
          <w:szCs w:val="16"/>
          <w:b w:val="1"/>
          <w:bCs w:val="1"/>
          <w:i w:val="1"/>
          <w:iCs w:val="1"/>
          <w:color w:val="auto"/>
        </w:rPr>
        <w:t>IRS</w:t>
      </w:r>
      <w:r>
        <w:rPr>
          <w:rFonts w:ascii="Times New Roman" w:cs="Times New Roman" w:eastAsia="Times New Roman" w:hAnsi="Times New Roman"/>
          <w:sz w:val="16"/>
          <w:szCs w:val="16"/>
          <w:color w:val="auto"/>
        </w:rPr>
        <w:t>”) (or any comparable ruling from any other taxing authority).</w:t>
      </w:r>
    </w:p>
    <w:p>
      <w:pPr>
        <w:spacing w:after="0" w:line="97" w:lineRule="exact"/>
        <w:rPr>
          <w:rFonts w:ascii="Times New Roman" w:cs="Times New Roman" w:eastAsia="Times New Roman" w:hAnsi="Times New Roman"/>
          <w:sz w:val="16"/>
          <w:szCs w:val="16"/>
          <w:color w:val="auto"/>
        </w:rPr>
      </w:pPr>
    </w:p>
    <w:p>
      <w:pPr>
        <w:ind w:left="1100" w:right="899" w:firstLine="320"/>
        <w:spacing w:after="0" w:line="258" w:lineRule="auto"/>
        <w:tabs>
          <w:tab w:leader="none" w:pos="1741"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is or has at any time been (i) a “controlled foreign corporation” as defined by Section 957 of the Code; (ii) a “personal holding company” as that term has been defined from time to time in Section 542 of the Code; (iii) a “passive foreign investment company” as defined by Section 1297 of the Code.</w:t>
      </w:r>
    </w:p>
    <w:p>
      <w:pPr>
        <w:spacing w:after="0" w:line="90" w:lineRule="exact"/>
        <w:rPr>
          <w:rFonts w:ascii="Times New Roman" w:cs="Times New Roman" w:eastAsia="Times New Roman" w:hAnsi="Times New Roman"/>
          <w:sz w:val="16"/>
          <w:szCs w:val="16"/>
          <w:color w:val="auto"/>
        </w:rPr>
      </w:pPr>
    </w:p>
    <w:p>
      <w:pPr>
        <w:ind w:left="1100" w:right="959" w:firstLine="320"/>
        <w:spacing w:after="0" w:line="257" w:lineRule="auto"/>
        <w:tabs>
          <w:tab w:leader="none" w:pos="1738"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Company Subsidiary is in full compliance with all the terms and conditions of any Tax exemption or other Tax reduction agreement or order of a foreign or state government, and the consummation of the transactions contemplated by this Agreement will not have any adverse effect on the continued validity and effectiveness of any such Tax exemption or other Tax reduction agreement or order.</w:t>
      </w:r>
    </w:p>
    <w:p>
      <w:pPr>
        <w:spacing w:after="0" w:line="295" w:lineRule="exact"/>
        <w:rPr>
          <w:rFonts w:ascii="Times New Roman" w:cs="Times New Roman" w:eastAsia="Times New Roman" w:hAnsi="Times New Roman"/>
          <w:sz w:val="16"/>
          <w:szCs w:val="16"/>
          <w:color w:val="auto"/>
        </w:rPr>
      </w:pPr>
    </w:p>
    <w:p>
      <w:pPr>
        <w:ind w:left="1100" w:right="1099" w:firstLine="320"/>
        <w:spacing w:after="0" w:line="254" w:lineRule="auto"/>
        <w:tabs>
          <w:tab w:leader="none" w:pos="1741"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Section 3.11(q)</w:t>
      </w:r>
      <w:r>
        <w:rPr>
          <w:rFonts w:ascii="Times New Roman" w:cs="Times New Roman" w:eastAsia="Times New Roman" w:hAnsi="Times New Roman"/>
          <w:sz w:val="16"/>
          <w:szCs w:val="16"/>
          <w:color w:val="auto"/>
        </w:rPr>
        <w:t xml:space="preserve"> of the Company Disclosure Memorandum, neither the execution and delivery of this Agreement nor the consummation of the transactions contemplated hereby will (either alone or in conjunction with any other event) result in the payment of any amount for which a deduction would be disallowed by reason of Sections 280G (as determined without regard to</w:t>
      </w:r>
    </w:p>
    <w:p>
      <w:pPr>
        <w:ind w:left="1100" w:right="1439"/>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280G(b)(4)) (or any corresponding provision of state, local or non-U.S. Tax law), 162 (other than 162(a)), or 404 of the Code.</w:t>
      </w:r>
    </w:p>
    <w:p>
      <w:pPr>
        <w:spacing w:after="0" w:line="101" w:lineRule="exact"/>
        <w:rPr>
          <w:rFonts w:ascii="Times New Roman" w:cs="Times New Roman" w:eastAsia="Times New Roman" w:hAnsi="Times New Roman"/>
          <w:sz w:val="16"/>
          <w:szCs w:val="16"/>
          <w:color w:val="auto"/>
        </w:rPr>
      </w:pPr>
    </w:p>
    <w:p>
      <w:pPr>
        <w:ind w:left="1100" w:right="919" w:firstLine="320"/>
        <w:spacing w:after="0" w:line="252" w:lineRule="auto"/>
        <w:tabs>
          <w:tab w:leader="none" w:pos="1714"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will be required to include any item of income in, or exclude any item of deduction from, taxable income for any Tax period (or portion thereof) ending after the day of the Effective Time (i) pursuant to Section 481 of the Code or any comparable provision under state or foreign Tax Laws as a result of transactions, events, or accounting methods employed prior to the Closing Date, (ii) as a result of any installment sale or open transaction disposition made on or prior to the Closing Date, or (iii) as a result of any prepaid amount received on or prior to the Closing Date; (iv) as a result of an election under Section 108(i) of the Code; or (v) intercompany transaction or excess loss account described in Treasury Regulations under Section 1502 of the Code (or any corresponding or similar provision of state, local or non-U.S. income Tax law).</w:t>
      </w:r>
    </w:p>
    <w:p>
      <w:pPr>
        <w:spacing w:after="0" w:line="32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33" w:name="page134"/>
    <w:bookmarkEnd w:id="13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399" w:firstLine="320"/>
        <w:spacing w:after="0" w:line="279" w:lineRule="auto"/>
        <w:tabs>
          <w:tab w:leader="none" w:pos="17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have complied in all material respects with all applicable unclaimed property Laws.</w:t>
      </w:r>
    </w:p>
    <w:p>
      <w:pPr>
        <w:spacing w:after="0" w:line="72" w:lineRule="exact"/>
        <w:rPr>
          <w:rFonts w:ascii="Times New Roman" w:cs="Times New Roman" w:eastAsia="Times New Roman" w:hAnsi="Times New Roman"/>
          <w:sz w:val="16"/>
          <w:szCs w:val="16"/>
          <w:color w:val="auto"/>
        </w:rPr>
      </w:pPr>
    </w:p>
    <w:p>
      <w:pPr>
        <w:ind w:left="1100" w:right="1059" w:firstLine="320"/>
        <w:spacing w:after="0" w:line="241" w:lineRule="auto"/>
        <w:tabs>
          <w:tab w:leader="none" w:pos="1703"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unpaid Taxes of the Company and each Company Subsidiary (i) did not, as of the Balance Sheet Date, exceed the reserve for Tax liability (other than any reserve for deferred Taxes established to reflect timing differences between book and Tax income) set forth on the face of the Balance Sheet (rather than in any notes thereto) and (ii) will not exceed that reserve as adjusted for the passage of time through the Closing Date in accordance with the past custom and practice of the Company and each Company Subsidiary in filing its Tax Returns. Since the Balance Sheet Date, neither the Company nor any Company Subsidiary has incurred any liability for Taxes arising from any extraordinary transaction, outside the ordinary course of business consistent with past custom and practice.</w:t>
      </w:r>
    </w:p>
    <w:p>
      <w:pPr>
        <w:spacing w:after="0" w:line="106" w:lineRule="exact"/>
        <w:rPr>
          <w:rFonts w:ascii="Times New Roman" w:cs="Times New Roman" w:eastAsia="Times New Roman" w:hAnsi="Times New Roman"/>
          <w:sz w:val="16"/>
          <w:szCs w:val="16"/>
          <w:color w:val="auto"/>
        </w:rPr>
      </w:pPr>
    </w:p>
    <w:p>
      <w:pPr>
        <w:ind w:left="1100" w:right="959" w:firstLine="320"/>
        <w:spacing w:after="0" w:line="256" w:lineRule="auto"/>
        <w:tabs>
          <w:tab w:leader="none" w:pos="1741"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the Company Subsidiaries has taken any action, nor are they aware of any fact or circumstance, that could reasonably be expected to prevent the Merger from qualifying as a “reorganization” within the meaning of Section 368(a) of the Code.</w:t>
      </w:r>
    </w:p>
    <w:p>
      <w:pPr>
        <w:spacing w:after="0" w:line="90" w:lineRule="exact"/>
        <w:rPr>
          <w:rFonts w:ascii="Times New Roman" w:cs="Times New Roman" w:eastAsia="Times New Roman" w:hAnsi="Times New Roman"/>
          <w:sz w:val="16"/>
          <w:szCs w:val="16"/>
          <w:color w:val="auto"/>
        </w:rPr>
      </w:pPr>
    </w:p>
    <w:p>
      <w:pPr>
        <w:ind w:left="1100" w:right="959" w:firstLine="320"/>
        <w:spacing w:after="0" w:line="263" w:lineRule="auto"/>
        <w:tabs>
          <w:tab w:leader="none" w:pos="1741"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the Company Subsidiaries have claimed any “employee retention credit” pursuant to Section 2301 of the Coronavirus Aid, Relief, and Economic Security Act.</w:t>
      </w:r>
    </w:p>
    <w:p>
      <w:pPr>
        <w:spacing w:after="0" w:line="81" w:lineRule="exact"/>
        <w:rPr>
          <w:rFonts w:ascii="Times New Roman" w:cs="Times New Roman" w:eastAsia="Times New Roman" w:hAnsi="Times New Roman"/>
          <w:sz w:val="16"/>
          <w:szCs w:val="16"/>
          <w:color w:val="auto"/>
        </w:rPr>
      </w:pPr>
    </w:p>
    <w:p>
      <w:pPr>
        <w:ind w:left="1100" w:right="939" w:firstLine="320"/>
        <w:spacing w:after="0" w:line="242" w:lineRule="auto"/>
        <w:tabs>
          <w:tab w:leader="none" w:pos="1767"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(i) the term “</w:t>
      </w:r>
      <w:r>
        <w:rPr>
          <w:rFonts w:ascii="Times New Roman" w:cs="Times New Roman" w:eastAsia="Times New Roman" w:hAnsi="Times New Roman"/>
          <w:sz w:val="16"/>
          <w:szCs w:val="16"/>
          <w:b w:val="1"/>
          <w:bCs w:val="1"/>
          <w:i w:val="1"/>
          <w:iCs w:val="1"/>
          <w:color w:val="auto"/>
        </w:rPr>
        <w:t>Tax</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Taxes</w:t>
      </w:r>
      <w:r>
        <w:rPr>
          <w:rFonts w:ascii="Times New Roman" w:cs="Times New Roman" w:eastAsia="Times New Roman" w:hAnsi="Times New Roman"/>
          <w:sz w:val="16"/>
          <w:szCs w:val="16"/>
          <w:color w:val="auto"/>
        </w:rPr>
        <w:t>” means all federal, state, local, and foreign income, excise, gross receipts, ad valorem, profits, gains, property, capital, sales, transfer, use, license, payroll, employment, social security, severance, unemployment, withholding, duties, excise, windfall profits, intangibles, franchise, backup withholding, value added, alternative or add-on minimum, estimated and other taxes, charges, levies or like assessments together with all penalties and additions to tax and interest thereon, and (ii) the term “</w:t>
      </w:r>
      <w:r>
        <w:rPr>
          <w:rFonts w:ascii="Times New Roman" w:cs="Times New Roman" w:eastAsia="Times New Roman" w:hAnsi="Times New Roman"/>
          <w:sz w:val="16"/>
          <w:szCs w:val="16"/>
          <w:b w:val="1"/>
          <w:bCs w:val="1"/>
          <w:i w:val="1"/>
          <w:iCs w:val="1"/>
          <w:color w:val="auto"/>
        </w:rPr>
        <w:t>Tax Return</w:t>
      </w:r>
      <w:r>
        <w:rPr>
          <w:rFonts w:ascii="Times New Roman" w:cs="Times New Roman" w:eastAsia="Times New Roman" w:hAnsi="Times New Roman"/>
          <w:sz w:val="16"/>
          <w:szCs w:val="16"/>
          <w:color w:val="auto"/>
        </w:rPr>
        <w:t>” means any return, report, claim for refund, or information return or statement relating to Taxes, including any schedule or attachment thereto, and including any amendment thereof, supplied or required to be supplied to a Governmental Authority.</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3.12 Labor Relations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39" w:firstLine="320"/>
        <w:spacing w:after="0" w:line="251" w:lineRule="auto"/>
        <w:tabs>
          <w:tab w:leader="none" w:pos="1729"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labor strike, dispute, slowdown, stoppage or lockout pending or, to the Company’s Knowledge, threatened against or affecting the Company or the Company Subsidiaries. Neither the Company nor any Company Subsidiary is a party to any collective bargaining agreement or similar labor agreement. The Company and the Company Subsidiaries are, and for the past three (3) years have been, in compliance in all material respects with all applicable Laws respecting employment and employment practices, terms and conditions of employment, equal opportunity, nondiscrimination, immigration, labor, wages, hours of work and occupational safety and health, and is not engaged in any unfair labor practices as defined in the National Labor Relations Act or other applicable Law. The Company and the Company Subsidiaries have not received any written notice that any Governmental Authority responsible for the enforcement of labor or employment laws, rules or regulations intends to conduct an investigation with respect to or relating to the Company or the Company Subsidiaries and, to the Company’s Knowledge, no such investigation is in progress.</w:t>
      </w:r>
    </w:p>
    <w:p>
      <w:pPr>
        <w:spacing w:after="0" w:line="289" w:lineRule="exact"/>
        <w:rPr>
          <w:rFonts w:ascii="Times New Roman" w:cs="Times New Roman" w:eastAsia="Times New Roman" w:hAnsi="Times New Roman"/>
          <w:sz w:val="16"/>
          <w:szCs w:val="16"/>
          <w:color w:val="auto"/>
        </w:rPr>
      </w:pPr>
    </w:p>
    <w:p>
      <w:pPr>
        <w:ind w:left="1100" w:right="1019" w:firstLine="320"/>
        <w:spacing w:after="0" w:line="263" w:lineRule="auto"/>
        <w:tabs>
          <w:tab w:leader="none" w:pos="1741"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Balance Sheet Date, neither the Company nor any of the Company Subsidiaries has effectuated a “mass layoff” as defined in the WARN Act affecting any site of employment or facility of the Company or the Company Subsidiaries.</w:t>
      </w:r>
    </w:p>
    <w:p>
      <w:pPr>
        <w:spacing w:after="0" w:line="97" w:lineRule="exact"/>
        <w:rPr>
          <w:rFonts w:ascii="Times New Roman" w:cs="Times New Roman" w:eastAsia="Times New Roman" w:hAnsi="Times New Roman"/>
          <w:sz w:val="16"/>
          <w:szCs w:val="16"/>
          <w:color w:val="auto"/>
        </w:rPr>
      </w:pPr>
    </w:p>
    <w:p>
      <w:pPr>
        <w:ind w:left="1100" w:right="939" w:firstLine="320"/>
        <w:spacing w:after="0" w:line="258" w:lineRule="auto"/>
        <w:tabs>
          <w:tab w:leader="none" w:pos="1732"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3.12(c)</w:t>
      </w:r>
      <w:r>
        <w:rPr>
          <w:rFonts w:ascii="Times New Roman" w:cs="Times New Roman" w:eastAsia="Times New Roman" w:hAnsi="Times New Roman"/>
          <w:sz w:val="16"/>
          <w:szCs w:val="16"/>
          <w:color w:val="auto"/>
        </w:rPr>
        <w:t xml:space="preserve"> of the Company Disclosure Memorandum, neither the Company nor any of the Company Subsidiaries is a party to any Contract with respect to the employment of any officer, director, employee or consultant that is not terminable at will and without any penalty or other severance or obligation.</w:t>
      </w:r>
    </w:p>
    <w:p>
      <w:pPr>
        <w:spacing w:after="0" w:line="102" w:lineRule="exact"/>
        <w:rPr>
          <w:rFonts w:ascii="Times New Roman" w:cs="Times New Roman" w:eastAsia="Times New Roman" w:hAnsi="Times New Roman"/>
          <w:sz w:val="16"/>
          <w:szCs w:val="16"/>
          <w:color w:val="auto"/>
        </w:rPr>
      </w:pPr>
    </w:p>
    <w:p>
      <w:pPr>
        <w:ind w:left="1100" w:right="919" w:firstLine="320"/>
        <w:spacing w:after="0" w:line="256" w:lineRule="auto"/>
        <w:tabs>
          <w:tab w:leader="none" w:pos="1741"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3.12(d)</w:t>
      </w:r>
      <w:r>
        <w:rPr>
          <w:rFonts w:ascii="Times New Roman" w:cs="Times New Roman" w:eastAsia="Times New Roman" w:hAnsi="Times New Roman"/>
          <w:sz w:val="16"/>
          <w:szCs w:val="16"/>
          <w:color w:val="auto"/>
        </w:rPr>
        <w:t xml:space="preserve"> of the Company Disclosure Memorandum sets forth a complete list of all employees of the Company and the Company Subsidiaries and their basic employment data (including, without limitation, with respect to each such employee, current salary or wage, total compensation for 2025, current target bonus opportunity, date of hire, status as full or part-time, status as active or on-leave (and type of leave) and exempt or non-exempt and office location).</w:t>
      </w:r>
    </w:p>
    <w:p>
      <w:pPr>
        <w:spacing w:after="0" w:line="90" w:lineRule="exact"/>
        <w:rPr>
          <w:rFonts w:ascii="Times New Roman" w:cs="Times New Roman" w:eastAsia="Times New Roman" w:hAnsi="Times New Roman"/>
          <w:sz w:val="16"/>
          <w:szCs w:val="16"/>
          <w:color w:val="auto"/>
        </w:rPr>
      </w:pPr>
    </w:p>
    <w:p>
      <w:pPr>
        <w:ind w:left="1100" w:right="1119" w:firstLine="320"/>
        <w:spacing w:after="0" w:line="263" w:lineRule="auto"/>
        <w:tabs>
          <w:tab w:leader="none" w:pos="1732"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or any of the Company Subsidiaries has incurred any workers’ compensation liability outside of its ordinary course of business. The Company and each of the Company Subsidiaries have</w:t>
      </w:r>
    </w:p>
    <w:p>
      <w:pPr>
        <w:spacing w:after="0" w:line="3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019"/>
        <w:spacing w:after="0" w:line="256" w:lineRule="auto"/>
        <w:rPr>
          <w:sz w:val="20"/>
          <w:szCs w:val="20"/>
          <w:color w:val="auto"/>
        </w:rPr>
      </w:pPr>
      <w:r>
        <w:rPr>
          <w:rFonts w:ascii="Times New Roman" w:cs="Times New Roman" w:eastAsia="Times New Roman" w:hAnsi="Times New Roman"/>
          <w:sz w:val="16"/>
          <w:szCs w:val="16"/>
          <w:color w:val="auto"/>
        </w:rPr>
        <w:t>paid or accrued all current assessments under workers’ compensation legislation, and neither the Company nor any of the Company Subsidiaries has been subject to any special or penalty assessment under such legislation that has not been paid.</w:t>
      </w:r>
    </w:p>
    <w:p>
      <w:pPr>
        <w:spacing w:after="0" w:line="90" w:lineRule="exact"/>
        <w:rPr>
          <w:sz w:val="20"/>
          <w:szCs w:val="20"/>
          <w:color w:val="auto"/>
        </w:rPr>
      </w:pPr>
    </w:p>
    <w:p>
      <w:pPr>
        <w:ind w:left="1100" w:right="1019" w:firstLine="320"/>
        <w:spacing w:after="0" w:line="245" w:lineRule="auto"/>
        <w:tabs>
          <w:tab w:leader="none" w:pos="1714"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past five (5) years, no allegations of sexual or other discrimination, harassment or misconduct have been made against any current or former employee or director of the Company or any of the Company Subsidiaries. In the past five (5) years, none of the Company or any of the Company Subsidiaries has been involved in any Proceedings, or entered into any settlement agreements, related to allegations of sexual or other discrimination, harassment or misconduct by any current or former employee or director of the Company or any of the Company Subsidiaries.</w:t>
      </w:r>
    </w:p>
    <w:p>
      <w:pPr>
        <w:spacing w:after="0" w:line="100" w:lineRule="exact"/>
        <w:rPr>
          <w:rFonts w:ascii="Times New Roman" w:cs="Times New Roman" w:eastAsia="Times New Roman" w:hAnsi="Times New Roman"/>
          <w:sz w:val="16"/>
          <w:szCs w:val="16"/>
          <w:color w:val="auto"/>
        </w:rPr>
      </w:pPr>
    </w:p>
    <w:p>
      <w:pPr>
        <w:ind w:left="1100" w:right="1279" w:firstLine="320"/>
        <w:spacing w:after="0" w:line="248" w:lineRule="auto"/>
        <w:tabs>
          <w:tab w:leader="none" w:pos="1741"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3.12(g)</w:t>
      </w:r>
      <w:r>
        <w:rPr>
          <w:rFonts w:ascii="Times New Roman" w:cs="Times New Roman" w:eastAsia="Times New Roman" w:hAnsi="Times New Roman"/>
          <w:sz w:val="16"/>
          <w:szCs w:val="16"/>
          <w:color w:val="auto"/>
        </w:rPr>
        <w:t xml:space="preserve"> of the Company Disclosure Memorandum, there are no employment agreements, severance agreements or similar arrangements to which the Company or a Company Subsidiary is a party.</w:t>
      </w:r>
    </w:p>
    <w:p>
      <w:pPr>
        <w:spacing w:after="0" w:line="96" w:lineRule="exact"/>
        <w:rPr>
          <w:rFonts w:ascii="Times New Roman" w:cs="Times New Roman" w:eastAsia="Times New Roman" w:hAnsi="Times New Roman"/>
          <w:sz w:val="16"/>
          <w:szCs w:val="16"/>
          <w:color w:val="auto"/>
        </w:rPr>
      </w:pPr>
    </w:p>
    <w:p>
      <w:pPr>
        <w:ind w:left="1100" w:right="899" w:firstLine="320"/>
        <w:spacing w:after="0" w:line="245" w:lineRule="auto"/>
        <w:tabs>
          <w:tab w:leader="none" w:pos="1741"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3.12(h)</w:t>
      </w:r>
      <w:r>
        <w:rPr>
          <w:rFonts w:ascii="Times New Roman" w:cs="Times New Roman" w:eastAsia="Times New Roman" w:hAnsi="Times New Roman"/>
          <w:sz w:val="16"/>
          <w:szCs w:val="16"/>
          <w:color w:val="auto"/>
        </w:rPr>
        <w:t xml:space="preserve"> of the Company Disclosure Memorandum, there are no non-solicitation, non-competition, non-disclosure, or non-interference agreements between the Company or a Company Subsidiary and any current or former employee of the Company or a Company Subsidiary. </w:t>
      </w:r>
      <w:r>
        <w:rPr>
          <w:rFonts w:ascii="Times New Roman" w:cs="Times New Roman" w:eastAsia="Times New Roman" w:hAnsi="Times New Roman"/>
          <w:sz w:val="16"/>
          <w:szCs w:val="16"/>
          <w:u w:val="single" w:color="auto"/>
          <w:color w:val="auto"/>
        </w:rPr>
        <w:t>3.12(h)</w:t>
      </w:r>
      <w:r>
        <w:rPr>
          <w:rFonts w:ascii="Times New Roman" w:cs="Times New Roman" w:eastAsia="Times New Roman" w:hAnsi="Times New Roman"/>
          <w:sz w:val="16"/>
          <w:szCs w:val="16"/>
          <w:color w:val="auto"/>
        </w:rPr>
        <w:t xml:space="preserve"> of the Company Disclosure Memorandum, to the Company’s Knowledge, no officer of the Company or a Company Subsidiary is in violation of any employment contract, confidentiality, non-competition agreement or any other restrictive covenant relating to any third party.</w:t>
      </w:r>
    </w:p>
    <w:p>
      <w:pPr>
        <w:spacing w:after="0" w:line="9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3.13 Company Benefit Plans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39" w:firstLine="320"/>
        <w:spacing w:after="0"/>
        <w:tabs>
          <w:tab w:leader="none" w:pos="1732"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3.13(a)</w:t>
      </w:r>
      <w:r>
        <w:rPr>
          <w:rFonts w:ascii="Times New Roman" w:cs="Times New Roman" w:eastAsia="Times New Roman" w:hAnsi="Times New Roman"/>
          <w:sz w:val="16"/>
          <w:szCs w:val="16"/>
          <w:color w:val="auto"/>
        </w:rPr>
        <w:t xml:space="preserve"> of the Company Disclosure Memorandum sets forth a true and complete list of each material plan, policy, agreement or arrangement (including without limitation any “employee benefit plan” as defined in Section 3(3) of ERISA, whether or not subject to ERISA) with respect to which the Company or any Company Subsidiary has or may have any liability, or whereby the Company, any Company Subsidiary or any of their ERISA Affiliates (as defined below) provides or is obligated to provide any benefit, to any current or former officer, director, employee or other individual of the Company or a Company Subsidiary, including, without limitation, any profit sharing, “golden parachute,” deferred compensation, incentive compensation, commissions, stock option or other equity-based compensation, stock purchase, Code Section 125 cafeteria plan or flexible benefit arrangement, rabbi trust, severance, retention, supplemental income, change in control, fringe benefit, perquisite, vacation, paid-time off or sick leave, pension, retirement, health or insurance plans, policies, agreements, or arrangements (each, a “</w:t>
      </w:r>
      <w:r>
        <w:rPr>
          <w:rFonts w:ascii="Times New Roman" w:cs="Times New Roman" w:eastAsia="Times New Roman" w:hAnsi="Times New Roman"/>
          <w:sz w:val="16"/>
          <w:szCs w:val="16"/>
          <w:b w:val="1"/>
          <w:bCs w:val="1"/>
          <w:i w:val="1"/>
          <w:iCs w:val="1"/>
          <w:color w:val="auto"/>
        </w:rPr>
        <w:t>Company Benefit Plan</w:t>
      </w:r>
      <w:r>
        <w:rPr>
          <w:rFonts w:ascii="Times New Roman" w:cs="Times New Roman" w:eastAsia="Times New Roman" w:hAnsi="Times New Roman"/>
          <w:sz w:val="16"/>
          <w:szCs w:val="16"/>
          <w:color w:val="auto"/>
        </w:rPr>
        <w:t>”). For purposes of this Agreement, “</w:t>
      </w:r>
      <w:r>
        <w:rPr>
          <w:rFonts w:ascii="Times New Roman" w:cs="Times New Roman" w:eastAsia="Times New Roman" w:hAnsi="Times New Roman"/>
          <w:sz w:val="16"/>
          <w:szCs w:val="16"/>
          <w:b w:val="1"/>
          <w:bCs w:val="1"/>
          <w:i w:val="1"/>
          <w:iCs w:val="1"/>
          <w:color w:val="auto"/>
        </w:rPr>
        <w:t>ERISA Affiliate</w:t>
      </w:r>
      <w:r>
        <w:rPr>
          <w:rFonts w:ascii="Times New Roman" w:cs="Times New Roman" w:eastAsia="Times New Roman" w:hAnsi="Times New Roman"/>
          <w:sz w:val="16"/>
          <w:szCs w:val="16"/>
          <w:color w:val="auto"/>
        </w:rPr>
        <w:t>” means, with respect to the Company or any Company Subsidiary, any other entity, trade or business that is, or was at the relevant time, a member of a group described in Section 414(b), (c), (m) or (o) of the Code or Section 4001(b)(1) of ERISA that includes or included the Company or any Company Subsidiary, or that is, or was at the relevant time, a member of the same “controlled group” as the Company or any Company Subsidiary pursuant to Section 4001(a)(14) of ERISA.</w:t>
      </w:r>
    </w:p>
    <w:p>
      <w:pPr>
        <w:spacing w:after="0" w:line="284" w:lineRule="exact"/>
        <w:rPr>
          <w:rFonts w:ascii="Times New Roman" w:cs="Times New Roman" w:eastAsia="Times New Roman" w:hAnsi="Times New Roman"/>
          <w:sz w:val="16"/>
          <w:szCs w:val="16"/>
          <w:color w:val="auto"/>
        </w:rPr>
      </w:pPr>
    </w:p>
    <w:p>
      <w:pPr>
        <w:ind w:left="1100" w:right="919" w:firstLine="320"/>
        <w:spacing w:after="0"/>
        <w:tabs>
          <w:tab w:leader="none" w:pos="1738"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each Company Benefit Plan, complete and correct copies of the following documents have been furnished to Parent: (i) the most recent plan documents or written agreements thereof, and all amendments thereto and all related trust or other funding vehicles (including, without limitation, contracts with service providers and insurers) with respect to each such Company Benefit Plan and, in the case of any such Company Benefit Plan that is not in written form, a description of all material aspects of such plan; (ii) the most recent summary plan description, and all related summaries of material modifications thereto, if applicable; (iii) Forms 5500 (including schedules and attachments), financial statements and actuarial reports for the past three years, if applicable; (iv) Forms 1094 and 1095 for 2023, 2024, and 2025; (v) the most recent IRS determination letter or opinion letter and any pending application with respect to each such Company Benefit Plan which is intended to qualify under Section 401(a) of the Code; (vi) current ERISA bonds; and (vii) all non-routine correspondence to and from the IRS, DOL, or any other Governmental Authority within the past three (3) years relating to any such Company Benefit Plan (which, for the avoidance of doubt, excludes the documentation provided under (iii) and (v) above). The Company has not been notified that any Company Benefit Plan is undergoing an audit or is subject to an investigation by any of the IRS, the United States Department of Labor (the “</w:t>
      </w:r>
      <w:r>
        <w:rPr>
          <w:rFonts w:ascii="Times New Roman" w:cs="Times New Roman" w:eastAsia="Times New Roman" w:hAnsi="Times New Roman"/>
          <w:sz w:val="16"/>
          <w:szCs w:val="16"/>
          <w:b w:val="1"/>
          <w:bCs w:val="1"/>
          <w:i w:val="1"/>
          <w:iCs w:val="1"/>
          <w:color w:val="auto"/>
        </w:rPr>
        <w:t>DOL</w:t>
      </w:r>
      <w:r>
        <w:rPr>
          <w:rFonts w:ascii="Times New Roman" w:cs="Times New Roman" w:eastAsia="Times New Roman" w:hAnsi="Times New Roman"/>
          <w:sz w:val="16"/>
          <w:szCs w:val="16"/>
          <w:color w:val="auto"/>
        </w:rPr>
        <w:t>”) or any other Governmental Authority.</w:t>
      </w:r>
    </w:p>
    <w:p>
      <w:pPr>
        <w:spacing w:after="0" w:line="200" w:lineRule="exact"/>
        <w:rPr>
          <w:sz w:val="20"/>
          <w:szCs w:val="20"/>
          <w:color w:val="auto"/>
        </w:rPr>
      </w:pPr>
    </w:p>
    <w:p>
      <w:pPr>
        <w:spacing w:after="0" w:line="30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35" w:name="page136"/>
    <w:bookmarkEnd w:id="13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firstLine="320"/>
        <w:spacing w:after="0"/>
        <w:tabs>
          <w:tab w:leader="none" w:pos="1732"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3.13(c)</w:t>
      </w:r>
      <w:r>
        <w:rPr>
          <w:rFonts w:ascii="Times New Roman" w:cs="Times New Roman" w:eastAsia="Times New Roman" w:hAnsi="Times New Roman"/>
          <w:sz w:val="16"/>
          <w:szCs w:val="16"/>
          <w:color w:val="auto"/>
        </w:rPr>
        <w:t xml:space="preserve"> of the Company Disclosure Memorandum, with respect to each Company Benefit Plan: (i) such Company Benefit Plan has been administered in all material respects in compliance with its terms and with all applicable Laws, including ERISA, the Code, the Health Insurance Portability and Accountability Act and the Patient Protection and Affordable Care Act, and any regulations or rules promulgated thereunder; (ii) no Proceedings are pending, or to the Company’s Knowledge, threatened; (iii) all premiums, contributions, or other payments required to have been made by applicable Law or under the terms of any such Company Benefit Plan or any Contract relating thereto as of the Closing Date have been made; (iv) all material reports, returns and similar documents required to be filed with any Governmental Authority or distributed to any plan participant have been duly filed or distributed; (v) no penalty has been assessed, or is reasonably expected to be assessed, with respect to any such Company Benefit Plan by any Governmental Authority; and (vi) to the Company’s Knowledge, no non-exempt “prohibited transaction” or “reportable event” has occurred within the meaning of the applicable provisions of ERISA or the Code.</w:t>
      </w:r>
    </w:p>
    <w:p>
      <w:pPr>
        <w:spacing w:after="0" w:line="293" w:lineRule="exact"/>
        <w:rPr>
          <w:rFonts w:ascii="Times New Roman" w:cs="Times New Roman" w:eastAsia="Times New Roman" w:hAnsi="Times New Roman"/>
          <w:sz w:val="16"/>
          <w:szCs w:val="16"/>
          <w:color w:val="auto"/>
        </w:rPr>
      </w:pPr>
    </w:p>
    <w:p>
      <w:pPr>
        <w:ind w:left="1100" w:right="999" w:firstLine="320"/>
        <w:spacing w:after="0" w:line="245" w:lineRule="auto"/>
        <w:tabs>
          <w:tab w:leader="none" w:pos="1738"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each Company Benefit Plan intended to qualify under Section 401(a) of the Code, the IRS has issued a favorable determination letter or opinion letter or advisory letter upon which the Company is entitled to rely under IRS pronouncements, and no such determination letter, opinion letter or advisory letter has been revoked nor has revocation been threatened, and, to the Company’s Knowledge, there are no circumstances and no events have occurred that could adversely affect the qualified status of any such Company Benefit Plan or the related trust.</w:t>
      </w:r>
    </w:p>
    <w:p>
      <w:pPr>
        <w:spacing w:after="0" w:line="100" w:lineRule="exact"/>
        <w:rPr>
          <w:rFonts w:ascii="Times New Roman" w:cs="Times New Roman" w:eastAsia="Times New Roman" w:hAnsi="Times New Roman"/>
          <w:sz w:val="16"/>
          <w:szCs w:val="16"/>
          <w:color w:val="auto"/>
        </w:rPr>
      </w:pPr>
    </w:p>
    <w:p>
      <w:pPr>
        <w:ind w:left="1100" w:right="959" w:firstLine="320"/>
        <w:spacing w:after="0"/>
        <w:tabs>
          <w:tab w:leader="none" w:pos="1732"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3.13(e)</w:t>
      </w:r>
      <w:r>
        <w:rPr>
          <w:rFonts w:ascii="Times New Roman" w:cs="Times New Roman" w:eastAsia="Times New Roman" w:hAnsi="Times New Roman"/>
          <w:sz w:val="16"/>
          <w:szCs w:val="16"/>
          <w:color w:val="auto"/>
        </w:rPr>
        <w:t xml:space="preserve"> of the Company Disclosure Memorandum, each Company Benefit Plan may be amended, terminated or otherwise modified by the Company in its sole discretion, including the elimination of any and all future benefit accruals thereunder, without any adverse consequences to the Company, other than providing COBRA benefits to qualified beneficiaries of any such Company Benefit Plan that is a group health plan. No communications or provision of any such Company Benefit Plan has failed to effectively reserve the right of the Company to so amend, terminate or otherwise modify such Company Benefit Plan. Except as set forth on </w:t>
      </w:r>
      <w:r>
        <w:rPr>
          <w:rFonts w:ascii="Times New Roman" w:cs="Times New Roman" w:eastAsia="Times New Roman" w:hAnsi="Times New Roman"/>
          <w:sz w:val="16"/>
          <w:szCs w:val="16"/>
          <w:u w:val="single" w:color="auto"/>
          <w:color w:val="auto"/>
        </w:rPr>
        <w:t>Section 3.13(e)</w:t>
      </w:r>
      <w:r>
        <w:rPr>
          <w:rFonts w:ascii="Times New Roman" w:cs="Times New Roman" w:eastAsia="Times New Roman" w:hAnsi="Times New Roman"/>
          <w:sz w:val="16"/>
          <w:szCs w:val="16"/>
          <w:color w:val="auto"/>
        </w:rPr>
        <w:t xml:space="preserve"> of the Company Disclosure Memorandum, neither the Company nor any Company Subsidiary has announced its intention to modify or terminate any Company Benefit Plan or adopt any arrangement or program which, once established, would come within the definition of a Company Benefit Plan. Except as set forth on </w:t>
      </w:r>
      <w:r>
        <w:rPr>
          <w:rFonts w:ascii="Times New Roman" w:cs="Times New Roman" w:eastAsia="Times New Roman" w:hAnsi="Times New Roman"/>
          <w:sz w:val="16"/>
          <w:szCs w:val="16"/>
          <w:u w:val="single" w:color="auto"/>
          <w:color w:val="auto"/>
        </w:rPr>
        <w:t>Section 3.13(e)</w:t>
      </w:r>
      <w:r>
        <w:rPr>
          <w:rFonts w:ascii="Times New Roman" w:cs="Times New Roman" w:eastAsia="Times New Roman" w:hAnsi="Times New Roman"/>
          <w:sz w:val="16"/>
          <w:szCs w:val="16"/>
          <w:color w:val="auto"/>
        </w:rPr>
        <w:t xml:space="preserve"> of the Company Disclosure Memorandum, each asset held under each Company Benefit Plan may be liquidated or terminated without the imposition of any redemption fee, surrender charge, comparable liability, or consent of a Person, other than the Company or the trustee of such plan.</w:t>
      </w:r>
    </w:p>
    <w:p>
      <w:pPr>
        <w:spacing w:after="0" w:line="109" w:lineRule="exact"/>
        <w:rPr>
          <w:rFonts w:ascii="Times New Roman" w:cs="Times New Roman" w:eastAsia="Times New Roman" w:hAnsi="Times New Roman"/>
          <w:sz w:val="16"/>
          <w:szCs w:val="16"/>
          <w:color w:val="auto"/>
        </w:rPr>
      </w:pPr>
    </w:p>
    <w:p>
      <w:pPr>
        <w:ind w:left="1100" w:right="939" w:firstLine="320"/>
        <w:spacing w:after="0" w:line="243" w:lineRule="auto"/>
        <w:tabs>
          <w:tab w:leader="none" w:pos="1714"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Benefit Plan that constitutes in any part a nonqualified deferred compensation plan within the meaning of Section 409A of the Code has been operated and maintained in accordance with Section 409A of the Code and applicable guidance thereunder in all material respects. No payment to be made under any Company Benefit Plan is or will be subject to the penalties of Section 409A(a)(1) of the Code. Neither the Company nor any Company Subsidiary has any obligations to any employee or other service provider to make any reimbursement or other payment with respect to any Tax imposed under Section 409A of the Code.</w:t>
      </w:r>
    </w:p>
    <w:p>
      <w:pPr>
        <w:spacing w:after="0" w:line="287" w:lineRule="exact"/>
        <w:rPr>
          <w:rFonts w:ascii="Times New Roman" w:cs="Times New Roman" w:eastAsia="Times New Roman" w:hAnsi="Times New Roman"/>
          <w:sz w:val="16"/>
          <w:szCs w:val="16"/>
          <w:color w:val="auto"/>
        </w:rPr>
      </w:pPr>
    </w:p>
    <w:p>
      <w:pPr>
        <w:ind w:left="1740" w:hanging="320"/>
        <w:spacing w:after="0"/>
        <w:tabs>
          <w:tab w:leader="none" w:pos="1740"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Benefit Plan is subject to the laws of any jurisdiction outside the United States.</w:t>
      </w:r>
    </w:p>
    <w:p>
      <w:pPr>
        <w:spacing w:after="0" w:line="125" w:lineRule="exact"/>
        <w:rPr>
          <w:rFonts w:ascii="Times New Roman" w:cs="Times New Roman" w:eastAsia="Times New Roman" w:hAnsi="Times New Roman"/>
          <w:sz w:val="16"/>
          <w:szCs w:val="16"/>
          <w:color w:val="auto"/>
        </w:rPr>
      </w:pPr>
    </w:p>
    <w:p>
      <w:pPr>
        <w:ind w:left="1100" w:right="1059" w:firstLine="320"/>
        <w:spacing w:after="0" w:line="246" w:lineRule="auto"/>
        <w:tabs>
          <w:tab w:leader="none" w:pos="1741"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3.13(h)</w:t>
      </w:r>
      <w:r>
        <w:rPr>
          <w:rFonts w:ascii="Times New Roman" w:cs="Times New Roman" w:eastAsia="Times New Roman" w:hAnsi="Times New Roman"/>
          <w:sz w:val="16"/>
          <w:szCs w:val="16"/>
          <w:color w:val="auto"/>
        </w:rPr>
        <w:t xml:space="preserve"> of the Company Disclosure Memorandum or as otherwise expressly contemplated or permitted by this Agreement, neither the execution and delivery of this Agreement nor the consummation of the transactions contemplated by this Agreement will, either alone or in combination with any other event: (i) result in any payment (including, without limitation, any</w:t>
      </w:r>
    </w:p>
    <w:p>
      <w:pPr>
        <w:spacing w:after="0" w:line="1" w:lineRule="exact"/>
        <w:rPr>
          <w:rFonts w:ascii="Times New Roman" w:cs="Times New Roman" w:eastAsia="Times New Roman" w:hAnsi="Times New Roman"/>
          <w:sz w:val="16"/>
          <w:szCs w:val="16"/>
          <w:color w:val="auto"/>
        </w:rPr>
      </w:pPr>
    </w:p>
    <w:p>
      <w:pPr>
        <w:ind w:left="1100"/>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separation, severance, termination, retention, “excess parachute payment” (within​ the meaning of</w:t>
      </w:r>
    </w:p>
    <w:p>
      <w:pPr>
        <w:ind w:left="1100" w:right="103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280G of the Code)), or forgiveness of indebtedness or similar payments or benefits) becoming due to any current or former employee, officer or director of the Company or any Company Subsidiary;</w:t>
      </w:r>
    </w:p>
    <w:p>
      <w:pPr>
        <w:ind w:left="1360" w:hanging="257"/>
        <w:spacing w:after="0" w:line="234" w:lineRule="auto"/>
        <w:tabs>
          <w:tab w:leader="none" w:pos="13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amount or value of any payment or benefit payable under any Company Benefit Plan; or</w:t>
      </w:r>
    </w:p>
    <w:p>
      <w:pPr>
        <w:ind w:left="1100" w:right="1159" w:firstLine="3"/>
        <w:spacing w:after="0"/>
        <w:tabs>
          <w:tab w:leader="none" w:pos="1397"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any acceleration of the time of payment or vesting of any payment or benefit payable under any Company Benefit.</w:t>
      </w:r>
    </w:p>
    <w:p>
      <w:pPr>
        <w:spacing w:after="0" w:line="102" w:lineRule="exact"/>
        <w:rPr>
          <w:rFonts w:ascii="Times New Roman" w:cs="Times New Roman" w:eastAsia="Times New Roman" w:hAnsi="Times New Roman"/>
          <w:sz w:val="16"/>
          <w:szCs w:val="16"/>
          <w:color w:val="auto"/>
        </w:rPr>
      </w:pPr>
    </w:p>
    <w:p>
      <w:pPr>
        <w:ind w:left="1100" w:right="1159" w:firstLine="320"/>
        <w:spacing w:after="0" w:line="256" w:lineRule="auto"/>
        <w:tabs>
          <w:tab w:leader="none" w:pos="1706"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3.13(i)</w:t>
      </w:r>
      <w:r>
        <w:rPr>
          <w:rFonts w:ascii="Times New Roman" w:cs="Times New Roman" w:eastAsia="Times New Roman" w:hAnsi="Times New Roman"/>
          <w:sz w:val="16"/>
          <w:szCs w:val="16"/>
          <w:color w:val="auto"/>
        </w:rPr>
        <w:t xml:space="preserve"> of the Company Disclosure Memorandum, neither the Company nor any Company Subsidiary has announced any type of plan or binding commitment to create any additional Company Benefit Plan, to enter into any agreement with any current or former employee,</w:t>
      </w:r>
    </w:p>
    <w:p>
      <w:pPr>
        <w:spacing w:after="0" w:line="3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36" w:name="page137"/>
    <w:bookmarkEnd w:id="13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019"/>
        <w:spacing w:after="0" w:line="261" w:lineRule="auto"/>
        <w:rPr>
          <w:sz w:val="20"/>
          <w:szCs w:val="20"/>
          <w:color w:val="auto"/>
        </w:rPr>
      </w:pPr>
      <w:r>
        <w:rPr>
          <w:rFonts w:ascii="Times New Roman" w:cs="Times New Roman" w:eastAsia="Times New Roman" w:hAnsi="Times New Roman"/>
          <w:sz w:val="16"/>
          <w:szCs w:val="16"/>
          <w:color w:val="auto"/>
        </w:rPr>
        <w:t>officer, director or individual independent contractor or to amend or modify any existing Company Benefit Plan or agreement with any current or former employee, officer, director, or individual independent contractor.</w:t>
      </w:r>
    </w:p>
    <w:p>
      <w:pPr>
        <w:spacing w:after="0" w:line="279" w:lineRule="exact"/>
        <w:rPr>
          <w:sz w:val="20"/>
          <w:szCs w:val="20"/>
          <w:color w:val="auto"/>
        </w:rPr>
      </w:pPr>
    </w:p>
    <w:p>
      <w:pPr>
        <w:ind w:left="1100" w:right="979" w:firstLine="320"/>
        <w:spacing w:after="0" w:line="243" w:lineRule="auto"/>
        <w:tabs>
          <w:tab w:leader="none" w:pos="1706"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3.13(j)</w:t>
      </w:r>
      <w:r>
        <w:rPr>
          <w:rFonts w:ascii="Times New Roman" w:cs="Times New Roman" w:eastAsia="Times New Roman" w:hAnsi="Times New Roman"/>
          <w:sz w:val="16"/>
          <w:szCs w:val="16"/>
          <w:color w:val="auto"/>
        </w:rPr>
        <w:t xml:space="preserve"> of the Company Disclosure Memorandum, neither the Company, any Company Subsidiary nor any Company Benefit Plan provides (or will provide) health or other welfare benefits to one or more former employees, officers, directors or individual independent contractors (including dependents of any of the foregoing) other than benefits that are required to be provided pursuant to the applicable requirements of COBRA. The Company and the Company Subsidiaries and the sponsors and administrators of the Company Benefit Plans have at all times complied with COBRA in all material respects, and have maintained adequate records to evidence such compliance.</w:t>
      </w:r>
    </w:p>
    <w:p>
      <w:pPr>
        <w:spacing w:after="0" w:line="101" w:lineRule="exact"/>
        <w:rPr>
          <w:rFonts w:ascii="Times New Roman" w:cs="Times New Roman" w:eastAsia="Times New Roman" w:hAnsi="Times New Roman"/>
          <w:sz w:val="16"/>
          <w:szCs w:val="16"/>
          <w:color w:val="auto"/>
        </w:rPr>
      </w:pPr>
    </w:p>
    <w:p>
      <w:pPr>
        <w:ind w:left="1100" w:right="919" w:firstLine="320"/>
        <w:spacing w:after="0"/>
        <w:tabs>
          <w:tab w:leader="none" w:pos="1741"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Benefit Plan is, and neither the Company, any Company Subsidiary nor any ERISA Affiliate maintains or contributes to, or has at any time maintained or contributed to, or has any liability, whether actual or contingent under, a plan subject to Section 302 or Title IV of ERISA or to Section 412 of the Code. No Company Benefit Plan is or was at any time a multiemployer plan, as defined in Section 3(37) of ERISA, and neither the Company, any Company Subsidiary nor any ERISA Affiliate has ever contributed to, or had an obligation to contribute to, or incurred any liability with respect to, any multiemployer plan. None of the Company Benefit Plans are part of, or have at any time been part of, a multiple employer welfare arrangement, as that term is defined in ERISA Section 3(40). No Company Benefit Plan is or was at any time a multiple employer plan, as described in Code Section 413(c) or ERISA Sections 4063 or 4064, and neither the Company, any Company Subsidiary nor any ERISA Affiliate has ever contributed to or had an obligation to contribute to any such plan.</w:t>
      </w:r>
    </w:p>
    <w:p>
      <w:pPr>
        <w:spacing w:after="0" w:line="108" w:lineRule="exact"/>
        <w:rPr>
          <w:rFonts w:ascii="Times New Roman" w:cs="Times New Roman" w:eastAsia="Times New Roman" w:hAnsi="Times New Roman"/>
          <w:sz w:val="16"/>
          <w:szCs w:val="16"/>
          <w:color w:val="auto"/>
        </w:rPr>
      </w:pPr>
    </w:p>
    <w:p>
      <w:pPr>
        <w:ind w:left="1100" w:right="939" w:firstLine="320"/>
        <w:spacing w:after="0" w:line="248" w:lineRule="auto"/>
        <w:tabs>
          <w:tab w:leader="none" w:pos="1705"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3.13(l)</w:t>
      </w:r>
      <w:r>
        <w:rPr>
          <w:rFonts w:ascii="Times New Roman" w:cs="Times New Roman" w:eastAsia="Times New Roman" w:hAnsi="Times New Roman"/>
          <w:sz w:val="16"/>
          <w:szCs w:val="16"/>
          <w:color w:val="auto"/>
        </w:rPr>
        <w:t xml:space="preserve"> of the Company Disclosure Memorandum sets forth a complete list of all severance and termination benefits with respect to which the Company or any Company Subsidiary has or will have any liability, under any Company Benefit Plan or other employment agreement, severance agreement, program, practice, or arrangement.</w:t>
      </w:r>
    </w:p>
    <w:p>
      <w:pPr>
        <w:spacing w:after="0" w:line="97" w:lineRule="exact"/>
        <w:rPr>
          <w:rFonts w:ascii="Times New Roman" w:cs="Times New Roman" w:eastAsia="Times New Roman" w:hAnsi="Times New Roman"/>
          <w:sz w:val="16"/>
          <w:szCs w:val="16"/>
          <w:color w:val="auto"/>
        </w:rPr>
      </w:pPr>
    </w:p>
    <w:p>
      <w:pPr>
        <w:ind w:left="1100" w:right="1079" w:firstLine="320"/>
        <w:spacing w:after="0" w:line="248" w:lineRule="auto"/>
        <w:tabs>
          <w:tab w:leader="none" w:pos="178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the transactions contemplated by this Agreement will not require the funding (whether on a formal or informal basis, through a grantor trust or otherwise) of the benefits under any Company Benefit Plan for which funding the Company, any Company Subsidiary or, following the Closing, Parent could have any liability or obligation.</w:t>
      </w:r>
    </w:p>
    <w:p>
      <w:pPr>
        <w:spacing w:after="0" w:line="97" w:lineRule="exact"/>
        <w:rPr>
          <w:rFonts w:ascii="Times New Roman" w:cs="Times New Roman" w:eastAsia="Times New Roman" w:hAnsi="Times New Roman"/>
          <w:sz w:val="16"/>
          <w:szCs w:val="16"/>
          <w:color w:val="auto"/>
        </w:rPr>
      </w:pPr>
    </w:p>
    <w:p>
      <w:pPr>
        <w:ind w:left="1100" w:right="919" w:firstLine="320"/>
        <w:spacing w:after="0" w:line="256" w:lineRule="auto"/>
        <w:tabs>
          <w:tab w:leader="none" w:pos="1741"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current or former employees of the Company, any Company Subsidiary or any ERISA Affiliate participate or participated in any Company Benefit Plan pursuant to the terms of a collective bargaining agreement.</w:t>
      </w:r>
    </w:p>
    <w:p>
      <w:pPr>
        <w:spacing w:after="0" w:line="90" w:lineRule="exact"/>
        <w:rPr>
          <w:rFonts w:ascii="Times New Roman" w:cs="Times New Roman" w:eastAsia="Times New Roman" w:hAnsi="Times New Roman"/>
          <w:sz w:val="16"/>
          <w:szCs w:val="16"/>
          <w:color w:val="auto"/>
        </w:rPr>
      </w:pPr>
    </w:p>
    <w:p>
      <w:pPr>
        <w:ind w:left="1100" w:right="919" w:firstLine="320"/>
        <w:spacing w:after="0" w:line="248" w:lineRule="auto"/>
        <w:tabs>
          <w:tab w:leader="none" w:pos="1741"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Benefit Plan that is intended to qualify under Section 401(a) of the Code or the related trust is funded with or allows for payments, investments, or distributions in any employer security of the Company or any Company Subsidiary (including employer securities as defined in Section 407(d)(1) of ERISA), or employer real property as defined in Section 407(d)(2) of ERISA.</w:t>
      </w:r>
    </w:p>
    <w:p>
      <w:pPr>
        <w:spacing w:after="0" w:line="97" w:lineRule="exact"/>
        <w:rPr>
          <w:rFonts w:ascii="Times New Roman" w:cs="Times New Roman" w:eastAsia="Times New Roman" w:hAnsi="Times New Roman"/>
          <w:sz w:val="16"/>
          <w:szCs w:val="16"/>
          <w:color w:val="auto"/>
        </w:rPr>
      </w:pPr>
    </w:p>
    <w:p>
      <w:pPr>
        <w:ind w:left="1100" w:right="979" w:firstLine="320"/>
        <w:spacing w:after="0" w:line="242" w:lineRule="auto"/>
        <w:tabs>
          <w:tab w:leader="none" w:pos="1741"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3.13(p)</w:t>
      </w:r>
      <w:r>
        <w:rPr>
          <w:rFonts w:ascii="Times New Roman" w:cs="Times New Roman" w:eastAsia="Times New Roman" w:hAnsi="Times New Roman"/>
          <w:sz w:val="16"/>
          <w:szCs w:val="16"/>
          <w:color w:val="auto"/>
        </w:rPr>
        <w:t xml:space="preserve"> of the Company Disclosure Memorandum, no non-exempt reportable event within the meaning of Section 4043 of ERISA, and no event described in Sections 4062 or 4063 of ERISA, has occurred in connection with any Company Benefit Plan for which the Company, any Company Subsidiary, ERISA Affiliate or, after the Closing, Parent, could have any liability, and neither the Company, any Company Subsidiary nor any ERISA Affiliate has engaged in, or is a successor or parent corporation to an entity that has engaged in, a transaction described in Sections 4069 or 4212(c) of ERISA.</w:t>
      </w:r>
    </w:p>
    <w:p>
      <w:pPr>
        <w:spacing w:after="0" w:line="101" w:lineRule="exact"/>
        <w:rPr>
          <w:rFonts w:ascii="Times New Roman" w:cs="Times New Roman" w:eastAsia="Times New Roman" w:hAnsi="Times New Roman"/>
          <w:sz w:val="16"/>
          <w:szCs w:val="16"/>
          <w:color w:val="auto"/>
        </w:rPr>
      </w:pPr>
    </w:p>
    <w:p>
      <w:pPr>
        <w:ind w:left="1100" w:right="899" w:firstLine="320"/>
        <w:spacing w:after="0" w:line="279" w:lineRule="auto"/>
        <w:tabs>
          <w:tab w:leader="none" w:pos="1741"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Benefit Plan which is an employee welfare benefit plan under Section 3(1) of ERISA is funded by a trust or is subject to Code Sections 419 or 419A.</w:t>
      </w:r>
    </w:p>
    <w:p>
      <w:pPr>
        <w:spacing w:after="0" w:line="72" w:lineRule="exact"/>
        <w:rPr>
          <w:rFonts w:ascii="Times New Roman" w:cs="Times New Roman" w:eastAsia="Times New Roman" w:hAnsi="Times New Roman"/>
          <w:sz w:val="16"/>
          <w:szCs w:val="16"/>
          <w:color w:val="auto"/>
        </w:rPr>
      </w:pPr>
    </w:p>
    <w:p>
      <w:pPr>
        <w:ind w:left="1100" w:right="959" w:firstLine="320"/>
        <w:spacing w:after="0" w:line="248" w:lineRule="auto"/>
        <w:tabs>
          <w:tab w:leader="none" w:pos="1714"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the Company Subsidiaries is a party to, or is otherwise obligated under, any plan, policy, agreement or arrangement that provides for the gross-up or reimbursement of Taxes imposed under Sections 409A or 4999 of the Code (or any corresponding provisions of state or local Law relating to Tax).</w:t>
      </w:r>
    </w:p>
    <w:p>
      <w:pPr>
        <w:spacing w:after="0" w:line="97" w:lineRule="exact"/>
        <w:rPr>
          <w:rFonts w:ascii="Times New Roman" w:cs="Times New Roman" w:eastAsia="Times New Roman" w:hAnsi="Times New Roman"/>
          <w:sz w:val="16"/>
          <w:szCs w:val="16"/>
          <w:color w:val="auto"/>
        </w:rPr>
      </w:pPr>
    </w:p>
    <w:p>
      <w:pPr>
        <w:ind w:left="1100" w:right="939" w:firstLine="320"/>
        <w:spacing w:after="0" w:line="263" w:lineRule="auto"/>
        <w:tabs>
          <w:tab w:leader="none" w:pos="1723"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Benefit Plan that covers current or former employees (including leased employees) of the Company or any Company Subsidiary satisfies the requirements of the Patient Protection and</w:t>
      </w:r>
    </w:p>
    <w:p>
      <w:pPr>
        <w:spacing w:after="0" w:line="3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37" w:name="page138"/>
    <w:bookmarkEnd w:id="13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spacing w:after="0" w:line="242" w:lineRule="auto"/>
        <w:rPr>
          <w:sz w:val="20"/>
          <w:szCs w:val="20"/>
          <w:color w:val="auto"/>
        </w:rPr>
      </w:pPr>
      <w:r>
        <w:rPr>
          <w:rFonts w:ascii="Times New Roman" w:cs="Times New Roman" w:eastAsia="Times New Roman" w:hAnsi="Times New Roman"/>
          <w:sz w:val="16"/>
          <w:szCs w:val="16"/>
          <w:color w:val="auto"/>
        </w:rPr>
        <w:t>Affordable Care Act (including any successor law) and the regulations and guidance issued thereunder, such that there is no reasonable expectation that any Tax or penalty could be imposed pursuant to such law that relates to such group health plan. No condition exists that could cause the Company or any of the Company Subsidiaries or their respective ERISA Affiliates to have any liability for any assessable payment under Section 4980H of the Code. No event has occurred or condition exists that could subject the Company or any of the Company Subsidiaries or their respective ERISA Affiliates to any liability on account of a violation of the health care requirements of Part 6 or 7 of Title I of ERISA or Section 4980B or</w:t>
      </w:r>
    </w:p>
    <w:p>
      <w:pPr>
        <w:spacing w:after="0" w:line="5" w:lineRule="exact"/>
        <w:rPr>
          <w:sz w:val="20"/>
          <w:szCs w:val="20"/>
          <w:color w:val="auto"/>
        </w:rPr>
      </w:pPr>
    </w:p>
    <w:p>
      <w:pPr>
        <w:ind w:left="1100" w:right="939"/>
        <w:spacing w:after="0" w:line="238" w:lineRule="auto"/>
        <w:rPr>
          <w:sz w:val="20"/>
          <w:szCs w:val="20"/>
          <w:color w:val="auto"/>
        </w:rPr>
      </w:pPr>
      <w:r>
        <w:rPr>
          <w:rFonts w:ascii="Times New Roman" w:cs="Times New Roman" w:eastAsia="Times New Roman" w:hAnsi="Times New Roman"/>
          <w:sz w:val="16"/>
          <w:szCs w:val="16"/>
          <w:color w:val="auto"/>
        </w:rPr>
        <w:t>Section 4980D of the Code. The Company and each of the Company Subsidiaries have maintained records that are sufficient to satisfy the reporting requirements under Sections 6055 and 6056 of the Code, to the extent required, for all periods of time up to and through the Closing Date. Neither the Company nor any of the Company Subsidiaries or ERISA Affiliates has modified the employment or service terms of any employee or service provider for the purpose of excluding such employee or service provider from full-time status for purposes of the Patient Protection and Affordable Care Act.</w:t>
      </w:r>
    </w:p>
    <w:p>
      <w:pPr>
        <w:spacing w:after="0" w:line="103" w:lineRule="exact"/>
        <w:rPr>
          <w:sz w:val="20"/>
          <w:szCs w:val="20"/>
          <w:color w:val="auto"/>
        </w:rPr>
      </w:pPr>
    </w:p>
    <w:p>
      <w:pPr>
        <w:ind w:left="1100" w:right="1059" w:firstLine="320"/>
        <w:spacing w:after="0" w:line="256" w:lineRule="auto"/>
        <w:tabs>
          <w:tab w:leader="none" w:pos="1706"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individual who is classified by the Company or any Company Subsidiary as an independent contractor has been properly classified for purposes of participation in, and benefit accrual under, each Company Benefit Plan.</w:t>
      </w:r>
    </w:p>
    <w:p>
      <w:pPr>
        <w:spacing w:after="0" w:line="88" w:lineRule="exact"/>
        <w:rPr>
          <w:sz w:val="20"/>
          <w:szCs w:val="20"/>
          <w:color w:val="auto"/>
        </w:rPr>
      </w:pPr>
    </w:p>
    <w:p>
      <w:pPr>
        <w:ind w:left="1100" w:right="1159" w:firstLine="318"/>
        <w:spacing w:after="0" w:line="249" w:lineRule="auto"/>
        <w:rPr>
          <w:sz w:val="20"/>
          <w:szCs w:val="20"/>
          <w:color w:val="auto"/>
        </w:rPr>
      </w:pPr>
      <w:r>
        <w:rPr>
          <w:rFonts w:ascii="Times New Roman" w:cs="Times New Roman" w:eastAsia="Times New Roman" w:hAnsi="Times New Roman"/>
          <w:sz w:val="16"/>
          <w:szCs w:val="16"/>
          <w:b w:val="1"/>
          <w:bCs w:val="1"/>
          <w:color w:val="auto"/>
        </w:rPr>
        <w:t>3.14 Material Contracts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3.14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Company Disclosure Memorandum sets forth a list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each of the following Contracts of the Company and, where applicable, the Company Subsidiaries (each Contract of the Company and, where applicable, the Company Subsidiaries, of a type described in this </w:t>
      </w:r>
      <w:r>
        <w:rPr>
          <w:rFonts w:ascii="Times New Roman" w:cs="Times New Roman" w:eastAsia="Times New Roman" w:hAnsi="Times New Roman"/>
          <w:sz w:val="16"/>
          <w:szCs w:val="16"/>
          <w:u w:val="single" w:color="auto"/>
          <w:color w:val="auto"/>
        </w:rPr>
        <w:t>Section 3.14</w:t>
      </w:r>
      <w:r>
        <w:rPr>
          <w:rFonts w:ascii="Times New Roman" w:cs="Times New Roman" w:eastAsia="Times New Roman" w:hAnsi="Times New Roman"/>
          <w:sz w:val="16"/>
          <w:szCs w:val="16"/>
          <w:color w:val="auto"/>
        </w:rPr>
        <w:t>, whether or not set forth in the Company Disclosure Memorandum, a “</w:t>
      </w:r>
      <w:r>
        <w:rPr>
          <w:rFonts w:ascii="Times New Roman" w:cs="Times New Roman" w:eastAsia="Times New Roman" w:hAnsi="Times New Roman"/>
          <w:sz w:val="16"/>
          <w:szCs w:val="16"/>
          <w:b w:val="1"/>
          <w:bCs w:val="1"/>
          <w:i w:val="1"/>
          <w:iCs w:val="1"/>
          <w:color w:val="auto"/>
        </w:rPr>
        <w:t>Material Contract</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ind w:left="1740" w:hanging="320"/>
        <w:spacing w:after="0"/>
        <w:tabs>
          <w:tab w:leader="none" w:pos="174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lease of real property;</w:t>
      </w:r>
    </w:p>
    <w:p>
      <w:pPr>
        <w:spacing w:after="0" w:line="137" w:lineRule="exact"/>
        <w:rPr>
          <w:rFonts w:ascii="Times New Roman" w:cs="Times New Roman" w:eastAsia="Times New Roman" w:hAnsi="Times New Roman"/>
          <w:sz w:val="16"/>
          <w:szCs w:val="16"/>
          <w:color w:val="auto"/>
        </w:rPr>
      </w:pPr>
    </w:p>
    <w:p>
      <w:pPr>
        <w:ind w:left="1100" w:right="1059" w:firstLine="320"/>
        <w:spacing w:after="0" w:line="243" w:lineRule="auto"/>
        <w:tabs>
          <w:tab w:leader="none" w:pos="1741"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for the purchase, sale, license or lease of tangible or intangible property or services (including materials, supplies, goods, services, equipment or other assets) (other than those specified elsewhere in this definition) that provides for aggregate annual payments or obligations of $100,000 or more;</w:t>
      </w:r>
    </w:p>
    <w:p>
      <w:pPr>
        <w:spacing w:after="0" w:line="286" w:lineRule="exact"/>
        <w:rPr>
          <w:rFonts w:ascii="Times New Roman" w:cs="Times New Roman" w:eastAsia="Times New Roman" w:hAnsi="Times New Roman"/>
          <w:sz w:val="16"/>
          <w:szCs w:val="16"/>
          <w:color w:val="auto"/>
        </w:rPr>
      </w:pPr>
    </w:p>
    <w:p>
      <w:pPr>
        <w:ind w:left="1100" w:right="1239" w:firstLine="320"/>
        <w:spacing w:after="0" w:line="256" w:lineRule="auto"/>
        <w:tabs>
          <w:tab w:leader="none" w:pos="173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employment agreement, severance agreement, retention agreement, change of control agreement, consulting agreement or similar Contract that is with any director or executive officer of the Company or any of the Company Subsidiaries;</w:t>
      </w:r>
    </w:p>
    <w:p>
      <w:pPr>
        <w:spacing w:after="0" w:line="90" w:lineRule="exact"/>
        <w:rPr>
          <w:rFonts w:ascii="Times New Roman" w:cs="Times New Roman" w:eastAsia="Times New Roman" w:hAnsi="Times New Roman"/>
          <w:sz w:val="16"/>
          <w:szCs w:val="16"/>
          <w:color w:val="auto"/>
        </w:rPr>
      </w:pPr>
    </w:p>
    <w:p>
      <w:pPr>
        <w:ind w:left="1740" w:hanging="320"/>
        <w:spacing w:after="0"/>
        <w:tabs>
          <w:tab w:leader="none" w:pos="174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joint venture or other similar Contract;</w:t>
      </w:r>
    </w:p>
    <w:p>
      <w:pPr>
        <w:spacing w:after="0" w:line="137" w:lineRule="exact"/>
        <w:rPr>
          <w:rFonts w:ascii="Times New Roman" w:cs="Times New Roman" w:eastAsia="Times New Roman" w:hAnsi="Times New Roman"/>
          <w:sz w:val="16"/>
          <w:szCs w:val="16"/>
          <w:color w:val="auto"/>
        </w:rPr>
      </w:pPr>
    </w:p>
    <w:p>
      <w:pPr>
        <w:jc w:val="both"/>
        <w:ind w:left="1100" w:right="1019" w:firstLine="320"/>
        <w:spacing w:after="0" w:line="248" w:lineRule="auto"/>
        <w:tabs>
          <w:tab w:leader="none" w:pos="173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relating to the acquisition or disposition of any business or operations or, other than in the ordinary course of business, any assets or liabilities (whether by merger, sale of stock, sale of assets, outsourcing or otherwise);</w:t>
      </w:r>
    </w:p>
    <w:p>
      <w:pPr>
        <w:spacing w:after="0" w:line="96" w:lineRule="exact"/>
        <w:rPr>
          <w:rFonts w:ascii="Times New Roman" w:cs="Times New Roman" w:eastAsia="Times New Roman" w:hAnsi="Times New Roman"/>
          <w:sz w:val="16"/>
          <w:szCs w:val="16"/>
          <w:color w:val="auto"/>
        </w:rPr>
      </w:pPr>
    </w:p>
    <w:p>
      <w:pPr>
        <w:ind w:left="1100" w:right="999" w:firstLine="320"/>
        <w:spacing w:after="0" w:line="256" w:lineRule="auto"/>
        <w:tabs>
          <w:tab w:leader="none" w:pos="1714"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indenture, mortgage, promissory note, loan agreement, guarantee, sale and leaseback agreement, capitalized lease or other agreement or commitment by the Company or any of the Company Subsidiaries for the borrowing of money or the deferred purchase price of property (in either case, whether incurred, assumed, guaranteed or secured by any asset); except any such agreement or commitment with an aggregate outstanding principal amount not exceeding $100,000;</w:t>
      </w:r>
    </w:p>
    <w:p>
      <w:pPr>
        <w:spacing w:after="0" w:line="102" w:lineRule="exact"/>
        <w:rPr>
          <w:rFonts w:ascii="Times New Roman" w:cs="Times New Roman" w:eastAsia="Times New Roman" w:hAnsi="Times New Roman"/>
          <w:sz w:val="16"/>
          <w:szCs w:val="16"/>
          <w:color w:val="auto"/>
        </w:rPr>
      </w:pPr>
    </w:p>
    <w:p>
      <w:pPr>
        <w:ind w:left="1100" w:right="1079" w:firstLine="320"/>
        <w:spacing w:after="0" w:line="263" w:lineRule="auto"/>
        <w:tabs>
          <w:tab w:leader="none" w:pos="1741"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annual payments or obligations in excess of $100,000 in the aggregate and which by its terms does not terminate or is not terminable without penalty or payment upon notice of sixty (60) days or less;</w:t>
      </w:r>
    </w:p>
    <w:p>
      <w:pPr>
        <w:spacing w:after="0" w:line="97" w:lineRule="exact"/>
        <w:rPr>
          <w:rFonts w:ascii="Times New Roman" w:cs="Times New Roman" w:eastAsia="Times New Roman" w:hAnsi="Times New Roman"/>
          <w:sz w:val="16"/>
          <w:szCs w:val="16"/>
          <w:color w:val="auto"/>
        </w:rPr>
      </w:pPr>
    </w:p>
    <w:p>
      <w:pPr>
        <w:ind w:left="1100" w:right="899" w:firstLine="320"/>
        <w:spacing w:after="0" w:line="263" w:lineRule="auto"/>
        <w:tabs>
          <w:tab w:leader="none" w:pos="1741"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naming rights, license, franchise or similar Contract, other than non-exclusive licenses granted to the Company or any of the Company Subsidiaries for the use of commercially available off-the-shelf software or information technology services;</w:t>
      </w:r>
    </w:p>
    <w:p>
      <w:pPr>
        <w:spacing w:after="0" w:line="86" w:lineRule="exact"/>
        <w:rPr>
          <w:rFonts w:ascii="Times New Roman" w:cs="Times New Roman" w:eastAsia="Times New Roman" w:hAnsi="Times New Roman"/>
          <w:sz w:val="16"/>
          <w:szCs w:val="16"/>
          <w:color w:val="auto"/>
        </w:rPr>
      </w:pPr>
    </w:p>
    <w:p>
      <w:pPr>
        <w:ind w:left="1100" w:right="1459" w:firstLine="320"/>
        <w:spacing w:after="0" w:line="279" w:lineRule="auto"/>
        <w:tabs>
          <w:tab w:leader="none" w:pos="1706"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settlement, consent or similar Contract (including with a Governmental Authority) that contains any continuing material obligations of the Company or any of the Company Subsidiaries;</w:t>
      </w:r>
    </w:p>
    <w:p>
      <w:pPr>
        <w:spacing w:after="0" w:line="84" w:lineRule="exact"/>
        <w:rPr>
          <w:rFonts w:ascii="Times New Roman" w:cs="Times New Roman" w:eastAsia="Times New Roman" w:hAnsi="Times New Roman"/>
          <w:sz w:val="16"/>
          <w:szCs w:val="16"/>
          <w:color w:val="auto"/>
        </w:rPr>
      </w:pPr>
    </w:p>
    <w:p>
      <w:pPr>
        <w:ind w:left="1700" w:hanging="280"/>
        <w:spacing w:after="0"/>
        <w:tabs>
          <w:tab w:leader="none" w:pos="170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Related Party Agreement;</w:t>
      </w:r>
    </w:p>
    <w:p>
      <w:pPr>
        <w:spacing w:after="0" w:line="137" w:lineRule="exact"/>
        <w:rPr>
          <w:rFonts w:ascii="Times New Roman" w:cs="Times New Roman" w:eastAsia="Times New Roman" w:hAnsi="Times New Roman"/>
          <w:sz w:val="16"/>
          <w:szCs w:val="16"/>
          <w:color w:val="auto"/>
        </w:rPr>
      </w:pPr>
    </w:p>
    <w:p>
      <w:pPr>
        <w:ind w:left="1100" w:right="939" w:firstLine="320"/>
        <w:spacing w:after="0" w:line="279" w:lineRule="auto"/>
        <w:tabs>
          <w:tab w:leader="none" w:pos="1741"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exclusive dealing or third-party referral agreement, or commission-sharing arrangement or co-marketing arrangement, including any finder’s agreement imposed on the Company or the Company</w:t>
      </w:r>
    </w:p>
    <w:p>
      <w:pPr>
        <w:spacing w:after="0" w:line="29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039"/>
        <w:spacing w:after="0" w:line="256" w:lineRule="auto"/>
        <w:rPr>
          <w:sz w:val="20"/>
          <w:szCs w:val="20"/>
          <w:color w:val="auto"/>
        </w:rPr>
      </w:pPr>
      <w:r>
        <w:rPr>
          <w:rFonts w:ascii="Times New Roman" w:cs="Times New Roman" w:eastAsia="Times New Roman" w:hAnsi="Times New Roman"/>
          <w:sz w:val="16"/>
          <w:szCs w:val="16"/>
          <w:color w:val="auto"/>
        </w:rPr>
        <w:t>Subsidiaries, or any Contract that contains non-competition or non-solicitation covenants that limit or purport to limit the freedom of the Company or any of the Company Subsidiaries to compete in any line of business or with any Person or in any area, or to solicit the business of any Person or category of Persons;</w:t>
      </w:r>
    </w:p>
    <w:p>
      <w:pPr>
        <w:spacing w:after="0" w:line="90" w:lineRule="exact"/>
        <w:rPr>
          <w:sz w:val="20"/>
          <w:szCs w:val="20"/>
          <w:color w:val="auto"/>
        </w:rPr>
      </w:pPr>
    </w:p>
    <w:p>
      <w:pPr>
        <w:ind w:left="1100" w:right="939" w:firstLine="320"/>
        <w:spacing w:after="0" w:line="248" w:lineRule="auto"/>
        <w:tabs>
          <w:tab w:leader="none" w:pos="170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grants any right of first refusal, right of first offer, most favored nation or similar right with respect to any assets, rights or property of the Company or any of the Company Subsidiaries, or that provides for the Company or any of the Company Subsidiaries to be the exclusive or preferred provider or recipient of any product or service obligations; and</w:t>
      </w:r>
    </w:p>
    <w:p>
      <w:pPr>
        <w:spacing w:after="0" w:line="97" w:lineRule="exact"/>
        <w:rPr>
          <w:rFonts w:ascii="Times New Roman" w:cs="Times New Roman" w:eastAsia="Times New Roman" w:hAnsi="Times New Roman"/>
          <w:sz w:val="16"/>
          <w:szCs w:val="16"/>
          <w:color w:val="auto"/>
        </w:rPr>
      </w:pPr>
    </w:p>
    <w:p>
      <w:pPr>
        <w:ind w:left="1100" w:right="939" w:firstLine="320"/>
        <w:spacing w:after="0" w:line="256" w:lineRule="auto"/>
        <w:tabs>
          <w:tab w:leader="none" w:pos="1785"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Contract that, if the Company were subject to the reporting obligations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would constitute a “material contract” as such term is defined in Item 601(b)(10) of Regulation S-K.</w:t>
      </w:r>
    </w:p>
    <w:p>
      <w:pPr>
        <w:spacing w:after="0" w:line="90" w:lineRule="exact"/>
        <w:rPr>
          <w:sz w:val="20"/>
          <w:szCs w:val="20"/>
          <w:color w:val="auto"/>
        </w:rPr>
      </w:pPr>
    </w:p>
    <w:p>
      <w:pPr>
        <w:ind w:left="1100" w:right="939" w:firstLine="318"/>
        <w:spacing w:after="0"/>
        <w:rPr>
          <w:sz w:val="20"/>
          <w:szCs w:val="20"/>
          <w:color w:val="auto"/>
        </w:rPr>
      </w:pPr>
      <w:r>
        <w:rPr>
          <w:rFonts w:ascii="Times New Roman" w:cs="Times New Roman" w:eastAsia="Times New Roman" w:hAnsi="Times New Roman"/>
          <w:sz w:val="16"/>
          <w:szCs w:val="16"/>
          <w:color w:val="auto"/>
        </w:rPr>
        <w:t xml:space="preserve">All Material Contracts are valid and binding agreements of the Company or a Company Subsidiary, as applicable, and are in full force and effect and are enforceable in accordance with their terms except as such enforceability may be limited by the Enforceability Exceptions. Neither the Company nor any of the Company Subsidiaries is in violation or breach of or default under any Material Contract in any material respect. To the Company’s Knowledge, no third party is in violation or breach of or default under any Material Contract in any material respect, and there has not occurred any event that, with the lapse of time or the giving of notice or both, would constitute such a breach or default. No third-party counterparty to any Material Contract has exercised, or threatened in writing to exercise, any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 xml:space="preserve"> (or similar) provision to excuse non-performance or performance delays in any Material Contract.</w:t>
      </w:r>
    </w:p>
    <w:p>
      <w:pPr>
        <w:spacing w:after="0" w:line="10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3.15 Title to Assets; Real Property</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99" w:firstLine="320"/>
        <w:spacing w:after="0"/>
        <w:tabs>
          <w:tab w:leader="none" w:pos="1732"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3.15(a)</w:t>
      </w:r>
      <w:r>
        <w:rPr>
          <w:rFonts w:ascii="Times New Roman" w:cs="Times New Roman" w:eastAsia="Times New Roman" w:hAnsi="Times New Roman"/>
          <w:sz w:val="16"/>
          <w:szCs w:val="16"/>
          <w:color w:val="auto"/>
        </w:rPr>
        <w:t xml:space="preserve"> of the Company Disclosure Memorandum, as of the date of this Agreement, the Company or one of the Company Subsidiaries has, and as of the Closing, the Company or one of the Company Subsidiaries will have good and marketable title or a valid leasehold interest in, easement or right to use all of its assets and properties, including those reflected on the Balance Sheet as being owned or leased, as applicable (except for assets sold or otherwise disposed of or leases that have expired since the Balance Sheet Date in the ordinary course of business), and none of such properties or assets is subject to any Liens, except (i) statutory Liens securing payments not yet due, (ii) Liens for real property Taxes not yet due and payable, (iii) easements, rights of way and other similar encumbrances that do not materially affect the value or use of the properties or assets subject thereto or affected thereby or otherwise materially impair business operations at such properties and (iv) such imperfections or irregularities of title or Liens as do not materially affect the value or use of the properties or assets subject thereto or affected thereby or otherwise materially impair business operations at such properties (clauses</w:t>
      </w:r>
    </w:p>
    <w:p>
      <w:pPr>
        <w:jc w:val="both"/>
        <w:ind w:left="1100" w:right="1119" w:firstLine="3"/>
        <w:spacing w:after="0" w:line="241" w:lineRule="auto"/>
        <w:tabs>
          <w:tab w:leader="none" w:pos="1302"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(iv), collectively, “</w:t>
      </w:r>
      <w:r>
        <w:rPr>
          <w:rFonts w:ascii="Times New Roman" w:cs="Times New Roman" w:eastAsia="Times New Roman" w:hAnsi="Times New Roman"/>
          <w:sz w:val="16"/>
          <w:szCs w:val="16"/>
          <w:b w:val="1"/>
          <w:bCs w:val="1"/>
          <w:i w:val="1"/>
          <w:iCs w:val="1"/>
          <w:color w:val="auto"/>
        </w:rPr>
        <w:t>Permitted Encumbrances</w:t>
      </w:r>
      <w:r>
        <w:rPr>
          <w:rFonts w:ascii="Times New Roman" w:cs="Times New Roman" w:eastAsia="Times New Roman" w:hAnsi="Times New Roman"/>
          <w:sz w:val="16"/>
          <w:szCs w:val="16"/>
          <w:color w:val="auto"/>
        </w:rPr>
        <w:t xml:space="preserve">”). Except as disclosed in </w:t>
      </w:r>
      <w:r>
        <w:rPr>
          <w:rFonts w:ascii="Times New Roman" w:cs="Times New Roman" w:eastAsia="Times New Roman" w:hAnsi="Times New Roman"/>
          <w:sz w:val="16"/>
          <w:szCs w:val="16"/>
          <w:u w:val="single" w:color="auto"/>
          <w:color w:val="auto"/>
        </w:rPr>
        <w:t>Section 3.15(a)</w:t>
      </w:r>
      <w:r>
        <w:rPr>
          <w:rFonts w:ascii="Times New Roman" w:cs="Times New Roman" w:eastAsia="Times New Roman" w:hAnsi="Times New Roman"/>
          <w:sz w:val="16"/>
          <w:szCs w:val="16"/>
          <w:color w:val="auto"/>
        </w:rPr>
        <w:t xml:space="preserve"> of the Company Disclosure Memorandum, all such properties and assets are in good operating condition and repair, ordinary wear and tear expected, and, in all material respects, are fit for the uses to which they are currently being put.</w:t>
      </w:r>
    </w:p>
    <w:p>
      <w:pPr>
        <w:spacing w:after="0" w:line="101" w:lineRule="exact"/>
        <w:rPr>
          <w:rFonts w:ascii="Times New Roman" w:cs="Times New Roman" w:eastAsia="Times New Roman" w:hAnsi="Times New Roman"/>
          <w:sz w:val="16"/>
          <w:szCs w:val="16"/>
          <w:color w:val="auto"/>
        </w:rPr>
      </w:pPr>
    </w:p>
    <w:p>
      <w:pPr>
        <w:ind w:left="1100" w:right="899" w:firstLine="320"/>
        <w:spacing w:after="0" w:line="253" w:lineRule="auto"/>
        <w:tabs>
          <w:tab w:leader="none" w:pos="1741"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3.15(b)</w:t>
      </w:r>
      <w:r>
        <w:rPr>
          <w:rFonts w:ascii="Times New Roman" w:cs="Times New Roman" w:eastAsia="Times New Roman" w:hAnsi="Times New Roman"/>
          <w:sz w:val="16"/>
          <w:szCs w:val="16"/>
          <w:color w:val="auto"/>
        </w:rPr>
        <w:t xml:space="preserve"> of the Company Disclosure Memorandum sets forth a true, correct and complete list of all real property owned by the Company or one of the Company Subsidiaries other than “real estate owned” (“​</w:t>
      </w:r>
      <w:r>
        <w:rPr>
          <w:rFonts w:ascii="Times New Roman" w:cs="Times New Roman" w:eastAsia="Times New Roman" w:hAnsi="Times New Roman"/>
          <w:sz w:val="16"/>
          <w:szCs w:val="16"/>
          <w:b w:val="1"/>
          <w:bCs w:val="1"/>
          <w:i w:val="1"/>
          <w:iCs w:val="1"/>
          <w:color w:val="auto"/>
        </w:rPr>
        <w:t>OREO</w:t>
      </w:r>
      <w:r>
        <w:rPr>
          <w:rFonts w:ascii="Times New Roman" w:cs="Times New Roman" w:eastAsia="Times New Roman" w:hAnsi="Times New Roman"/>
          <w:sz w:val="16"/>
          <w:szCs w:val="16"/>
          <w:color w:val="auto"/>
        </w:rPr>
        <w:t>”) acquired as a result of debts previously contracted or exercising remedies under loans held by the Company or one of its Subsidiaries and which are not used for the operations of the Company (together with any buildings, structures, fixtures or other improvements thereon, the “</w:t>
      </w:r>
      <w:r>
        <w:rPr>
          <w:rFonts w:ascii="Times New Roman" w:cs="Times New Roman" w:eastAsia="Times New Roman" w:hAnsi="Times New Roman"/>
          <w:sz w:val="16"/>
          <w:szCs w:val="16"/>
          <w:b w:val="1"/>
          <w:bCs w:val="1"/>
          <w:i w:val="1"/>
          <w:iCs w:val="1"/>
          <w:color w:val="auto"/>
        </w:rPr>
        <w:t>Owned Real Property</w:t>
      </w:r>
      <w:r>
        <w:rPr>
          <w:rFonts w:ascii="Times New Roman" w:cs="Times New Roman" w:eastAsia="Times New Roman" w:hAnsi="Times New Roman"/>
          <w:sz w:val="16"/>
          <w:szCs w:val="16"/>
          <w:color w:val="auto"/>
        </w:rPr>
        <w:t>”). The Company and the Company Subsidiaries have, and as of the Closing will have, good, marketable and insurable fee simple title interest in and to all Owned Real Property, free and clear of all Liens, except for Permitted Encumbrances.</w:t>
      </w:r>
    </w:p>
    <w:p>
      <w:pPr>
        <w:spacing w:after="0" w:line="286" w:lineRule="exact"/>
        <w:rPr>
          <w:rFonts w:ascii="Times New Roman" w:cs="Times New Roman" w:eastAsia="Times New Roman" w:hAnsi="Times New Roman"/>
          <w:sz w:val="16"/>
          <w:szCs w:val="16"/>
          <w:color w:val="auto"/>
        </w:rPr>
      </w:pPr>
    </w:p>
    <w:p>
      <w:pPr>
        <w:ind w:left="1100" w:right="1039" w:firstLine="320"/>
        <w:spacing w:after="0" w:line="252" w:lineRule="auto"/>
        <w:tabs>
          <w:tab w:leader="none" w:pos="1732"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3.15(c)</w:t>
      </w:r>
      <w:r>
        <w:rPr>
          <w:rFonts w:ascii="Times New Roman" w:cs="Times New Roman" w:eastAsia="Times New Roman" w:hAnsi="Times New Roman"/>
          <w:sz w:val="16"/>
          <w:szCs w:val="16"/>
          <w:color w:val="auto"/>
        </w:rPr>
        <w:t xml:space="preserve"> of the Company Disclosure Memorandum sets forth a true, correct and complete list of all leases pursuant to which the Company or one of the Company Subsidiaries is a lessee or lessor (the “</w:t>
      </w:r>
      <w:r>
        <w:rPr>
          <w:rFonts w:ascii="Times New Roman" w:cs="Times New Roman" w:eastAsia="Times New Roman" w:hAnsi="Times New Roman"/>
          <w:sz w:val="16"/>
          <w:szCs w:val="16"/>
          <w:b w:val="1"/>
          <w:bCs w:val="1"/>
          <w:i w:val="1"/>
          <w:iCs w:val="1"/>
          <w:color w:val="auto"/>
        </w:rPr>
        <w:t>Leases</w:t>
      </w:r>
      <w:r>
        <w:rPr>
          <w:rFonts w:ascii="Times New Roman" w:cs="Times New Roman" w:eastAsia="Times New Roman" w:hAnsi="Times New Roman"/>
          <w:sz w:val="16"/>
          <w:szCs w:val="16"/>
          <w:color w:val="auto"/>
        </w:rPr>
        <w:t>”) of any real property (together with any buildings, structures, fixtures or other improvements thereon, the “</w:t>
      </w:r>
      <w:r>
        <w:rPr>
          <w:rFonts w:ascii="Times New Roman" w:cs="Times New Roman" w:eastAsia="Times New Roman" w:hAnsi="Times New Roman"/>
          <w:sz w:val="16"/>
          <w:szCs w:val="16"/>
          <w:b w:val="1"/>
          <w:bCs w:val="1"/>
          <w:i w:val="1"/>
          <w:iCs w:val="1"/>
          <w:color w:val="auto"/>
        </w:rPr>
        <w:t>Leased Property</w:t>
      </w:r>
      <w:r>
        <w:rPr>
          <w:rFonts w:ascii="Times New Roman" w:cs="Times New Roman" w:eastAsia="Times New Roman" w:hAnsi="Times New Roman"/>
          <w:sz w:val="16"/>
          <w:szCs w:val="16"/>
          <w:color w:val="auto"/>
        </w:rPr>
        <w:t xml:space="preserve">”). All such Leases are valid, legally binding, in full force and effect and enforceable in accordance with their terms, except as such enforceability may be limited by the Enforceability Exceptions. Other than as set forth on </w:t>
      </w:r>
      <w:r>
        <w:rPr>
          <w:rFonts w:ascii="Times New Roman" w:cs="Times New Roman" w:eastAsia="Times New Roman" w:hAnsi="Times New Roman"/>
          <w:sz w:val="16"/>
          <w:szCs w:val="16"/>
          <w:u w:val="single" w:color="auto"/>
          <w:color w:val="auto"/>
        </w:rPr>
        <w:t>Section 3.15(c)</w:t>
      </w:r>
      <w:r>
        <w:rPr>
          <w:rFonts w:ascii="Times New Roman" w:cs="Times New Roman" w:eastAsia="Times New Roman" w:hAnsi="Times New Roman"/>
          <w:sz w:val="16"/>
          <w:szCs w:val="16"/>
          <w:color w:val="auto"/>
        </w:rPr>
        <w:t xml:space="preserve"> of the Company Disclosure Memorandum, there is not under any of the Leases: (i) any material default by the Company or any of the Company Subsidiaries or any circumstance which with notice or lapse of time, or both, would constitute a material default; or (ii) to</w:t>
      </w:r>
    </w:p>
    <w:p>
      <w:pPr>
        <w:spacing w:after="0" w:line="200" w:lineRule="exact"/>
        <w:rPr>
          <w:sz w:val="20"/>
          <w:szCs w:val="20"/>
          <w:color w:val="auto"/>
        </w:rPr>
      </w:pPr>
    </w:p>
    <w:p>
      <w:pPr>
        <w:spacing w:after="0" w:line="3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spacing w:after="0" w:line="241" w:lineRule="auto"/>
        <w:rPr>
          <w:sz w:val="20"/>
          <w:szCs w:val="20"/>
          <w:color w:val="auto"/>
        </w:rPr>
      </w:pPr>
      <w:r>
        <w:rPr>
          <w:rFonts w:ascii="Times New Roman" w:cs="Times New Roman" w:eastAsia="Times New Roman" w:hAnsi="Times New Roman"/>
          <w:sz w:val="16"/>
          <w:szCs w:val="16"/>
          <w:color w:val="auto"/>
        </w:rPr>
        <w:t xml:space="preserve">the Company’s Knowledge, any default or claim of default against any lessor to or lessee of the Company or any of the Company Subsidiaries, or any event of default or event which with notice or lapse of time, or both, would constitute a default by any such lessor or lessee. The consummation of the transactions contemplated by this Agreement will not result in a breach or default under any of the Leases, and, except as set forth on </w:t>
      </w:r>
      <w:r>
        <w:rPr>
          <w:rFonts w:ascii="Times New Roman" w:cs="Times New Roman" w:eastAsia="Times New Roman" w:hAnsi="Times New Roman"/>
          <w:sz w:val="16"/>
          <w:szCs w:val="16"/>
          <w:u w:val="single" w:color="auto"/>
          <w:color w:val="auto"/>
        </w:rPr>
        <w:t>Section 3.15(c)</w:t>
      </w:r>
      <w:r>
        <w:rPr>
          <w:rFonts w:ascii="Times New Roman" w:cs="Times New Roman" w:eastAsia="Times New Roman" w:hAnsi="Times New Roman"/>
          <w:sz w:val="16"/>
          <w:szCs w:val="16"/>
          <w:color w:val="auto"/>
        </w:rPr>
        <w:t xml:space="preserve"> of the Company Disclosure Memorandum, no consent of or notice to any third party is required as a consequence thereof. The Company has made available to Parent true, correct and complete copies of the Leases, including all amendments thereto. Except as set forth on </w:t>
      </w:r>
      <w:r>
        <w:rPr>
          <w:rFonts w:ascii="Times New Roman" w:cs="Times New Roman" w:eastAsia="Times New Roman" w:hAnsi="Times New Roman"/>
          <w:sz w:val="16"/>
          <w:szCs w:val="16"/>
          <w:u w:val="single" w:color="auto"/>
          <w:color w:val="auto"/>
        </w:rPr>
        <w:t>Section 3.15(c)</w:t>
      </w:r>
      <w:r>
        <w:rPr>
          <w:rFonts w:ascii="Times New Roman" w:cs="Times New Roman" w:eastAsia="Times New Roman" w:hAnsi="Times New Roman"/>
          <w:sz w:val="16"/>
          <w:szCs w:val="16"/>
          <w:color w:val="auto"/>
        </w:rPr>
        <w:t xml:space="preserve"> of the Company Disclosure Memorandum, none of the property subject to a Lease is subject to any sublease, license or other agreement granting to any Person any right to the use, occupancy or enjoyment of such property or any portion thereof. Neither the Company nor any of the Company Subsidiaries has received written notice that the landlord with respect to any Lease would refuse to renew such Lease upon expiration of the period thereof upon substantially the same terms, except for rent increases consistent with past experience or market rentals. There are no pending or, to the Company’s Knowledge, threatened condemnation proceedings against the Leased Property.</w:t>
      </w:r>
    </w:p>
    <w:p>
      <w:pPr>
        <w:spacing w:after="0" w:line="2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3.16 Environmental Matters</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ind w:left="1100" w:right="899" w:firstLine="320"/>
        <w:spacing w:after="0" w:line="239" w:lineRule="auto"/>
        <w:tabs>
          <w:tab w:leader="none" w:pos="1732"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No written notice, notification, demand, request for information, citation, summons or Order has been received by the Company or any of the Company Subsidiaries, no complaint has been filed against the Company or any of the Company Subsidiaries, no penalty has been assessed against the Company or any of the Company Subsidiaries, and, to the Company’s Knowledge, no government investigation, private investigation is pending or threatened, and no action, claim or suit, including by any third party, is pending or, to the Company’s Knowledge, threatened against the Company or any of the Company Subsidiaries by any Governmental Authority or other Person, in each case relating to or arising out of any Environmental Law; (ii) to the Company’s Knowledge, there is no reasonable basis for any notice, notification, demand, request for information, citation, summons, Order, complaint, penalty, investigation, action, claim or suit referred to in subclause (i) above; (iii) the Company, each of the Company Subsidiaries and the Owned Real Property and, to the Company’s Knowledge, all OREO, are, and have been, in compliance in all material respects with all Environmental Laws and all Permits relating to Environmental Law matters; (iv) neither the Company nor any of the Company Subsidiaries is conducting or paying for any response or corrective action under any Environmental Law at any location; and (v) neither the Company nor any of the Company Subsidiaries is party to any agreement, Order, letter agreement, settlement agreement or memorandum of agreement that imposes any obligations under any Environmental Law. Each of the Company and the Company Subsidiaries has developed, incorporated into its policies and is undertaking commercially reasonable risk management procedures in connection with its origination and servicing of Loans, including in the exercise of any rights in the event of a borrower default, so as to minimize any potential liability to the Company or any of the Company Subsidiaries under any Environmental Laws.</w:t>
      </w:r>
    </w:p>
    <w:p>
      <w:pPr>
        <w:spacing w:after="0" w:line="111" w:lineRule="exact"/>
        <w:rPr>
          <w:rFonts w:ascii="Times New Roman" w:cs="Times New Roman" w:eastAsia="Times New Roman" w:hAnsi="Times New Roman"/>
          <w:sz w:val="16"/>
          <w:szCs w:val="16"/>
          <w:color w:val="auto"/>
        </w:rPr>
      </w:pPr>
    </w:p>
    <w:p>
      <w:pPr>
        <w:ind w:left="1100" w:right="899" w:firstLine="320"/>
        <w:spacing w:after="0" w:line="248" w:lineRule="auto"/>
        <w:tabs>
          <w:tab w:leader="none" w:pos="1738"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there has been no release of any Hazardous Substance by the Company or any of the Company Subsidiaries in any manner that has given or would reasonably be expected to give rise to any remedial obligation, corrective action requirement or liability, including liability to third parties, under applicable Environmental Laws.</w:t>
      </w:r>
    </w:p>
    <w:p>
      <w:pPr>
        <w:spacing w:after="0" w:line="97" w:lineRule="exact"/>
        <w:rPr>
          <w:rFonts w:ascii="Times New Roman" w:cs="Times New Roman" w:eastAsia="Times New Roman" w:hAnsi="Times New Roman"/>
          <w:sz w:val="16"/>
          <w:szCs w:val="16"/>
          <w:color w:val="auto"/>
        </w:rPr>
      </w:pPr>
    </w:p>
    <w:p>
      <w:pPr>
        <w:ind w:left="1100" w:right="899" w:firstLine="320"/>
        <w:spacing w:after="0" w:line="242" w:lineRule="auto"/>
        <w:tabs>
          <w:tab w:leader="none" w:pos="1729"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no Hazardous Substance has been disposed of, arranged to be disposed of, released or transported in violation of any applicable Environmental Law, or in a manner that has given rise to, or that would reasonably be expected to give rise to, any liability under any Environmental Law, from any current or former properties or facilities while owned or operated by the Company or any of the Company Subsidiaries or as a result of any operations or activities of the Company or any of the Company Subsidiaries at any location, and no other condition has existed or event has occurred with respect to the Company or any of the Company Subsidiaries or any such properties or facilities that, with notice or the passage of time, or both, would be reasonably likely to result in liability under Environmental Laws, and Hazardous Substances are not otherwise present at or about any such properties or facilities in amount or condition that has resulted in or could reasonably be expected to result in liability to the Company or any of the Company Subsidiaries under any Environmental Law.</w:t>
      </w:r>
    </w:p>
    <w:p>
      <w:pPr>
        <w:spacing w:after="0" w:line="103" w:lineRule="exact"/>
        <w:rPr>
          <w:rFonts w:ascii="Times New Roman" w:cs="Times New Roman" w:eastAsia="Times New Roman" w:hAnsi="Times New Roman"/>
          <w:sz w:val="16"/>
          <w:szCs w:val="16"/>
          <w:color w:val="auto"/>
        </w:rPr>
      </w:pPr>
    </w:p>
    <w:p>
      <w:pPr>
        <w:ind w:left="1100" w:right="979" w:firstLine="320"/>
        <w:spacing w:after="0" w:line="248" w:lineRule="auto"/>
        <w:tabs>
          <w:tab w:leader="none" w:pos="1738"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delivered to Parent true, correct and complete copies and results of any reports, studies, analyses, tests, communications or other monitoring documents in the possession, custody or control of the Company or any of the Company Subsidiaries pertaining to Hazardous Substances at the</w:t>
      </w:r>
    </w:p>
    <w:p>
      <w:pPr>
        <w:spacing w:after="0" w:line="3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539"/>
        <w:spacing w:after="0" w:line="279" w:lineRule="auto"/>
        <w:rPr>
          <w:sz w:val="20"/>
          <w:szCs w:val="20"/>
          <w:color w:val="auto"/>
        </w:rPr>
      </w:pPr>
      <w:r>
        <w:rPr>
          <w:rFonts w:ascii="Times New Roman" w:cs="Times New Roman" w:eastAsia="Times New Roman" w:hAnsi="Times New Roman"/>
          <w:sz w:val="16"/>
          <w:szCs w:val="16"/>
          <w:color w:val="auto"/>
        </w:rPr>
        <w:t>Owned Real Property, and to the Company’s Knowledge, all OREO, concerning compliance by the Company or any of the Company Subsidiaries with Environmental Laws.</w:t>
      </w:r>
    </w:p>
    <w:p>
      <w:pPr>
        <w:spacing w:after="0" w:line="69" w:lineRule="exact"/>
        <w:rPr>
          <w:sz w:val="20"/>
          <w:szCs w:val="20"/>
          <w:color w:val="auto"/>
        </w:rPr>
      </w:pPr>
    </w:p>
    <w:p>
      <w:pPr>
        <w:ind w:left="1100" w:right="919" w:firstLine="320"/>
        <w:spacing w:after="0" w:line="241" w:lineRule="auto"/>
        <w:tabs>
          <w:tab w:leader="none" w:pos="1723"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w:t>
      </w:r>
      <w:r>
        <w:rPr>
          <w:rFonts w:ascii="Times New Roman" w:cs="Times New Roman" w:eastAsia="Times New Roman" w:hAnsi="Times New Roman"/>
          <w:sz w:val="16"/>
          <w:szCs w:val="16"/>
          <w:b w:val="1"/>
          <w:bCs w:val="1"/>
          <w:i w:val="1"/>
          <w:iCs w:val="1"/>
          <w:color w:val="auto"/>
        </w:rPr>
        <w:t>Hazardous Substance</w:t>
      </w:r>
      <w:r>
        <w:rPr>
          <w:rFonts w:ascii="Times New Roman" w:cs="Times New Roman" w:eastAsia="Times New Roman" w:hAnsi="Times New Roman"/>
          <w:sz w:val="16"/>
          <w:szCs w:val="16"/>
          <w:color w:val="auto"/>
        </w:rPr>
        <w:t>” means (i) any material, substance, chemical, waste, product, derivative, compound, mixture, solid, liquid, mineral or gas, in each case, whether naturally occurring or man-made, that is hazardous, acutely hazardous, toxic, or words of similar import or regulatory effect under Environmental Laws, and (ii) any petroleum or petroleum-derived products, radioactive materials or wastes, asbestos in any form, lead or lead-containing materials, urea formaldehyde foam insulation, radon and polychlorinated biphenyls in concentrations or forms regulated by Environmental Law; and “</w:t>
      </w:r>
      <w:r>
        <w:rPr>
          <w:rFonts w:ascii="Times New Roman" w:cs="Times New Roman" w:eastAsia="Times New Roman" w:hAnsi="Times New Roman"/>
          <w:sz w:val="16"/>
          <w:szCs w:val="16"/>
          <w:b w:val="1"/>
          <w:bCs w:val="1"/>
          <w:i w:val="1"/>
          <w:iCs w:val="1"/>
          <w:color w:val="auto"/>
        </w:rPr>
        <w:t>Environmental Law</w:t>
      </w:r>
      <w:r>
        <w:rPr>
          <w:rFonts w:ascii="Times New Roman" w:cs="Times New Roman" w:eastAsia="Times New Roman" w:hAnsi="Times New Roman"/>
          <w:sz w:val="16"/>
          <w:szCs w:val="16"/>
          <w:color w:val="auto"/>
        </w:rPr>
        <w:t>” means any federal, state, local or foreign law, statute, ordinance, rule, regulation, judgment, order, injunction, decree, arbitration award, agency requirement, license or permit of any Governmental Authority relating to (1) the protection or restoration of the environment, health and safety as it relates to Hazardous Substance exposure or natural resource damages, (2) the handling, use, presence, disposal, release or threatened release of, or exposure to, any Hazardous Substance, or (3) noise, odor, wetlands, indoor air, pollution, contamination or any injury to Persons or property from exposure to any Hazardous Substance.</w:t>
      </w:r>
    </w:p>
    <w:p>
      <w:pPr>
        <w:spacing w:after="0" w:line="287" w:lineRule="exact"/>
        <w:rPr>
          <w:sz w:val="20"/>
          <w:szCs w:val="20"/>
          <w:color w:val="auto"/>
        </w:rPr>
      </w:pPr>
    </w:p>
    <w:p>
      <w:pPr>
        <w:ind w:left="1100" w:right="919" w:firstLine="318"/>
        <w:spacing w:after="0" w:line="239" w:lineRule="auto"/>
        <w:rPr>
          <w:sz w:val="20"/>
          <w:szCs w:val="20"/>
          <w:color w:val="auto"/>
        </w:rPr>
      </w:pPr>
      <w:r>
        <w:rPr>
          <w:rFonts w:ascii="Times New Roman" w:cs="Times New Roman" w:eastAsia="Times New Roman" w:hAnsi="Times New Roman"/>
          <w:sz w:val="16"/>
          <w:szCs w:val="16"/>
          <w:b w:val="1"/>
          <w:bCs w:val="1"/>
          <w:color w:val="auto"/>
        </w:rPr>
        <w:t>3.17 Intellectual Property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3.17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Company Disclosure Memorandum sets forth, as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date of this Agreement, a list of all Intellectual Property rights that are material to the conduct of the business of the Company and the Company Subsidiaries, as presently conducted. The Company and each of the Company Subsidiaries owns, or is licensed to use (in each case, free and clear of any material Liens), all Intellectual Property necessary for the conduct of its business as currently conducted. (a) (i) To the Company’s Knowledge, the use of any Intellectual Property by the Company and the Company Subsidiaries does not infringe, misappropriate or otherwise violate the rights of any Person and is in accordance with any applicable license pursuant to which the Company or any Company Subsidiary acquired the right to use any Intellectual Property, and (ii) no Person has asserted in writing to the Company that the Company or any of the Company Subsidiaries has infringed, misappropriated or otherwise violated the Intellectual Property rights of such Person, (b) to the Company’s Knowledge, no Person is challenging, infringing on or otherwise violating any right of the Company or any of the Company Subsidiaries with respect to any Intellectual Property owned by and/or licensed to the Company or any of the Company Subsidiaries, and</w:t>
      </w:r>
    </w:p>
    <w:p>
      <w:pPr>
        <w:spacing w:after="0" w:line="8" w:lineRule="exact"/>
        <w:rPr>
          <w:sz w:val="20"/>
          <w:szCs w:val="20"/>
          <w:color w:val="auto"/>
        </w:rPr>
      </w:pPr>
    </w:p>
    <w:p>
      <w:pPr>
        <w:ind w:left="1100" w:right="939" w:firstLine="3"/>
        <w:spacing w:after="0" w:line="238" w:lineRule="auto"/>
        <w:tabs>
          <w:tab w:leader="none" w:pos="132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received any written notice of any pending claim with respect to any Intellectual Property owned by the Company or any Company Subsidiary, and the Company and the Company Subsidiaries have taken commercially reasonable actions to avoid the abandonment, cancellation or unenforceability of all Intellectual Property owned or licensed, respectively, by the Company and the Company Subsidiaries that is necessary to the conduct of business of the Company and the Company Subsidiaries, as presently conducted. For purposes of this Agreement, “</w:t>
      </w:r>
      <w:r>
        <w:rPr>
          <w:rFonts w:ascii="Times New Roman" w:cs="Times New Roman" w:eastAsia="Times New Roman" w:hAnsi="Times New Roman"/>
          <w:sz w:val="16"/>
          <w:szCs w:val="16"/>
          <w:b w:val="1"/>
          <w:bCs w:val="1"/>
          <w:i w:val="1"/>
          <w:iCs w:val="1"/>
          <w:color w:val="auto"/>
        </w:rPr>
        <w:t>Intellectual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Property</w:t>
      </w:r>
      <w:r>
        <w:rPr>
          <w:rFonts w:ascii="Times New Roman" w:cs="Times New Roman" w:eastAsia="Times New Roman" w:hAnsi="Times New Roman"/>
          <w:sz w:val="16"/>
          <w:szCs w:val="16"/>
          <w:color w:val="auto"/>
        </w:rPr>
        <w:t>” means (1) trademarks, service marks, brand names, internet domain names, logos, symbols,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certification marks, trade dress and other indications of origin, the goodwill associated with the foregoing and registrations in any jurisdiction of, and applications in any jurisdiction to register, the foregoing, including any extension, modification or renewal of any such registration or application; (2) inventions, and discoveries, whether patentable or not, in any jurisdiction; (3) patents, applications for patents (including divisions, continuations, continuations in part and renewal applications), all improvements thereto, and any renewals, extensions or reissues thereof, in any jurisdiction; (4) nonpublic information, trade secrets and know-how, including processes, technologies, protocols, formulae, prototypes and confidential information and rights in any jurisdiction to limit the use or disclosure thereof by any Person; (5) writings and other works, whether copyrightable or not and whether in published or unpublished works, in any jurisdiction;</w:t>
      </w:r>
    </w:p>
    <w:p>
      <w:pPr>
        <w:ind w:left="1100" w:right="139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 registrations or applications for registration of copyrights in any jurisdiction, and any renewals or extensions thereof; and (7) any similar intellectual property or proprietary rights.</w:t>
      </w:r>
    </w:p>
    <w:p>
      <w:pPr>
        <w:spacing w:after="0" w:line="100" w:lineRule="exact"/>
        <w:rPr>
          <w:sz w:val="20"/>
          <w:szCs w:val="20"/>
          <w:color w:val="auto"/>
        </w:rPr>
      </w:pPr>
    </w:p>
    <w:p>
      <w:pPr>
        <w:ind w:left="1100" w:right="899" w:firstLine="318"/>
        <w:spacing w:after="0" w:line="244" w:lineRule="auto"/>
        <w:rPr>
          <w:sz w:val="20"/>
          <w:szCs w:val="20"/>
          <w:color w:val="auto"/>
        </w:rPr>
      </w:pPr>
      <w:r>
        <w:rPr>
          <w:rFonts w:ascii="Times New Roman" w:cs="Times New Roman" w:eastAsia="Times New Roman" w:hAnsi="Times New Roman"/>
          <w:sz w:val="16"/>
          <w:szCs w:val="16"/>
          <w:b w:val="1"/>
          <w:bCs w:val="1"/>
          <w:color w:val="auto"/>
        </w:rPr>
        <w:t>3.18 Related Party Transactions</w:t>
      </w:r>
      <w:r>
        <w:rPr>
          <w:rFonts w:ascii="Times New Roman" w:cs="Times New Roman" w:eastAsia="Times New Roman" w:hAnsi="Times New Roman"/>
          <w:sz w:val="16"/>
          <w:szCs w:val="16"/>
          <w:color w:val="auto"/>
        </w:rPr>
        <w:t>. Except as set forth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3.18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Company Disclosure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Memorandum, there are no, and since December 31, 2023, there have been no, transactions, arrangements or Contracts, nor are there any currently proposed transactions, arrangements or Contracts, between the Company or any of the Company Subsidiaries, on the one hand, and any Affiliate of the Company or any of the Company Subsidiaries (other than the Company and the Company Subsidiaries), current or former director or executive officer of the Company or any of the Company Subsidiaries, or current or former equity holder of the Company or any of the Company Subsidiaries (or any of the foregoing Persons’ immediate family members or Affiliates (other than the Company and the Company Subsidiaries)), on the</w:t>
      </w:r>
    </w:p>
    <w:p>
      <w:pPr>
        <w:spacing w:after="0" w:line="3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79"/>
        <w:spacing w:after="0" w:line="248" w:lineRule="auto"/>
        <w:rPr>
          <w:sz w:val="20"/>
          <w:szCs w:val="20"/>
          <w:color w:val="auto"/>
        </w:rPr>
      </w:pPr>
      <w:r>
        <w:rPr>
          <w:rFonts w:ascii="Times New Roman" w:cs="Times New Roman" w:eastAsia="Times New Roman" w:hAnsi="Times New Roman"/>
          <w:sz w:val="16"/>
          <w:szCs w:val="16"/>
          <w:color w:val="auto"/>
        </w:rPr>
        <w:t>other hand, or any insurance policies of the Company or any of the Company Subsidiaries brokered, administered, serviced, shared or maintained by any Affiliate of the Company or the Company Subsidiaries (other than the Company and the Company Subsidiaries) (any such Person, a “</w:t>
      </w:r>
      <w:r>
        <w:rPr>
          <w:rFonts w:ascii="Times New Roman" w:cs="Times New Roman" w:eastAsia="Times New Roman" w:hAnsi="Times New Roman"/>
          <w:sz w:val="16"/>
          <w:szCs w:val="16"/>
          <w:b w:val="1"/>
          <w:bCs w:val="1"/>
          <w:i w:val="1"/>
          <w:iCs w:val="1"/>
          <w:color w:val="auto"/>
        </w:rPr>
        <w:t>Company Related Party</w:t>
      </w:r>
      <w:r>
        <w:rPr>
          <w:rFonts w:ascii="Times New Roman" w:cs="Times New Roman" w:eastAsia="Times New Roman" w:hAnsi="Times New Roman"/>
          <w:sz w:val="16"/>
          <w:szCs w:val="16"/>
          <w:color w:val="auto"/>
        </w:rPr>
        <w:t>” and any such arrangement, policy or Contract, a “</w:t>
      </w:r>
      <w:r>
        <w:rPr>
          <w:rFonts w:ascii="Times New Roman" w:cs="Times New Roman" w:eastAsia="Times New Roman" w:hAnsi="Times New Roman"/>
          <w:sz w:val="16"/>
          <w:szCs w:val="16"/>
          <w:b w:val="1"/>
          <w:bCs w:val="1"/>
          <w:i w:val="1"/>
          <w:iCs w:val="1"/>
          <w:color w:val="auto"/>
        </w:rPr>
        <w:t>Related Party Agreement</w:t>
      </w:r>
      <w:r>
        <w:rPr>
          <w:rFonts w:ascii="Times New Roman" w:cs="Times New Roman" w:eastAsia="Times New Roman" w:hAnsi="Times New Roman"/>
          <w:sz w:val="16"/>
          <w:szCs w:val="16"/>
          <w:color w:val="auto"/>
        </w:rPr>
        <w:t>”).</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3.19 Loans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19" w:firstLine="320"/>
        <w:spacing w:after="0"/>
        <w:tabs>
          <w:tab w:leader="none" w:pos="173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loan, revolving credit facility, letter of credit or other extension of credit (including guarantees) or commitment to extend credit originated or acquired by the Company and the Company Subsidiaries (collectively, “</w:t>
      </w:r>
      <w:r>
        <w:rPr>
          <w:rFonts w:ascii="Times New Roman" w:cs="Times New Roman" w:eastAsia="Times New Roman" w:hAnsi="Times New Roman"/>
          <w:sz w:val="16"/>
          <w:szCs w:val="16"/>
          <w:b w:val="1"/>
          <w:bCs w:val="1"/>
          <w:i w:val="1"/>
          <w:iCs w:val="1"/>
          <w:color w:val="auto"/>
        </w:rPr>
        <w:t>Loans</w:t>
      </w:r>
      <w:r>
        <w:rPr>
          <w:rFonts w:ascii="Times New Roman" w:cs="Times New Roman" w:eastAsia="Times New Roman" w:hAnsi="Times New Roman"/>
          <w:sz w:val="16"/>
          <w:szCs w:val="16"/>
          <w:color w:val="auto"/>
        </w:rPr>
        <w:t xml:space="preserve">”) (i) complies in all material respects with all applicable Laws, (ii) has been made, entered into or acquired by the Company or one of the Company Subsidiaries in accordance with customary loan policies approved by the Company Board, (iii) is evidenced by promissory notes or other evidences of indebtedness, which are true, genuine and what they purport to be, and which, together with all security agreements and guarantees, constitute a valid and legally binding obligation of the obligor named therein, and as applicable, the Company or one of the Company Subsidiaries and are enforceable in accordance with their terms, (iv) is in full force and effect and (v) to the Company’s Knowledge, is not subject to any offset, recoupment, adjustment or any other valid or cognizable claim or defense by the applicable borrower;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enforcement of each of (iii) and (v) above may be limited by the Enforceability Exceptions. None of the rights or remedies under the documentation relating to the Loans has been amended, modified, waived, subordinated or otherwise altered by the Company or any of the Company Subsidiaries, except as evidenced by a written instrument which is a part of the file with respect to such Loans made available to Parent and was entered into by the Company or a Company Subsidiary in good faith and in the ordinary course of business. For purposes of this </w:t>
      </w:r>
      <w:r>
        <w:rPr>
          <w:rFonts w:ascii="Times New Roman" w:cs="Times New Roman" w:eastAsia="Times New Roman" w:hAnsi="Times New Roman"/>
          <w:sz w:val="16"/>
          <w:szCs w:val="16"/>
          <w:u w:val="single" w:color="auto"/>
          <w:color w:val="auto"/>
        </w:rPr>
        <w:t>Section 3.19(a)</w:t>
      </w:r>
      <w:r>
        <w:rPr>
          <w:rFonts w:ascii="Times New Roman" w:cs="Times New Roman" w:eastAsia="Times New Roman" w:hAnsi="Times New Roman"/>
          <w:sz w:val="16"/>
          <w:szCs w:val="16"/>
          <w:color w:val="auto"/>
        </w:rPr>
        <w:t>, the phrase “enforceable in accordance with their terms” as it relates to a Loan does not mean that the borrower has the financial ability to repay a Loan or that any collateral is sufficient to result in payment of the Loan secured thereby.</w:t>
      </w:r>
    </w:p>
    <w:p>
      <w:pPr>
        <w:spacing w:after="0" w:line="107" w:lineRule="exact"/>
        <w:rPr>
          <w:rFonts w:ascii="Times New Roman" w:cs="Times New Roman" w:eastAsia="Times New Roman" w:hAnsi="Times New Roman"/>
          <w:sz w:val="16"/>
          <w:szCs w:val="16"/>
          <w:color w:val="auto"/>
        </w:rPr>
      </w:pPr>
    </w:p>
    <w:p>
      <w:pPr>
        <w:ind w:left="1100" w:right="919" w:firstLine="320"/>
        <w:spacing w:after="0"/>
        <w:tabs>
          <w:tab w:leader="none" w:pos="1738"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have previously disclosed a complete and correct list of all Loans that, as of the Balance Sheet Date (i) are contractually past due thirty (30) days or more in the payment of principal and/or interest, (ii) are on nonaccrual status or (iii) are classified as “Watch List,” “Special Mention,” “Substandard,” “Doubtful” or “Loss,” (or​ words of similar import) together with the principal amount on each such Loan and the identity of the obligor thereunder. True, correct and complete copies of the currently effective lending policies and practices of the Company and each of the Company Subsidiaries have been made available to Parent.</w:t>
      </w:r>
    </w:p>
    <w:p>
      <w:pPr>
        <w:spacing w:after="0" w:line="105" w:lineRule="exact"/>
        <w:rPr>
          <w:rFonts w:ascii="Times New Roman" w:cs="Times New Roman" w:eastAsia="Times New Roman" w:hAnsi="Times New Roman"/>
          <w:sz w:val="16"/>
          <w:szCs w:val="16"/>
          <w:color w:val="auto"/>
        </w:rPr>
      </w:pPr>
    </w:p>
    <w:p>
      <w:pPr>
        <w:ind w:left="1100" w:right="919" w:firstLine="320"/>
        <w:spacing w:after="0" w:line="241" w:lineRule="auto"/>
        <w:tabs>
          <w:tab w:leader="none" w:pos="173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outstanding Loan (including Loans held for resale or previously sold to investors) has been solicited and originated and is administered and, where applicable, serviced, and the relevant files are being maintained, in accordance with the relevant loan documents in all material respects, the Company’s (and the applicable Company Subsidiary’s, as applicable) underwriting and servicing standards in all material respects (and, in the case of Loans held for resale or previously sold to investors, the underwriting standards, if any, of the applicable investors) and with all applicable Laws in all material respects and applicable requirements of any government-sponsored enterprise program in all material respects. The Company and the Company Subsidiaries have properly fulfilled in all material respects their contractual responsibilities and duties with respect to any Loan in which they act as the lead lender or servicer and have complied in all material respects with their duties as required under applicable regulatory requirements.</w:t>
      </w:r>
    </w:p>
    <w:p>
      <w:pPr>
        <w:spacing w:after="0" w:line="106" w:lineRule="exact"/>
        <w:rPr>
          <w:rFonts w:ascii="Times New Roman" w:cs="Times New Roman" w:eastAsia="Times New Roman" w:hAnsi="Times New Roman"/>
          <w:sz w:val="16"/>
          <w:szCs w:val="16"/>
          <w:color w:val="auto"/>
        </w:rPr>
      </w:pPr>
    </w:p>
    <w:p>
      <w:pPr>
        <w:ind w:left="1100" w:right="999" w:firstLine="320"/>
        <w:spacing w:after="0" w:line="248" w:lineRule="auto"/>
        <w:tabs>
          <w:tab w:leader="none" w:pos="1741"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3.19(d)</w:t>
      </w:r>
      <w:r>
        <w:rPr>
          <w:rFonts w:ascii="Times New Roman" w:cs="Times New Roman" w:eastAsia="Times New Roman" w:hAnsi="Times New Roman"/>
          <w:sz w:val="16"/>
          <w:szCs w:val="16"/>
          <w:color w:val="auto"/>
        </w:rPr>
        <w:t xml:space="preserve"> of the Company Disclosure Memorandum, none of the agreements pursuant to which the Company or any of the Company Subsidiaries has sold Loans or pools of Loans or participations in Loans or pools of Loans contains any obligation to repurchase such Loans or interests therein, other than repurchase obligations arising upon breach of representations and warranties, covenants and other obligations of the Company or the Company Subsidiaries, as applicable.</w:t>
      </w:r>
    </w:p>
    <w:p>
      <w:pPr>
        <w:spacing w:after="0" w:line="97" w:lineRule="exact"/>
        <w:rPr>
          <w:rFonts w:ascii="Times New Roman" w:cs="Times New Roman" w:eastAsia="Times New Roman" w:hAnsi="Times New Roman"/>
          <w:sz w:val="16"/>
          <w:szCs w:val="16"/>
          <w:color w:val="auto"/>
        </w:rPr>
      </w:pPr>
    </w:p>
    <w:p>
      <w:pPr>
        <w:ind w:left="1100" w:right="1279" w:firstLine="320"/>
        <w:spacing w:after="0" w:line="248" w:lineRule="auto"/>
        <w:tabs>
          <w:tab w:leader="none" w:pos="1729"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to Parent true, correct and complete copies of the loan files related to the Loans. Such files contain, in all material respects, all of the documents and instruments relating to such Loans.</w:t>
      </w:r>
    </w:p>
    <w:p>
      <w:pPr>
        <w:spacing w:after="0" w:line="96" w:lineRule="exact"/>
        <w:rPr>
          <w:rFonts w:ascii="Times New Roman" w:cs="Times New Roman" w:eastAsia="Times New Roman" w:hAnsi="Times New Roman"/>
          <w:sz w:val="16"/>
          <w:szCs w:val="16"/>
          <w:color w:val="auto"/>
        </w:rPr>
      </w:pPr>
    </w:p>
    <w:p>
      <w:pPr>
        <w:ind w:left="1700" w:hanging="280"/>
        <w:spacing w:after="0"/>
        <w:tabs>
          <w:tab w:leader="none" w:pos="170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payments made on the Loans have been properly credited to the respective Loan.</w:t>
      </w:r>
    </w:p>
    <w:p>
      <w:pPr>
        <w:spacing w:after="0" w:line="137" w:lineRule="exact"/>
        <w:rPr>
          <w:rFonts w:ascii="Times New Roman" w:cs="Times New Roman" w:eastAsia="Times New Roman" w:hAnsi="Times New Roman"/>
          <w:sz w:val="16"/>
          <w:szCs w:val="16"/>
          <w:color w:val="auto"/>
        </w:rPr>
      </w:pPr>
    </w:p>
    <w:p>
      <w:pPr>
        <w:ind w:left="1100" w:right="1179" w:firstLine="320"/>
        <w:spacing w:after="0" w:line="263" w:lineRule="auto"/>
        <w:tabs>
          <w:tab w:leader="none" w:pos="173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to each Loan that is secured, whether in whole or in part, by a guaranty of the United States Small Business Administration or any other Governmental Authority, such guaranty is in full force and</w:t>
      </w:r>
    </w:p>
    <w:p>
      <w:pPr>
        <w:spacing w:after="0" w:line="3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42" w:name="page143"/>
    <w:bookmarkEnd w:id="14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100" w:right="959"/>
        <w:spacing w:after="0" w:line="263" w:lineRule="auto"/>
        <w:rPr>
          <w:sz w:val="20"/>
          <w:szCs w:val="20"/>
          <w:color w:val="auto"/>
        </w:rPr>
      </w:pPr>
      <w:r>
        <w:rPr>
          <w:rFonts w:ascii="Times New Roman" w:cs="Times New Roman" w:eastAsia="Times New Roman" w:hAnsi="Times New Roman"/>
          <w:sz w:val="16"/>
          <w:szCs w:val="16"/>
          <w:color w:val="auto"/>
        </w:rPr>
        <w:t>effect, and will remain in full force and effect following the Closing Date, in each case, without any further action by the Company or the Company Subsidiaries subject to the Company fulfilling its obligations under the Small Business Administration Agreement that arise after the date hereof.</w:t>
      </w:r>
    </w:p>
    <w:p>
      <w:pPr>
        <w:spacing w:after="0" w:line="98" w:lineRule="exact"/>
        <w:rPr>
          <w:sz w:val="20"/>
          <w:szCs w:val="20"/>
          <w:color w:val="auto"/>
        </w:rPr>
      </w:pPr>
    </w:p>
    <w:p>
      <w:pPr>
        <w:ind w:left="1100" w:right="899" w:firstLine="320"/>
        <w:spacing w:after="0" w:line="251" w:lineRule="auto"/>
        <w:tabs>
          <w:tab w:leader="none" w:pos="1741"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3.19(h)</w:t>
      </w:r>
      <w:r>
        <w:rPr>
          <w:rFonts w:ascii="Times New Roman" w:cs="Times New Roman" w:eastAsia="Times New Roman" w:hAnsi="Times New Roman"/>
          <w:sz w:val="16"/>
          <w:szCs w:val="16"/>
          <w:color w:val="auto"/>
        </w:rPr>
        <w:t xml:space="preserve"> of the Company Disclosure Memorandum sets forth a list of all Loans by the Company and the Company Subsidiaries to any directors, executive officers and principal shareholders (as such terms are defined in Regulation O of the Federal Reserve (12 C.F.R. Part 215)) of the Company or any of the Company Subsidiaries. There are no Loans to any employee, officer, director, principal shareholder or other Affiliate of the Company or the Company Subsidiaries on which the borrower is paying a rate other than that reflected in the note or the relevant credit agreement. All such Loans are and were made in compliance in all material respects with all applicable Laws. Each Loan disclosed on </w:t>
      </w:r>
      <w:r>
        <w:rPr>
          <w:rFonts w:ascii="Times New Roman" w:cs="Times New Roman" w:eastAsia="Times New Roman" w:hAnsi="Times New Roman"/>
          <w:sz w:val="16"/>
          <w:szCs w:val="16"/>
          <w:u w:val="single" w:color="auto"/>
          <w:color w:val="auto"/>
        </w:rPr>
        <w:t>Section 3.19(h)</w:t>
      </w:r>
      <w:r>
        <w:rPr>
          <w:rFonts w:ascii="Times New Roman" w:cs="Times New Roman" w:eastAsia="Times New Roman" w:hAnsi="Times New Roman"/>
          <w:sz w:val="16"/>
          <w:szCs w:val="16"/>
          <w:color w:val="auto"/>
        </w:rPr>
        <w:t xml:space="preserve"> of the Company Disclosure Memorandum has been made in the ordinary course of business, and on the same terms, including interest rate and collateral, as those prevailing at the time for comparable arm’s-length transactions, did not involve more than the normal risk of collectability or present other unfavorable features.</w:t>
      </w:r>
    </w:p>
    <w:p>
      <w:pPr>
        <w:spacing w:after="0" w:line="301" w:lineRule="exact"/>
        <w:rPr>
          <w:sz w:val="20"/>
          <w:szCs w:val="20"/>
          <w:color w:val="auto"/>
        </w:rPr>
      </w:pPr>
    </w:p>
    <w:p>
      <w:pPr>
        <w:ind w:left="1100" w:right="1279" w:firstLine="318"/>
        <w:spacing w:after="0" w:line="281" w:lineRule="auto"/>
        <w:rPr>
          <w:sz w:val="20"/>
          <w:szCs w:val="20"/>
          <w:color w:val="auto"/>
        </w:rPr>
      </w:pPr>
      <w:r>
        <w:rPr>
          <w:rFonts w:ascii="Times New Roman" w:cs="Times New Roman" w:eastAsia="Times New Roman" w:hAnsi="Times New Roman"/>
          <w:sz w:val="16"/>
          <w:szCs w:val="16"/>
          <w:b w:val="1"/>
          <w:bCs w:val="1"/>
          <w:color w:val="auto"/>
        </w:rPr>
        <w:t>3.20 Mortgage Banking Business</w:t>
      </w:r>
      <w:r>
        <w:rPr>
          <w:rFonts w:ascii="Times New Roman" w:cs="Times New Roman" w:eastAsia="Times New Roman" w:hAnsi="Times New Roman"/>
          <w:sz w:val="16"/>
          <w:szCs w:val="16"/>
          <w:color w:val="auto"/>
        </w:rPr>
        <w:t>. Except as set forth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3.20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Company Disclosure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Memorandum:</w:t>
      </w:r>
    </w:p>
    <w:p>
      <w:pPr>
        <w:spacing w:after="0" w:line="71" w:lineRule="exact"/>
        <w:rPr>
          <w:sz w:val="20"/>
          <w:szCs w:val="20"/>
          <w:color w:val="auto"/>
        </w:rPr>
      </w:pPr>
    </w:p>
    <w:p>
      <w:pPr>
        <w:ind w:left="1100" w:right="919" w:firstLine="320"/>
        <w:spacing w:after="0" w:line="251" w:lineRule="auto"/>
        <w:tabs>
          <w:tab w:leader="none" w:pos="1729"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have complied in all material respects with, and all documentation in connection with the origination, processing, underwriting and credit approval of any mortgage loan originated, purchased or serviced by the Company and its Subsidiaries satisfied in all material respects, (i) all applicable federal, state and local laws, rules and regulations with respect to the origination, insuring, purchase, sale, pooling, servicing, subservicing, or filing of claims in connection with mortgage loans, including all laws relating to real estate settlement procedures, consumer credit protection, truth in lending laws, usury limitations, fair housing, transfers of servicing, collection practices, equal credit opportunity and adjustable rate mortgages, (ii) the responsibilities and obligations relating to mortgage loans set forth in any agreement between the Company and its Subsidiaries and any Agency, Loan Investor or Insurer, (iii) the applicable rules, regulations, guidelines, handbooks and other requirements of any Agency, Loan Investor or Insurer, and (iv) the terms and provisions of any mortgage or other collateral documents and other loan documents with respect to each mortgage loan.</w:t>
      </w:r>
    </w:p>
    <w:p>
      <w:pPr>
        <w:spacing w:after="0" w:line="109" w:lineRule="exact"/>
        <w:rPr>
          <w:rFonts w:ascii="Times New Roman" w:cs="Times New Roman" w:eastAsia="Times New Roman" w:hAnsi="Times New Roman"/>
          <w:sz w:val="16"/>
          <w:szCs w:val="16"/>
          <w:color w:val="auto"/>
        </w:rPr>
      </w:pPr>
    </w:p>
    <w:p>
      <w:pPr>
        <w:ind w:left="1100" w:right="899" w:firstLine="320"/>
        <w:spacing w:after="0" w:line="253" w:lineRule="auto"/>
        <w:tabs>
          <w:tab w:leader="none" w:pos="1741"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Agency, Loan Investor or Insurer has (i) claimed in writing that the Company or its Subsidiaries has violated or has not complied with the applicable underwriting standards with respect to mortgage loans sold by the Company or its Subsidiaries to a Loan Investor or Agency, or with respect to any sale of mortgage servicing rights to a Loan Investor, (ii) imposed in writing restrictions on the activities (including commitment authority) of the Company or its Subsidiaries or (iii) indicated in writing to the Company or its Subsidiaries that it has terminated or intends to terminate its relationship with the Company or its Subsidiaries for poor performance, poor loan quality or concern with respect to the Company’s or its Subsidiaries’ compliance with laws.</w:t>
      </w:r>
    </w:p>
    <w:p>
      <w:pPr>
        <w:spacing w:after="0" w:line="100" w:lineRule="exact"/>
        <w:rPr>
          <w:rFonts w:ascii="Times New Roman" w:cs="Times New Roman" w:eastAsia="Times New Roman" w:hAnsi="Times New Roman"/>
          <w:sz w:val="16"/>
          <w:szCs w:val="16"/>
          <w:color w:val="auto"/>
        </w:rPr>
      </w:pPr>
    </w:p>
    <w:p>
      <w:pPr>
        <w:ind w:left="1100" w:right="959" w:firstLine="320"/>
        <w:spacing w:after="0" w:line="251" w:lineRule="auto"/>
        <w:tabs>
          <w:tab w:leader="none" w:pos="1723"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(i) “</w:t>
      </w:r>
      <w:r>
        <w:rPr>
          <w:rFonts w:ascii="Times New Roman" w:cs="Times New Roman" w:eastAsia="Times New Roman" w:hAnsi="Times New Roman"/>
          <w:sz w:val="16"/>
          <w:szCs w:val="16"/>
          <w:b w:val="1"/>
          <w:bCs w:val="1"/>
          <w:i w:val="1"/>
          <w:iCs w:val="1"/>
          <w:color w:val="auto"/>
        </w:rPr>
        <w:t>Agency</w:t>
      </w:r>
      <w:r>
        <w:rPr>
          <w:rFonts w:ascii="Times New Roman" w:cs="Times New Roman" w:eastAsia="Times New Roman" w:hAnsi="Times New Roman"/>
          <w:sz w:val="16"/>
          <w:szCs w:val="16"/>
          <w:color w:val="auto"/>
        </w:rPr>
        <w:t>” means the Federal Housing Administration, the Federal Home Loan Mortgage Corporation, the Farmers Home Administration (now known as Rural Housing and Community Development Services), the Federal National Mortgage Association, the United States Department of Veterans’ Affairs, the Rural Housing Service of the U.S. Department of Agriculture or any other federal or state agency with authority to (x) determine any investment, origination, lending or servicing requirements with regard to mortgage loans originated, purchased or serviced by the Company or any of its Subsidiaries or (y) originate, purchase, or service mortgage loans, or otherwise promote mortgage lending, including state and local housing finance authorities, (ii) “</w:t>
      </w:r>
      <w:r>
        <w:rPr>
          <w:rFonts w:ascii="Times New Roman" w:cs="Times New Roman" w:eastAsia="Times New Roman" w:hAnsi="Times New Roman"/>
          <w:sz w:val="16"/>
          <w:szCs w:val="16"/>
          <w:b w:val="1"/>
          <w:bCs w:val="1"/>
          <w:i w:val="1"/>
          <w:iCs w:val="1"/>
          <w:color w:val="auto"/>
        </w:rPr>
        <w:t>Loan Investor</w:t>
      </w:r>
      <w:r>
        <w:rPr>
          <w:rFonts w:ascii="Times New Roman" w:cs="Times New Roman" w:eastAsia="Times New Roman" w:hAnsi="Times New Roman"/>
          <w:sz w:val="16"/>
          <w:szCs w:val="16"/>
          <w:color w:val="auto"/>
        </w:rPr>
        <w:t>” means any Person (including an Agency) having a beneficial interest in any mortgage loan originated, purchased or serviced by the Company or any of its Subsidiaries or a security backed by or representing an interest in any such mortgage loan, and (iii) “</w:t>
      </w:r>
      <w:r>
        <w:rPr>
          <w:rFonts w:ascii="Times New Roman" w:cs="Times New Roman" w:eastAsia="Times New Roman" w:hAnsi="Times New Roman"/>
          <w:sz w:val="16"/>
          <w:szCs w:val="16"/>
          <w:b w:val="1"/>
          <w:bCs w:val="1"/>
          <w:i w:val="1"/>
          <w:iCs w:val="1"/>
          <w:color w:val="auto"/>
        </w:rPr>
        <w:t>Insurer</w:t>
      </w:r>
      <w:r>
        <w:rPr>
          <w:rFonts w:ascii="Times New Roman" w:cs="Times New Roman" w:eastAsia="Times New Roman" w:hAnsi="Times New Roman"/>
          <w:sz w:val="16"/>
          <w:szCs w:val="16"/>
          <w:color w:val="auto"/>
        </w:rPr>
        <w:t>” means a Person who insures or guarantees for the benefit of the mortgagee all or any portion of the risk of loss upon borrower default on any of the mortgage loans originated, purchased or serviced by the Company or any of its Subsidiaries, including the Federal Housing Administration, the United States Department of Veterans’ Affairs, the Rural Housing Service of the U.S. Department of Agriculture and any private mortgage insurer, and providers of hazard, title or other insurance with respect to such mortgage loans or the related collateral.</w:t>
      </w:r>
    </w:p>
    <w:p>
      <w:pPr>
        <w:spacing w:after="0" w:line="200" w:lineRule="exact"/>
        <w:rPr>
          <w:sz w:val="20"/>
          <w:szCs w:val="20"/>
          <w:color w:val="auto"/>
        </w:rPr>
      </w:pPr>
    </w:p>
    <w:p>
      <w:pPr>
        <w:spacing w:after="0" w:line="31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right="959" w:firstLine="318"/>
        <w:spacing w:after="0" w:line="249" w:lineRule="auto"/>
        <w:rPr>
          <w:sz w:val="20"/>
          <w:szCs w:val="20"/>
          <w:color w:val="auto"/>
        </w:rPr>
      </w:pPr>
      <w:r>
        <w:rPr>
          <w:rFonts w:ascii="Times New Roman" w:cs="Times New Roman" w:eastAsia="Times New Roman" w:hAnsi="Times New Roman"/>
          <w:sz w:val="16"/>
          <w:szCs w:val="16"/>
          <w:b w:val="1"/>
          <w:bCs w:val="1"/>
          <w:color w:val="auto"/>
        </w:rPr>
        <w:t>3.21 Allowance for Loan and Credit Losses</w:t>
      </w:r>
      <w:r>
        <w:rPr>
          <w:rFonts w:ascii="Times New Roman" w:cs="Times New Roman" w:eastAsia="Times New Roman" w:hAnsi="Times New Roman"/>
          <w:sz w:val="16"/>
          <w:szCs w:val="16"/>
          <w:color w:val="auto"/>
        </w:rPr>
        <w:t>. The allowances for loan and credit losses contained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Financial Statements and the allowances for loan and credit losses shown on any financial statements delivered in accordance with </w:t>
      </w:r>
      <w:r>
        <w:rPr>
          <w:rFonts w:ascii="Times New Roman" w:cs="Times New Roman" w:eastAsia="Times New Roman" w:hAnsi="Times New Roman"/>
          <w:sz w:val="16"/>
          <w:szCs w:val="16"/>
          <w:u w:val="single" w:color="auto"/>
          <w:color w:val="auto"/>
        </w:rPr>
        <w:t>Section 6.13</w:t>
      </w:r>
      <w:r>
        <w:rPr>
          <w:rFonts w:ascii="Times New Roman" w:cs="Times New Roman" w:eastAsia="Times New Roman" w:hAnsi="Times New Roman"/>
          <w:sz w:val="16"/>
          <w:szCs w:val="16"/>
          <w:color w:val="auto"/>
        </w:rPr>
        <w:t>, as the case may be, were and will be established in accordance with the practices and experiences of the Company and the Company Subsidiaries and were and will be in accordance with the requirements of GAAP.</w:t>
      </w:r>
    </w:p>
    <w:p>
      <w:pPr>
        <w:spacing w:after="0" w:line="94" w:lineRule="exact"/>
        <w:rPr>
          <w:sz w:val="20"/>
          <w:szCs w:val="20"/>
          <w:color w:val="auto"/>
        </w:rPr>
      </w:pPr>
    </w:p>
    <w:p>
      <w:pPr>
        <w:ind w:left="1100" w:right="939" w:firstLine="318"/>
        <w:spacing w:after="0" w:line="241" w:lineRule="auto"/>
        <w:rPr>
          <w:sz w:val="20"/>
          <w:szCs w:val="20"/>
          <w:color w:val="auto"/>
        </w:rPr>
      </w:pPr>
      <w:r>
        <w:rPr>
          <w:rFonts w:ascii="Times New Roman" w:cs="Times New Roman" w:eastAsia="Times New Roman" w:hAnsi="Times New Roman"/>
          <w:sz w:val="16"/>
          <w:szCs w:val="16"/>
          <w:b w:val="1"/>
          <w:bCs w:val="1"/>
          <w:color w:val="auto"/>
        </w:rPr>
        <w:t>3.22 Interest Rate Risk Management Instruments</w:t>
      </w:r>
      <w:r>
        <w:rPr>
          <w:rFonts w:ascii="Times New Roman" w:cs="Times New Roman" w:eastAsia="Times New Roman" w:hAnsi="Times New Roman"/>
          <w:sz w:val="16"/>
          <w:szCs w:val="16"/>
          <w:color w:val="auto"/>
        </w:rPr>
        <w:t>. Except as set forth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3.22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Disclosure Memorandum, neither the Company nor any of the Company Subsidiaries is a party to any interest rate swaps, caps, floors, derivative, hedge, foreign exchange or currency purchase or sale agreements, option agreements, futures and forward contracts or other similar derivative transactions and risk management arrangements or agreements. All instruments, arrangements and agreements set forth on </w:t>
      </w:r>
      <w:r>
        <w:rPr>
          <w:rFonts w:ascii="Times New Roman" w:cs="Times New Roman" w:eastAsia="Times New Roman" w:hAnsi="Times New Roman"/>
          <w:sz w:val="16"/>
          <w:szCs w:val="16"/>
          <w:u w:val="single" w:color="auto"/>
          <w:color w:val="auto"/>
        </w:rPr>
        <w:t>Section 3.22</w:t>
      </w:r>
      <w:r>
        <w:rPr>
          <w:rFonts w:ascii="Times New Roman" w:cs="Times New Roman" w:eastAsia="Times New Roman" w:hAnsi="Times New Roman"/>
          <w:sz w:val="16"/>
          <w:szCs w:val="16"/>
          <w:color w:val="auto"/>
        </w:rPr>
        <w:t xml:space="preserve"> of the Company Disclosure Memorandum were entered into in the ordinary course of business consistent with past practice and in accordance with applicable rules, regulations and policies of any Regulatory Agency and with counterparties believed to be financially responsible at the time and are legal, valid and binding obligations of the Company or one of the Company Subsidiaries enforceable in accordance with their terms, and are in full force and effect. The Company and each of the Company Subsidiaries have duly performed in all material respects all of their material obligations thereunder to the extent that such obligations to perform have accrued, and, to the Company’s Knowledge, there are no material breaches, violations or defaults or allegations or assertions of such by any party thereunder.</w:t>
      </w:r>
    </w:p>
    <w:p>
      <w:pPr>
        <w:spacing w:after="0" w:line="100" w:lineRule="exact"/>
        <w:rPr>
          <w:sz w:val="20"/>
          <w:szCs w:val="20"/>
          <w:color w:val="auto"/>
        </w:rPr>
      </w:pPr>
    </w:p>
    <w:p>
      <w:pPr>
        <w:ind w:left="1100" w:right="959" w:firstLine="318"/>
        <w:spacing w:after="0" w:line="239" w:lineRule="auto"/>
        <w:rPr>
          <w:sz w:val="20"/>
          <w:szCs w:val="20"/>
          <w:color w:val="auto"/>
        </w:rPr>
      </w:pPr>
      <w:r>
        <w:rPr>
          <w:rFonts w:ascii="Times New Roman" w:cs="Times New Roman" w:eastAsia="Times New Roman" w:hAnsi="Times New Roman"/>
          <w:sz w:val="16"/>
          <w:szCs w:val="16"/>
          <w:b w:val="1"/>
          <w:bCs w:val="1"/>
          <w:color w:val="auto"/>
        </w:rPr>
        <w:t>3.23 Deposits</w:t>
      </w:r>
      <w:r>
        <w:rPr>
          <w:rFonts w:ascii="Times New Roman" w:cs="Times New Roman" w:eastAsia="Times New Roman" w:hAnsi="Times New Roman"/>
          <w:sz w:val="16"/>
          <w:szCs w:val="16"/>
          <w:color w:val="auto"/>
        </w:rPr>
        <w:t>. The deposit accounts of Company Bank are insured by the FDIC to the fullest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permitted by applicable Law, and all premiums and assessments required to be paid in connection therewith have been duly, timely and fully paid. All interest has been properly accrued on the deposit accounts of Company Bank, and Company Bank’s records accurately reflect such accrual of interest. The deposit accounts of Company Bank have been originated in accordance with the terms of the respective governing documents and in compliance with all applicable Laws. Neither the Company nor Company Bank has received written notice of any loss or potential loss of any material business or customers related to the deposit accounts of Company Bank. There are no proceedings for the termination of such deposit insurance pending or, to the Company’s Knowledge, threatened, and Company Bank has not received any written claim or notice threatening action alleging any of the foregoing. None of the deposits of Company Bank are “brokered deposits” as such term is defined in 12 C.F.R. 337.6(a)(2). </w:t>
      </w:r>
      <w:r>
        <w:rPr>
          <w:rFonts w:ascii="Times New Roman" w:cs="Times New Roman" w:eastAsia="Times New Roman" w:hAnsi="Times New Roman"/>
          <w:sz w:val="16"/>
          <w:szCs w:val="16"/>
          <w:u w:val="single" w:color="auto"/>
          <w:color w:val="auto"/>
        </w:rPr>
        <w:t>Section 3.23</w:t>
      </w:r>
      <w:r>
        <w:rPr>
          <w:rFonts w:ascii="Times New Roman" w:cs="Times New Roman" w:eastAsia="Times New Roman" w:hAnsi="Times New Roman"/>
          <w:sz w:val="16"/>
          <w:szCs w:val="16"/>
          <w:color w:val="auto"/>
        </w:rPr>
        <w:t xml:space="preserve"> of the Company Disclosure Memorandum sets forth (x) the aggregate total deposit balances for Company Bank as of March 31, 2026, (y) a list of the top 20 deposit relationships of Company Bank and respective deposit balances and rates as of March 31, 2026 and (z) the deposit accounts held by Company Related Parties at Company Bank and the balances in such deposit accounts as of March 31, 2026.</w:t>
      </w:r>
    </w:p>
    <w:p>
      <w:pPr>
        <w:spacing w:after="0" w:line="111" w:lineRule="exact"/>
        <w:rPr>
          <w:sz w:val="20"/>
          <w:szCs w:val="20"/>
          <w:color w:val="auto"/>
        </w:rPr>
      </w:pPr>
    </w:p>
    <w:p>
      <w:pPr>
        <w:ind w:left="1100" w:right="899" w:firstLine="318"/>
        <w:spacing w:after="0" w:line="252" w:lineRule="auto"/>
        <w:rPr>
          <w:sz w:val="20"/>
          <w:szCs w:val="20"/>
          <w:color w:val="auto"/>
        </w:rPr>
      </w:pPr>
      <w:r>
        <w:rPr>
          <w:rFonts w:ascii="Times New Roman" w:cs="Times New Roman" w:eastAsia="Times New Roman" w:hAnsi="Times New Roman"/>
          <w:sz w:val="16"/>
          <w:szCs w:val="16"/>
          <w:b w:val="1"/>
          <w:bCs w:val="1"/>
          <w:color w:val="auto"/>
        </w:rPr>
        <w:t>3.24 Investment Portfolio</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3.24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Company Disclosure Memorandum sets forth 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investment securities held by the Company or the Company Subsidiaries as of the Balance Sheet Date. All investment securities held by the Company or the Company Subsidiaries are carried in accordance with GAAP and in a manner consistent with the applicable guidelines issued by applicable bank regulatory agencies in all material respects. Each of the Company and the Company Subsidiaries have good, valid and marketable title to all securities held by it, except securities sold under repurchase agreements or held in any fiduciary or agency capacity, free and clear of any Lien, except as set forth in the Financial Statements or on </w:t>
      </w:r>
      <w:r>
        <w:rPr>
          <w:rFonts w:ascii="Times New Roman" w:cs="Times New Roman" w:eastAsia="Times New Roman" w:hAnsi="Times New Roman"/>
          <w:sz w:val="16"/>
          <w:szCs w:val="16"/>
          <w:u w:val="single" w:color="auto"/>
          <w:color w:val="auto"/>
        </w:rPr>
        <w:t>Section 3.24</w:t>
      </w:r>
      <w:r>
        <w:rPr>
          <w:rFonts w:ascii="Times New Roman" w:cs="Times New Roman" w:eastAsia="Times New Roman" w:hAnsi="Times New Roman"/>
          <w:sz w:val="16"/>
          <w:szCs w:val="16"/>
          <w:color w:val="auto"/>
        </w:rPr>
        <w:t xml:space="preserve"> of the Company Disclosure Memorandum and except to the extent any such securities are pledged in the ordinary course of business consistent with prudent banking practices to secure obligations of the Company or the Company Subsidiaries.</w:t>
      </w:r>
    </w:p>
    <w:p>
      <w:pPr>
        <w:spacing w:after="0" w:line="105" w:lineRule="exact"/>
        <w:rPr>
          <w:sz w:val="20"/>
          <w:szCs w:val="20"/>
          <w:color w:val="auto"/>
        </w:rPr>
      </w:pPr>
    </w:p>
    <w:p>
      <w:pPr>
        <w:ind w:left="1100" w:right="939" w:firstLine="318"/>
        <w:spacing w:after="0" w:line="252" w:lineRule="auto"/>
        <w:rPr>
          <w:sz w:val="20"/>
          <w:szCs w:val="20"/>
          <w:color w:val="auto"/>
        </w:rPr>
      </w:pPr>
      <w:r>
        <w:rPr>
          <w:rFonts w:ascii="Times New Roman" w:cs="Times New Roman" w:eastAsia="Times New Roman" w:hAnsi="Times New Roman"/>
          <w:sz w:val="16"/>
          <w:szCs w:val="16"/>
          <w:b w:val="1"/>
          <w:bCs w:val="1"/>
          <w:color w:val="auto"/>
        </w:rPr>
        <w:t>3.25 Bank Secrecy Act, Anti-Money Laundering and OFAC, and Customer Information</w:t>
      </w:r>
      <w:r>
        <w:rPr>
          <w:rFonts w:ascii="Times New Roman" w:cs="Times New Roman" w:eastAsia="Times New Roman" w:hAnsi="Times New Roman"/>
          <w:sz w:val="16"/>
          <w:szCs w:val="16"/>
          <w:color w:val="auto"/>
        </w:rPr>
        <w:t>.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not aware of, has not been advised of, and has no reason to believe that any facts or circumstances exist, which would cause it or any of the Company Subsidiaries to be deemed (a) to be operating in violation in any material respect of the Bank Secrecy Act, the USA PATRIOT Act, any order issued with respect to anti-money laundering and U.S. economic sanctions laws and regulations administered by the U.S. Department of the Treasury’s Office of Foreign Assets Control, or any other applicable anti-money laundering statute, rule or regulation; or (b) not to be in satisfactory compliance in any material respect with the applicable privacy and customer information requirements contained in any federal and state privacy laws and regulations, including, without limitation, in Title V of the Gramm-Leach-Bliley Act of 1999 and the regulations promulgated thereunder, as well as the provisions of the information security program adopted</w:t>
      </w:r>
    </w:p>
    <w:p>
      <w:pPr>
        <w:spacing w:after="0" w:line="32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spacing w:after="0" w:line="251" w:lineRule="auto"/>
        <w:rPr>
          <w:sz w:val="20"/>
          <w:szCs w:val="20"/>
          <w:color w:val="auto"/>
        </w:rPr>
      </w:pPr>
      <w:r>
        <w:rPr>
          <w:rFonts w:ascii="Times New Roman" w:cs="Times New Roman" w:eastAsia="Times New Roman" w:hAnsi="Times New Roman"/>
          <w:sz w:val="16"/>
          <w:szCs w:val="16"/>
          <w:color w:val="auto"/>
        </w:rPr>
        <w:t>by the Company or Company Bank pursuant to 12 C.F.R. Part 364, Appendix B. The Company is not aware of any facts or circumstances that would cause it to believe that any non-public customer information or information technology networks controlled by and material to the operation of the business of the Company and the Company Subsidiaries has been disclosed to or accessed by an unauthorized third party in a manner that would cause the Company or any of the Company Subsidiaries to undertake any material notification obligation or remedial action. The Company Board (or, where appropriate, the Board of Directors (or similar governing body) of any of the Company Subsidiaries) has adopted and implemented an anti-money laundering program that contains adequate and appropriate customer identification verification procedures that comply with Section 326 of the USA PATRIOT Act and such anti-money laundering program meets the requirements in all material respects of Section 352 of the USA PATRIOT Act and the regulations thereunder, and the Company (or such other of the Company Subsidiaries) has complied in all material respects with any requirements to file reports, such as Suspicious Activity Reports, and other necessary documents as required by the USA PATRIOT Act and the regulations thereunder.</w:t>
      </w:r>
    </w:p>
    <w:p>
      <w:pPr>
        <w:spacing w:after="0" w:line="105" w:lineRule="exact"/>
        <w:rPr>
          <w:sz w:val="20"/>
          <w:szCs w:val="20"/>
          <w:color w:val="auto"/>
        </w:rPr>
      </w:pPr>
    </w:p>
    <w:p>
      <w:pPr>
        <w:ind w:left="1100" w:right="959" w:firstLine="318"/>
        <w:spacing w:after="0" w:line="252" w:lineRule="auto"/>
        <w:rPr>
          <w:sz w:val="20"/>
          <w:szCs w:val="20"/>
          <w:color w:val="auto"/>
        </w:rPr>
      </w:pPr>
      <w:r>
        <w:rPr>
          <w:rFonts w:ascii="Times New Roman" w:cs="Times New Roman" w:eastAsia="Times New Roman" w:hAnsi="Times New Roman"/>
          <w:sz w:val="16"/>
          <w:szCs w:val="16"/>
          <w:b w:val="1"/>
          <w:bCs w:val="1"/>
          <w:color w:val="auto"/>
        </w:rPr>
        <w:t>3.26 CRA and Fair Lending Compliance</w:t>
      </w:r>
      <w:r>
        <w:rPr>
          <w:rFonts w:ascii="Times New Roman" w:cs="Times New Roman" w:eastAsia="Times New Roman" w:hAnsi="Times New Roman"/>
          <w:sz w:val="16"/>
          <w:szCs w:val="16"/>
          <w:color w:val="auto"/>
        </w:rPr>
        <w:t>. Company Bank is “well capitalized” ​(as that term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defined at 12 C.F.R. 325.103) and its most recent examination rating under the Community Reinvestment Act, as amended (“</w:t>
      </w:r>
      <w:r>
        <w:rPr>
          <w:rFonts w:ascii="Times New Roman" w:cs="Times New Roman" w:eastAsia="Times New Roman" w:hAnsi="Times New Roman"/>
          <w:sz w:val="16"/>
          <w:szCs w:val="16"/>
          <w:b w:val="1"/>
          <w:bCs w:val="1"/>
          <w:i w:val="1"/>
          <w:iCs w:val="1"/>
          <w:color w:val="auto"/>
        </w:rPr>
        <w:t>CRA</w:t>
      </w:r>
      <w:r>
        <w:rPr>
          <w:rFonts w:ascii="Times New Roman" w:cs="Times New Roman" w:eastAsia="Times New Roman" w:hAnsi="Times New Roman"/>
          <w:sz w:val="16"/>
          <w:szCs w:val="16"/>
          <w:color w:val="auto"/>
        </w:rPr>
        <w:t>”), was “satisfactory” or better. To the Company’s Knowledge, there is no evidence of discriminatory or other illegal credit practices that would reasonably be expected to adversely affect the Company Bank’s CRA rating. To the Company’s Knowledge, there is no fact or circumstance or set of facts or circumstances which would be reasonably likely to cause (a) Company Bank to receive any notice of non-compliance with the provisions of the CRA or (b) Company Bank’s CRA rating to decrease below the “satisfactory” level. To the Company’s Knowledge, there is no reason that Company Bank’s CRA performance or rating would reasonably be expected to result in the Regulatory Approvals being denied or delayed.</w:t>
      </w:r>
    </w:p>
    <w:p>
      <w:pPr>
        <w:spacing w:after="0" w:line="298" w:lineRule="exact"/>
        <w:rPr>
          <w:sz w:val="20"/>
          <w:szCs w:val="20"/>
          <w:color w:val="auto"/>
        </w:rPr>
      </w:pPr>
    </w:p>
    <w:p>
      <w:pPr>
        <w:ind w:left="1100" w:right="919" w:firstLine="318"/>
        <w:spacing w:after="0" w:line="250" w:lineRule="auto"/>
        <w:rPr>
          <w:sz w:val="20"/>
          <w:szCs w:val="20"/>
          <w:color w:val="auto"/>
        </w:rPr>
      </w:pPr>
      <w:r>
        <w:rPr>
          <w:rFonts w:ascii="Times New Roman" w:cs="Times New Roman" w:eastAsia="Times New Roman" w:hAnsi="Times New Roman"/>
          <w:sz w:val="16"/>
          <w:szCs w:val="16"/>
          <w:b w:val="1"/>
          <w:bCs w:val="1"/>
          <w:color w:val="auto"/>
        </w:rPr>
        <w:t>3.27 Insurance</w:t>
      </w:r>
      <w:r>
        <w:rPr>
          <w:rFonts w:ascii="Times New Roman" w:cs="Times New Roman" w:eastAsia="Times New Roman" w:hAnsi="Times New Roman"/>
          <w:sz w:val="16"/>
          <w:szCs w:val="16"/>
          <w:color w:val="auto"/>
        </w:rPr>
        <w:t>. Each of the Company and the Company Subsidiaries are insured against such risks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and in such amounts as are adequate and as the management of the Company has reasonably determined to be prudent and customary with respect to their businesses, properties and assets by insurers of recognized financial responsibility. The Company maintains directors’ and officers’ liability insurance and fiduciary liability insurance. </w:t>
      </w:r>
      <w:r>
        <w:rPr>
          <w:rFonts w:ascii="Times New Roman" w:cs="Times New Roman" w:eastAsia="Times New Roman" w:hAnsi="Times New Roman"/>
          <w:sz w:val="16"/>
          <w:szCs w:val="16"/>
          <w:u w:val="single" w:color="auto"/>
          <w:color w:val="auto"/>
        </w:rPr>
        <w:t>Section 3.27</w:t>
      </w:r>
      <w:r>
        <w:rPr>
          <w:rFonts w:ascii="Times New Roman" w:cs="Times New Roman" w:eastAsia="Times New Roman" w:hAnsi="Times New Roman"/>
          <w:sz w:val="16"/>
          <w:szCs w:val="16"/>
          <w:color w:val="auto"/>
        </w:rPr>
        <w:t xml:space="preserve"> of the Company Disclosure Memorandum sets forth (a) a list of all insurance policies maintained with respect to the business and assets of the Company and the Company Subsidiaries, (b) all coverage limits, premiums and costs with respect to such insurance policies, and (c) all claims made under such insurance policies since January 1, 2023, the underlying incidents and dates of such claims, the insurance proceeds recovered with respect to such claims and the retention and deductibles with respect to such claims. Neither the Company nor any of the Company Subsidiaries has been refused any insurance coverage sought or applied for and does not have any reason to believe that it will not be able to renew existing insurance coverage as and when such coverage expires or to obtain similar coverage from similar insurers as may be necessary to continue its business at a cost that would not be materially higher than existing insurance coverage. All insurance policies with respect to the business and assets of the Company and the Company Subsidiaries are in full force and effect, there has been no lapse in coverage during the term of such policies, all premiums due and payable thereon have been paid, neither the Company nor any of the Company Subsidiaries have received notice to the effect that any of them are in default under any such insurance policy, and all claims have been filed in a timely fashion. There is no claim pending under any such policies with respect to the Company or any of the Company Subsidiaries as to which coverage has been denied or disputed by the underwriters of such policies.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3.28 Trust and Wealth Management, Investment Advisory, Insurance and Broker-Dealer Matters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left="1100" w:right="1159" w:firstLine="320"/>
        <w:spacing w:after="0" w:line="263" w:lineRule="auto"/>
        <w:tabs>
          <w:tab w:leader="none" w:pos="1732"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the Company Subsidiaries (i) engages in or has engaged in the trust or wealth management business or (ii) serves as or has served as trustee, agent, custodian, personal representative, guardian, conservator or investment advisor for any fiduciary accounts.</w:t>
      </w:r>
    </w:p>
    <w:p>
      <w:pPr>
        <w:spacing w:after="0" w:line="97" w:lineRule="exact"/>
        <w:rPr>
          <w:rFonts w:ascii="Times New Roman" w:cs="Times New Roman" w:eastAsia="Times New Roman" w:hAnsi="Times New Roman"/>
          <w:sz w:val="16"/>
          <w:szCs w:val="16"/>
          <w:color w:val="auto"/>
        </w:rPr>
      </w:pPr>
    </w:p>
    <w:p>
      <w:pPr>
        <w:ind w:left="1100" w:right="919" w:firstLine="320"/>
        <w:spacing w:after="0" w:line="258" w:lineRule="auto"/>
        <w:tabs>
          <w:tab w:leader="none" w:pos="1741"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Subsidiary provides investment management, investment advisory or sub-advisory services to any Person (including management and advice provided to separate accounts and participation in wrap fee programs) that require it to be registered with the SEC as an investment adviser under the Investment Advisers Act of 1940.</w:t>
      </w:r>
    </w:p>
    <w:p>
      <w:pPr>
        <w:spacing w:after="0" w:line="3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45" w:name="page146"/>
    <w:bookmarkEnd w:id="14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179" w:firstLine="320"/>
        <w:spacing w:after="0" w:line="279" w:lineRule="auto"/>
        <w:tabs>
          <w:tab w:leader="none" w:pos="1732"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Subsidiary conducts insurance operations that require it to be registered with any state insurance regulatory authorities.</w:t>
      </w:r>
    </w:p>
    <w:p>
      <w:pPr>
        <w:spacing w:after="0" w:line="72" w:lineRule="exact"/>
        <w:rPr>
          <w:rFonts w:ascii="Times New Roman" w:cs="Times New Roman" w:eastAsia="Times New Roman" w:hAnsi="Times New Roman"/>
          <w:sz w:val="16"/>
          <w:szCs w:val="16"/>
          <w:color w:val="auto"/>
        </w:rPr>
      </w:pPr>
    </w:p>
    <w:p>
      <w:pPr>
        <w:ind w:left="1100" w:right="1339" w:firstLine="320"/>
        <w:spacing w:after="0" w:line="263" w:lineRule="auto"/>
        <w:tabs>
          <w:tab w:leader="none" w:pos="1741"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Subsidiary conducts broker-dealer activities that require it to be registered as a “broker” or “dealer” in accordance with the provisions of the Exchange Act.</w:t>
      </w:r>
    </w:p>
    <w:p>
      <w:pPr>
        <w:spacing w:after="0" w:line="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3.29 Brokers; Fairness Opinion</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ind w:left="1100" w:right="919" w:firstLine="320"/>
        <w:spacing w:after="0" w:line="244" w:lineRule="auto"/>
        <w:tabs>
          <w:tab w:leader="none" w:pos="1729"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exception of the engagement of Piper Sandler &amp; Co. (the “</w:t>
      </w:r>
      <w:r>
        <w:rPr>
          <w:rFonts w:ascii="Times New Roman" w:cs="Times New Roman" w:eastAsia="Times New Roman" w:hAnsi="Times New Roman"/>
          <w:sz w:val="16"/>
          <w:szCs w:val="16"/>
          <w:b w:val="1"/>
          <w:bCs w:val="1"/>
          <w:i w:val="1"/>
          <w:iCs w:val="1"/>
          <w:color w:val="auto"/>
        </w:rPr>
        <w:t>Company Financial Advisor</w:t>
      </w:r>
      <w:r>
        <w:rPr>
          <w:rFonts w:ascii="Times New Roman" w:cs="Times New Roman" w:eastAsia="Times New Roman" w:hAnsi="Times New Roman"/>
          <w:sz w:val="16"/>
          <w:szCs w:val="16"/>
          <w:color w:val="auto"/>
        </w:rPr>
        <w:t xml:space="preserve">”), no broker, finder or investment banker is entitled to any brokerage, finder’s or other fee or commission in connection with the transactions contemplated by this Agreement or the Bank Merger Agreement based upon arrangements made by or on behalf of the Company or any of the Company Subsidiaries. The aggregate fees provided for in connection with the engagement of the Company Financial Advisor related to the Merger and the other transactions contemplated under this Agreement, including the Bank Merger, have been disclosed to Parent or are set forth in </w:t>
      </w:r>
      <w:r>
        <w:rPr>
          <w:rFonts w:ascii="Times New Roman" w:cs="Times New Roman" w:eastAsia="Times New Roman" w:hAnsi="Times New Roman"/>
          <w:sz w:val="16"/>
          <w:szCs w:val="16"/>
          <w:u w:val="single" w:color="auto"/>
          <w:color w:val="auto"/>
        </w:rPr>
        <w:t>Section 3.29</w:t>
      </w:r>
      <w:r>
        <w:rPr>
          <w:rFonts w:ascii="Times New Roman" w:cs="Times New Roman" w:eastAsia="Times New Roman" w:hAnsi="Times New Roman"/>
          <w:sz w:val="16"/>
          <w:szCs w:val="16"/>
          <w:color w:val="auto"/>
        </w:rPr>
        <w:t xml:space="preserve"> of the Company Disclosure Memorandum.</w:t>
      </w:r>
    </w:p>
    <w:p>
      <w:pPr>
        <w:spacing w:after="0" w:line="100" w:lineRule="exact"/>
        <w:rPr>
          <w:rFonts w:ascii="Times New Roman" w:cs="Times New Roman" w:eastAsia="Times New Roman" w:hAnsi="Times New Roman"/>
          <w:sz w:val="16"/>
          <w:szCs w:val="16"/>
          <w:color w:val="auto"/>
        </w:rPr>
      </w:pPr>
    </w:p>
    <w:p>
      <w:pPr>
        <w:jc w:val="both"/>
        <w:ind w:left="1100" w:right="919" w:firstLine="320"/>
        <w:spacing w:after="0" w:line="248" w:lineRule="auto"/>
        <w:tabs>
          <w:tab w:leader="none" w:pos="1738"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has received the opinion of the Company Financial Advisor to the effect that, as of the date hereof and based upon and subject to the factors and assumptions set forth therein, the Merger Consideration or Exchange Ratio, as the case may be, is fair, from a financial point of view, to the holders of Company Common Stock.</w:t>
      </w:r>
    </w:p>
    <w:p>
      <w:pPr>
        <w:spacing w:after="0" w:line="95" w:lineRule="exact"/>
        <w:rPr>
          <w:sz w:val="20"/>
          <w:szCs w:val="20"/>
          <w:color w:val="auto"/>
        </w:rPr>
      </w:pPr>
    </w:p>
    <w:p>
      <w:pPr>
        <w:ind w:left="1100" w:right="899" w:firstLine="318"/>
        <w:spacing w:after="0"/>
        <w:rPr>
          <w:sz w:val="20"/>
          <w:szCs w:val="20"/>
          <w:color w:val="auto"/>
        </w:rPr>
      </w:pPr>
      <w:r>
        <w:rPr>
          <w:rFonts w:ascii="Times New Roman" w:cs="Times New Roman" w:eastAsia="Times New Roman" w:hAnsi="Times New Roman"/>
          <w:sz w:val="16"/>
          <w:szCs w:val="16"/>
          <w:b w:val="1"/>
          <w:bCs w:val="1"/>
          <w:color w:val="auto"/>
        </w:rPr>
        <w:t>3.30 State Takeover Laws</w:t>
      </w:r>
      <w:r>
        <w:rPr>
          <w:rFonts w:ascii="Times New Roman" w:cs="Times New Roman" w:eastAsia="Times New Roman" w:hAnsi="Times New Roman"/>
          <w:sz w:val="16"/>
          <w:szCs w:val="16"/>
          <w:color w:val="auto"/>
        </w:rPr>
        <w:t>. The Company and the Company Subsidiaries have taken all action required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be taken by them in order to exempt this Agreement and the transactions contemplated hereby from the requirements of any “moratorium,” “control share,” “fair price,” “affiliate transaction,” “shareholder protection,” “anti -greenmail,” “business combination” or other antitakeover Laws of the State of Georgia or of any other state that are applicable to the transactions contemplated by this Agreement (any of the foregoing, “</w:t>
      </w:r>
      <w:r>
        <w:rPr>
          <w:rFonts w:ascii="Times New Roman" w:cs="Times New Roman" w:eastAsia="Times New Roman" w:hAnsi="Times New Roman"/>
          <w:sz w:val="16"/>
          <w:szCs w:val="16"/>
          <w:b w:val="1"/>
          <w:bCs w:val="1"/>
          <w:i w:val="1"/>
          <w:iCs w:val="1"/>
          <w:color w:val="auto"/>
        </w:rPr>
        <w:t>Takeover Statutes</w:t>
      </w:r>
      <w:r>
        <w:rPr>
          <w:rFonts w:ascii="Times New Roman" w:cs="Times New Roman" w:eastAsia="Times New Roman" w:hAnsi="Times New Roman"/>
          <w:sz w:val="16"/>
          <w:szCs w:val="16"/>
          <w:color w:val="auto"/>
        </w:rPr>
        <w:t>”). The Company and the Company Subsidiaries have taken all action required to be taken by the Company or the Company Subsidiaries in order to make this Agreement and the transactions contemplated hereby comply with, and the transactions contemplated hereby do comply with, the requirements of any provisions of their respective Charter Documents concerning “business combination,” “fair price,” “voting requirement,” “constituency requirement,” or other related provisions.</w:t>
      </w:r>
    </w:p>
    <w:p>
      <w:pPr>
        <w:spacing w:after="0" w:line="102" w:lineRule="exact"/>
        <w:rPr>
          <w:sz w:val="20"/>
          <w:szCs w:val="20"/>
          <w:color w:val="auto"/>
        </w:rPr>
      </w:pPr>
    </w:p>
    <w:p>
      <w:pPr>
        <w:ind w:left="1100" w:right="919" w:firstLine="318"/>
        <w:spacing w:after="0" w:line="241" w:lineRule="auto"/>
        <w:rPr>
          <w:sz w:val="20"/>
          <w:szCs w:val="20"/>
          <w:color w:val="auto"/>
        </w:rPr>
      </w:pPr>
      <w:r>
        <w:rPr>
          <w:rFonts w:ascii="Times New Roman" w:cs="Times New Roman" w:eastAsia="Times New Roman" w:hAnsi="Times New Roman"/>
          <w:sz w:val="16"/>
          <w:szCs w:val="16"/>
          <w:b w:val="1"/>
          <w:bCs w:val="1"/>
          <w:color w:val="auto"/>
        </w:rPr>
        <w:t>3.31 Accuracy of Information</w:t>
      </w:r>
      <w:r>
        <w:rPr>
          <w:rFonts w:ascii="Times New Roman" w:cs="Times New Roman" w:eastAsia="Times New Roman" w:hAnsi="Times New Roman"/>
          <w:sz w:val="16"/>
          <w:szCs w:val="16"/>
          <w:color w:val="auto"/>
        </w:rPr>
        <w:t>. None of the information supplied or to be supplied by the Company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inclusion or incorporation by reference in (a) the prospectus in connection with the issuance of shares of Parent Common Stock pursuant to this Agreement, and the proxy statement of the Company relating to the Company Shareholders’ Meeting, including any amendments or supplements thereto (the “</w:t>
      </w:r>
      <w:r>
        <w:rPr>
          <w:rFonts w:ascii="Times New Roman" w:cs="Times New Roman" w:eastAsia="Times New Roman" w:hAnsi="Times New Roman"/>
          <w:sz w:val="16"/>
          <w:szCs w:val="16"/>
          <w:b w:val="1"/>
          <w:bCs w:val="1"/>
          <w:i w:val="1"/>
          <w:iCs w:val="1"/>
          <w:color w:val="auto"/>
        </w:rPr>
        <w:t>Proxy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Statement/Prospectus</w:t>
      </w:r>
      <w:r>
        <w:rPr>
          <w:rFonts w:ascii="Times New Roman" w:cs="Times New Roman" w:eastAsia="Times New Roman" w:hAnsi="Times New Roman"/>
          <w:sz w:val="16"/>
          <w:szCs w:val="16"/>
          <w:color w:val="auto"/>
        </w:rPr>
        <w:t>”), on the date it (or any amendment or supplement thereto) is first mailed to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Shareholders or at the time of the Company Shareholders’ Meeting, (b) the registration statement on Form S-4 to register the Parent Common Stock to be issued pursuant to this Agreement (including any amendments or supplements thereto, the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when filed with the SEC and when it or any amendment thereto becomes effective under the Securities Act of 1933, as amended (the “</w:t>
      </w:r>
      <w:r>
        <w:rPr>
          <w:rFonts w:ascii="Times New Roman" w:cs="Times New Roman" w:eastAsia="Times New Roman" w:hAnsi="Times New Roman"/>
          <w:sz w:val="16"/>
          <w:szCs w:val="16"/>
          <w:b w:val="1"/>
          <w:bCs w:val="1"/>
          <w:i w:val="1"/>
          <w:iCs w:val="1"/>
          <w:color w:val="auto"/>
        </w:rPr>
        <w:t>Securities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Act</w:t>
      </w:r>
      <w:r>
        <w:rPr>
          <w:rFonts w:ascii="Times New Roman" w:cs="Times New Roman" w:eastAsia="Times New Roman" w:hAnsi="Times New Roman"/>
          <w:sz w:val="16"/>
          <w:szCs w:val="16"/>
          <w:color w:val="auto"/>
        </w:rPr>
        <w:t>”), or (c) the documents and financial statements of the Company incorporated by reference in the Proxy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Statement/Prospectus, the Registration Statement or any amendment or supplement thereto, will contain any untrue statement of a material fact or omit to state any material fact required to be stated therein or necessary in order to make the statements made therein, in light of the circumstances under which they are made, not misleading. Notwithstanding the foregoing, no representation or warranty is made by the Company with respect to statements made or incorporated by reference therein based on information supplied by or on behalf of Parent for inclusion in the Proxy Statement/Prospectus or the Registration Statement.</w:t>
      </w:r>
    </w:p>
    <w:p>
      <w:pPr>
        <w:spacing w:after="0" w:line="28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3.32 No Other Representations or Warranties</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ind w:left="1100" w:right="979" w:firstLine="320"/>
        <w:spacing w:after="0" w:line="243" w:lineRule="auto"/>
        <w:tabs>
          <w:tab w:leader="none" w:pos="1732"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for the representations and warranties made by the Company in this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 neither the Company nor any other Person makes any express or implied representation or warranty with respect to the Company and the Company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any representation or warranty to Parent or any of its Affiliates or representatives with respect to (i) any financial projection, forecast, estimate, budget or prospective</w:t>
      </w:r>
    </w:p>
    <w:p>
      <w:pPr>
        <w:spacing w:after="0" w:line="3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information relating to the Company or any of the Company Subsidiaries or their respective businesses, or</w:t>
      </w:r>
    </w:p>
    <w:p>
      <w:pPr>
        <w:spacing w:after="0" w:line="24" w:lineRule="exact"/>
        <w:rPr>
          <w:sz w:val="20"/>
          <w:szCs w:val="20"/>
          <w:color w:val="auto"/>
        </w:rPr>
      </w:pPr>
    </w:p>
    <w:p>
      <w:pPr>
        <w:jc w:val="both"/>
        <w:ind w:left="1100" w:right="939" w:firstLine="3"/>
        <w:spacing w:after="0" w:line="241" w:lineRule="auto"/>
        <w:tabs>
          <w:tab w:leader="none" w:pos="135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for the representations and warranties made by the Company in this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 any oral or written information presented to Parent or any of its Affiliates or representatives in the course of their due diligence investigation of the Company, the negotiation of this Agreement or in the course of the transactions contemplated by this Agreement.</w:t>
      </w:r>
    </w:p>
    <w:p>
      <w:pPr>
        <w:spacing w:after="0" w:line="101" w:lineRule="exact"/>
        <w:rPr>
          <w:rFonts w:ascii="Times New Roman" w:cs="Times New Roman" w:eastAsia="Times New Roman" w:hAnsi="Times New Roman"/>
          <w:sz w:val="16"/>
          <w:szCs w:val="16"/>
          <w:color w:val="auto"/>
        </w:rPr>
      </w:pPr>
    </w:p>
    <w:p>
      <w:pPr>
        <w:ind w:left="1100" w:right="1139" w:firstLine="320"/>
        <w:spacing w:after="0" w:line="263" w:lineRule="auto"/>
        <w:tabs>
          <w:tab w:leader="none" w:pos="1738"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acknowledges and agrees that neither Parent nor any other Person has made or is making any express or implied representation or warranty other than those contained in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ARTICLE 4</w:t>
      </w:r>
    </w:p>
    <w:p>
      <w:pPr>
        <w:spacing w:after="0" w:line="2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REPRESENTATIONS AND WARRANTIES OF PARENT</w:t>
      </w:r>
    </w:p>
    <w:p>
      <w:pPr>
        <w:spacing w:after="0" w:line="109" w:lineRule="exact"/>
        <w:rPr>
          <w:sz w:val="20"/>
          <w:szCs w:val="20"/>
          <w:color w:val="auto"/>
        </w:rPr>
      </w:pPr>
    </w:p>
    <w:p>
      <w:pPr>
        <w:ind w:left="1100" w:right="919" w:firstLine="318"/>
        <w:spacing w:after="0"/>
        <w:rPr>
          <w:sz w:val="20"/>
          <w:szCs w:val="20"/>
          <w:color w:val="auto"/>
        </w:rPr>
      </w:pPr>
      <w:r>
        <w:rPr>
          <w:rFonts w:ascii="Times New Roman" w:cs="Times New Roman" w:eastAsia="Times New Roman" w:hAnsi="Times New Roman"/>
          <w:sz w:val="16"/>
          <w:szCs w:val="16"/>
          <w:color w:val="auto"/>
        </w:rPr>
        <w:t>Except as disclosed in (a) the applicable section of the disclosure memorandum delivered by Parent to the Company immediately prior to the execution of this Agreement (the “</w:t>
      </w:r>
      <w:r>
        <w:rPr>
          <w:rFonts w:ascii="Times New Roman" w:cs="Times New Roman" w:eastAsia="Times New Roman" w:hAnsi="Times New Roman"/>
          <w:sz w:val="16"/>
          <w:szCs w:val="16"/>
          <w:b w:val="1"/>
          <w:bCs w:val="1"/>
          <w:i w:val="1"/>
          <w:iCs w:val="1"/>
          <w:color w:val="auto"/>
        </w:rPr>
        <w:t>Parent Disclosure Memorandum</w:t>
      </w:r>
      <w:r>
        <w:rPr>
          <w:rFonts w:ascii="Times New Roman" w:cs="Times New Roman" w:eastAsia="Times New Roman" w:hAnsi="Times New Roman"/>
          <w:sz w:val="16"/>
          <w:szCs w:val="16"/>
          <w:color w:val="auto"/>
        </w:rPr>
        <w:t xml:space="preserve">”) (it being understood that any disclosure made in the Parent Disclosure Memorandum with respect to a section of this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shall be deemed to apply to and qualify (i) the section set forth in this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to which it corresponds in number and (ii) (1) any other section of this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specifically referenced or cross-referenced and (2) any other section of this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to the extent it is reasonably apparent on the face of the disclosure (notwithstanding the absence of a specific reference or cross-reference) that such disclosure applies to such other section) or (b) any final registration statement, prospectus, report, schedule and definitive proxy statement filed with or furnished by Parent to the SEC since January 1, 2023 that is publicly available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Parent hereby represents and warrants to the Company as follows:</w:t>
      </w:r>
    </w:p>
    <w:p>
      <w:pPr>
        <w:spacing w:after="0" w:line="1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4.1 Organization, Standing and Power</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ind w:left="1100" w:right="939" w:firstLine="318"/>
        <w:spacing w:after="0"/>
        <w:rPr>
          <w:sz w:val="20"/>
          <w:szCs w:val="20"/>
          <w:color w:val="auto"/>
        </w:rPr>
      </w:pPr>
      <w:r>
        <w:rPr>
          <w:rFonts w:ascii="Times New Roman" w:cs="Times New Roman" w:eastAsia="Times New Roman" w:hAnsi="Times New Roman"/>
          <w:sz w:val="16"/>
          <w:szCs w:val="16"/>
          <w:color w:val="auto"/>
        </w:rPr>
        <w:t>Parent is a corporation duly organized, validly existing, and in good standing under the laws of the State of Georgia and is a bank holding company duly registered under the BHC Act. Parent Bank is a South Carolina state- chartered bank duly organized, validly existing and in good standing under the laws of the State of South Carolina. Each of Parent and Parent Bank has the corporate power and authority to carry on its business as presently conducted and to own, lease and operate its properties. Each of Parent and Parent Bank is duly qualified or licensed to transact business as a foreign corporation in good standing in the states of the United States and foreign jurisdictions where the character of the properties it owns or the nature or conduct of its business requires it to be so qualified or licensed, except for such jurisdictions where the failure to be so qualified or licensed is not reasonably likely to have, individually or in the aggregate, a Material Adverse Effect on Parent. Parent Bank is an “insured depository institution” as defined in the Federal Deposit Insurance Act, and the deposits of Parent Bank are insured by the FDIC to the fullest extent permitted by Law, all premiums and assessments required to be paid in connection therewith have been paid when due in all material respects, and to Parent’s Knowledge, no proceedings for the termination of such insurance are pending or threatened.</w:t>
      </w:r>
    </w:p>
    <w:p>
      <w:pPr>
        <w:spacing w:after="0" w:line="2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4.2 Authority of Parent; No Conflicts; Consents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39" w:firstLine="320"/>
        <w:spacing w:after="0"/>
        <w:tabs>
          <w:tab w:leader="none" w:pos="173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has full corporate power and authority to execute and deliver this Agreement and to consummate the transactions contemplated hereby. The execution and delivery of this Agreement and the consummation of the transactions contemplated hereby (including the Merger and the Bank Merger) have been duly and validly approved by the Board of Directors of Parent, and the Board of Directors of Parent has adopted this Agreement. Except for the adoption and approval of the Bank Merger Agreement by Parent as Parent Bank’s sole shareholder, no other corporate proceedings on the part of Parent are necessary to approve this Agreement or to consummate the transactions contemplated hereby. This Agreement has been duly and validly executed and delivered by Parent and (assuming due authorization, execution and delivery by the Company) constitutes a valid and binding obligation of Parent, enforceable against Parent in accordance with its terms (except in all cases as such enforceability may be limited by the Enforceability Exceptions).</w:t>
      </w:r>
    </w:p>
    <w:p>
      <w:pPr>
        <w:spacing w:after="0" w:line="292" w:lineRule="exact"/>
        <w:rPr>
          <w:rFonts w:ascii="Times New Roman" w:cs="Times New Roman" w:eastAsia="Times New Roman" w:hAnsi="Times New Roman"/>
          <w:sz w:val="16"/>
          <w:szCs w:val="16"/>
          <w:color w:val="auto"/>
        </w:rPr>
      </w:pPr>
    </w:p>
    <w:p>
      <w:pPr>
        <w:ind w:left="1100" w:right="1039" w:firstLine="320"/>
        <w:spacing w:after="0" w:line="279" w:lineRule="auto"/>
        <w:tabs>
          <w:tab w:leader="none" w:pos="1741"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and delivery of this Agreement by Parent, nor the consummation by Parent of the transactions contemplated hereby (including the Bank Merger), nor compliance by Parent with any</w:t>
      </w:r>
    </w:p>
    <w:p>
      <w:pPr>
        <w:spacing w:after="0" w:line="2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47" w:name="page148"/>
    <w:bookmarkEnd w:id="14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spacing w:after="0" w:line="244" w:lineRule="auto"/>
        <w:rPr>
          <w:sz w:val="20"/>
          <w:szCs w:val="20"/>
          <w:color w:val="auto"/>
        </w:rPr>
      </w:pPr>
      <w:r>
        <w:rPr>
          <w:rFonts w:ascii="Times New Roman" w:cs="Times New Roman" w:eastAsia="Times New Roman" w:hAnsi="Times New Roman"/>
          <w:sz w:val="16"/>
          <w:szCs w:val="16"/>
          <w:color w:val="auto"/>
        </w:rPr>
        <w:t>of the provisions hereof, will (i) conflict with or result in a breach of any provision of Parent’s Charter Documents; (ii) violate, conflict with, constitute or result in a default under, require any consent pursuant to, or result in the creation of any Lien on any asset or property of Parent or any of its Subsidiaries under, any Contract or Permit of Parent or any of its Subsidiaries; or (iii) subject to receipt of the Regulatory Approvals, constitute or result in a default under, or require any consent pursuant to, any Law or Order applicable to Parent or any of its Subsidiaries or any of their respective properties or assets, except in the case of clauses (ii) and (iii), as would not reasonably be expected to have, individually or in the aggregate, a Material Adverse Effect on Parent.</w:t>
      </w:r>
    </w:p>
    <w:p>
      <w:pPr>
        <w:spacing w:after="0" w:line="287" w:lineRule="exact"/>
        <w:rPr>
          <w:sz w:val="20"/>
          <w:szCs w:val="20"/>
          <w:color w:val="auto"/>
        </w:rPr>
      </w:pPr>
    </w:p>
    <w:p>
      <w:pPr>
        <w:ind w:left="1100" w:right="1099" w:firstLine="320"/>
        <w:spacing w:after="0" w:line="248" w:lineRule="auto"/>
        <w:tabs>
          <w:tab w:leader="none" w:pos="1732"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the Regulatory Approvals, no consents or approvals of or filings or registrations with any Governmental Authority are necessary in connection with the consummation by Parent of the transactions contemplated by this Agreement (including the Merger and the Bank Merger).</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4.3 Capitalization</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19" w:firstLine="320"/>
        <w:spacing w:after="0" w:line="239" w:lineRule="auto"/>
        <w:tabs>
          <w:tab w:leader="none" w:pos="1723"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April 17, 2026, the authorized capital stock of Parent consists of (a) 200,000,000 shares of common stock, $1.00 par value per share, of Parent (the “</w:t>
      </w:r>
      <w:r>
        <w:rPr>
          <w:rFonts w:ascii="Times New Roman" w:cs="Times New Roman" w:eastAsia="Times New Roman" w:hAnsi="Times New Roman"/>
          <w:sz w:val="16"/>
          <w:szCs w:val="16"/>
          <w:b w:val="1"/>
          <w:bCs w:val="1"/>
          <w:i w:val="1"/>
          <w:iCs w:val="1"/>
          <w:color w:val="auto"/>
        </w:rPr>
        <w:t>Parent Common Stock</w:t>
      </w:r>
      <w:r>
        <w:rPr>
          <w:rFonts w:ascii="Times New Roman" w:cs="Times New Roman" w:eastAsia="Times New Roman" w:hAnsi="Times New Roman"/>
          <w:sz w:val="16"/>
          <w:szCs w:val="16"/>
          <w:color w:val="auto"/>
        </w:rPr>
        <w:t>”), of which (i) 119,686,624 shares are issued and outstanding, (ii) 578,082 shares are reserved for issuance upon the completion of the deferral periods in Parent’s deferred compensation plan, (iii) 125,414 shares are reserved for issuance upon the exercise of outstanding stock options of Parent, and (iv) 1,267,035 shares are reserved for issuance upon vesting of outstanding time and performance restricted stock units, (b) 30,000,000 shares of non-voting common stock, $1.00 par value per share, of which none have been issued, and (c) 10,000,000 shares of preferred stock, $1.00 par value per share, of which no shares are issued and outstanding. All of the issued and outstanding shares of Parent Common Stock have been duly authorized and validly issued and are fully paid, nonassessable and free of preemptive rights, with no personal liability attaching to the ownership thereof. The Parent Common Stock to be issued in exchange for Company Common Stock, when issued in accordance with the terms of this Agreement, will be registered under the Securities Act and will be duly authorized, validly issued, fully paid and nonassessable and will not be subject to any preemptive rights. All shares of Parent Common Stock issued and outstanding have been issued in compliance with and not in violation of any applicable federal or state securities laws. As of the date hereof there are, and as of the Effective Time there will be, sufficient authorized and unissued Parent Common Stock to enable Parent to issue the Merger Consideration as contemplated in this Agreement. No holder of capital stock of Parent will have dissenters’ rights with respect to any of the transactions contemplated by this Agreement.</w:t>
      </w:r>
    </w:p>
    <w:p>
      <w:pPr>
        <w:spacing w:after="0" w:line="109" w:lineRule="exact"/>
        <w:rPr>
          <w:rFonts w:ascii="Times New Roman" w:cs="Times New Roman" w:eastAsia="Times New Roman" w:hAnsi="Times New Roman"/>
          <w:sz w:val="16"/>
          <w:szCs w:val="16"/>
          <w:color w:val="auto"/>
        </w:rPr>
      </w:pPr>
    </w:p>
    <w:p>
      <w:pPr>
        <w:ind w:left="1100" w:right="899" w:firstLine="320"/>
        <w:spacing w:after="0" w:line="245" w:lineRule="auto"/>
        <w:tabs>
          <w:tab w:leader="none" w:pos="1741"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owns, directly or indirectly, all of the issued and outstanding shares of capital stock or other equity ownership interests of each Subsidiary of Parent, free and clear of any Liens, and all of such shares or equity ownership interests are duly authorized and validly issued and are fully paid, nonassessable (except, with respect to Subsidiaries of Parent that are insured depository institutions, as provided under 12 U.S.C. § 55 or any comparable provision of applicable state law) and free of preemptive rights, with no personal liability attaching to the ownership thereof.</w:t>
      </w:r>
    </w:p>
    <w:p>
      <w:pPr>
        <w:spacing w:after="0" w:line="98" w:lineRule="exact"/>
        <w:rPr>
          <w:sz w:val="20"/>
          <w:szCs w:val="20"/>
          <w:color w:val="auto"/>
        </w:rPr>
      </w:pPr>
    </w:p>
    <w:p>
      <w:pPr>
        <w:ind w:left="1100" w:right="899" w:firstLine="318"/>
        <w:spacing w:after="0"/>
        <w:rPr>
          <w:sz w:val="20"/>
          <w:szCs w:val="20"/>
          <w:color w:val="auto"/>
        </w:rPr>
      </w:pPr>
      <w:r>
        <w:rPr>
          <w:rFonts w:ascii="Times New Roman" w:cs="Times New Roman" w:eastAsia="Times New Roman" w:hAnsi="Times New Roman"/>
          <w:sz w:val="16"/>
          <w:szCs w:val="16"/>
          <w:b w:val="1"/>
          <w:bCs w:val="1"/>
          <w:color w:val="auto"/>
        </w:rPr>
        <w:t>4.4 Reports</w:t>
      </w:r>
      <w:r>
        <w:rPr>
          <w:rFonts w:ascii="Times New Roman" w:cs="Times New Roman" w:eastAsia="Times New Roman" w:hAnsi="Times New Roman"/>
          <w:sz w:val="16"/>
          <w:szCs w:val="16"/>
          <w:color w:val="auto"/>
        </w:rPr>
        <w:t>. Parent and each of its Subsidiaries have timely filed (or furnished) all material reports,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registrations and statements, together with any amendments required to be made with respect thereto, that it was required to file since January 1, 2023 with any Regulatory Agency, and has paid all applicable fees, premiums and assessments due and payable thereto, except where the failure to file such report, registration or statement or to pay such fees, premiums and assessments, either individually or in the aggregate, would not reasonably be likely to have a Material Adverse Effect on Parent. Except for ordinary course examinations, (a) no Regulatory Agency or other Governmental Authority has initiated or has pending any public formal or public informal order or enforcement action regarding the business, disclosures or operations of Parent since January 1, 2023, (b) neither Parent nor any of its Subsidiaries is subject to any cease-and- desist or other public formal or public informal order or public action issued by, or is a party to any public written agreement, public consent agreement, public operating agreement or public memorandum of understanding with, any Regulatory Agency since January 1, 2023, or since January 1, 2023, has been ordered to pay any civil money penalty by any Regulatory Agency and (c) there is no material unresolved written violation, criticism, comment or exception by any Regulatory Agency or other Governmental Authority with respect to any report or statement relating to any examinations or inspections of Parent, in each case of clauses (a) through (c) which would reasonably be likely to have, either individually or in the aggregate, a Material Adverse Effect on Parent.</w:t>
      </w:r>
    </w:p>
    <w:p>
      <w:pPr>
        <w:spacing w:after="0" w:line="200" w:lineRule="exact"/>
        <w:rPr>
          <w:sz w:val="20"/>
          <w:szCs w:val="20"/>
          <w:color w:val="auto"/>
        </w:rPr>
      </w:pPr>
    </w:p>
    <w:p>
      <w:pPr>
        <w:spacing w:after="0" w:line="31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4.5 Litigation; Orders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1079" w:firstLine="320"/>
        <w:spacing w:after="0" w:line="259" w:lineRule="auto"/>
        <w:tabs>
          <w:tab w:leader="none" w:pos="1732"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individually or in the aggregate, to have a Material Adverse Effect on Parent, there is no Proceeding pending or, to Parent’s Knowledge, threatened either</w:t>
      </w:r>
    </w:p>
    <w:p>
      <w:pPr>
        <w:ind w:left="1100" w:right="939" w:firstLine="3"/>
        <w:spacing w:after="0" w:line="252" w:lineRule="auto"/>
        <w:tabs>
          <w:tab w:leader="none" w:pos="1302"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Parent or any of its Subsidiaries, or to which any assets, interests or rights of any of them may be subject, or (ii) seeking to prevent, materially alter or delay any of the transactions contemplated by this Agreement.</w:t>
      </w:r>
    </w:p>
    <w:p>
      <w:pPr>
        <w:spacing w:after="0" w:line="106" w:lineRule="exact"/>
        <w:rPr>
          <w:rFonts w:ascii="Times New Roman" w:cs="Times New Roman" w:eastAsia="Times New Roman" w:hAnsi="Times New Roman"/>
          <w:sz w:val="16"/>
          <w:szCs w:val="16"/>
          <w:color w:val="auto"/>
        </w:rPr>
      </w:pPr>
    </w:p>
    <w:p>
      <w:pPr>
        <w:ind w:left="1100" w:right="959" w:firstLine="320"/>
        <w:spacing w:after="0" w:line="258" w:lineRule="auto"/>
        <w:tabs>
          <w:tab w:leader="none" w:pos="1738"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Order either (i) outstanding against Parent or any of its Subsidiaries, or to which any assets, interest or right of any of them may be subject, or (ii) seeking to prevent, materially alter or delay any of the transactions contemplated by this Agreement that would reasonably be expected to be material to Parent and its Subsidiaries, taken as a whole.</w:t>
      </w:r>
    </w:p>
    <w:p>
      <w:pPr>
        <w:spacing w:after="0" w:line="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4.6 SEC Filings; Financial Statements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19" w:firstLine="320"/>
        <w:spacing w:after="0" w:line="251" w:lineRule="auto"/>
        <w:tabs>
          <w:tab w:leader="none" w:pos="1732"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has timely filed (or furnished, as applicable) all registration statements, prospectuses, forms, reports, schedules, definitive proxy statements and documents required to be filed (or furnished, as applicable) with the SEC by it under the Securities Act or the Exchange Act, as the case may be, from and after January 1, 2023 (collectively, the “</w:t>
      </w:r>
      <w:r>
        <w:rPr>
          <w:rFonts w:ascii="Times New Roman" w:cs="Times New Roman" w:eastAsia="Times New Roman" w:hAnsi="Times New Roman"/>
          <w:sz w:val="16"/>
          <w:szCs w:val="16"/>
          <w:b w:val="1"/>
          <w:bCs w:val="1"/>
          <w:i w:val="1"/>
          <w:iCs w:val="1"/>
          <w:color w:val="auto"/>
        </w:rPr>
        <w:t>Parent SEC Filings</w:t>
      </w:r>
      <w:r>
        <w:rPr>
          <w:rFonts w:ascii="Times New Roman" w:cs="Times New Roman" w:eastAsia="Times New Roman" w:hAnsi="Times New Roman"/>
          <w:sz w:val="16"/>
          <w:szCs w:val="16"/>
          <w:color w:val="auto"/>
        </w:rPr>
        <w:t>”). Each Parent SEC Filing, as amended or supplemented if applicable, (i) as of its date, or, if amended or supplemented, as of the date of the most recent amendment or supplement thereto, complied in all material respects with the requirements of the Securities Act or the Exchange Act, as the case may be, and (ii) did not, at the time it was filed (or became effective in the case of registration statements), or, if amended or supplemented, as of the date of the most recent amendment or supplement thereto, contain any untrue statement of a material fact or omit to state a material fact required to be stated therein or necessary in order to make the statements made therein, in light of the circumstances under which they were made, not misleading. As of the date of this Agreement, there are no outstanding comments from or material unresolved issues raised by the SEC with respect to any of the Parent SEC Filings.</w:t>
      </w:r>
    </w:p>
    <w:p>
      <w:pPr>
        <w:spacing w:after="0" w:line="299" w:lineRule="exact"/>
        <w:rPr>
          <w:rFonts w:ascii="Times New Roman" w:cs="Times New Roman" w:eastAsia="Times New Roman" w:hAnsi="Times New Roman"/>
          <w:sz w:val="16"/>
          <w:szCs w:val="16"/>
          <w:color w:val="auto"/>
        </w:rPr>
      </w:pPr>
    </w:p>
    <w:p>
      <w:pPr>
        <w:ind w:left="1100" w:right="899" w:firstLine="320"/>
        <w:spacing w:after="0" w:line="253" w:lineRule="auto"/>
        <w:tabs>
          <w:tab w:leader="none" w:pos="1741"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consolidated financial statements (including any notes thereto) contained in the Parent SEC Filings, as amended, supplemented or restated, if applicable, was prepared in accordance with GAAP applied (except as may be indicated in the notes thereto and, in the case of unaudited quarterly financial statements, as permitted by Form 10-Q under the Exchange Act) on a consistent basis throughout the periods indicated, and each of such consolidated financial statements, as amended, supplemented or restated, if applicable, presented fairly, in all material respects, the consolidated financial position, results of operations, cash flows and changes in shareholders’ equity of Parent, for the respective periods or as of the respective dates set forth therein.</w:t>
      </w:r>
    </w:p>
    <w:p>
      <w:pPr>
        <w:spacing w:after="0" w:line="92" w:lineRule="exact"/>
        <w:rPr>
          <w:rFonts w:ascii="Times New Roman" w:cs="Times New Roman" w:eastAsia="Times New Roman" w:hAnsi="Times New Roman"/>
          <w:sz w:val="16"/>
          <w:szCs w:val="16"/>
          <w:color w:val="auto"/>
        </w:rPr>
      </w:pPr>
    </w:p>
    <w:p>
      <w:pPr>
        <w:ind w:left="1100" w:right="1039" w:firstLine="320"/>
        <w:spacing w:after="0" w:line="256" w:lineRule="auto"/>
        <w:tabs>
          <w:tab w:leader="none" w:pos="1732"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maintains a system of internal control over financial reporting (as defined in Rules 13a-15(f) and 15d-15(f) under the Exchange Act) sufficient to provide reasonable assurance regarding the reliability of financial reporting and the preparation of financial statements for external purposes in accordance with GAAP. Parent maintains effective disclosure controls and procedures (as defined in Rules 13a-15(e) and 15d-15(e) under the Exchange Act) as required under the Exchange Act.</w:t>
      </w:r>
    </w:p>
    <w:p>
      <w:pPr>
        <w:spacing w:after="0" w:line="102" w:lineRule="exact"/>
        <w:rPr>
          <w:rFonts w:ascii="Times New Roman" w:cs="Times New Roman" w:eastAsia="Times New Roman" w:hAnsi="Times New Roman"/>
          <w:sz w:val="16"/>
          <w:szCs w:val="16"/>
          <w:color w:val="auto"/>
        </w:rPr>
      </w:pPr>
    </w:p>
    <w:p>
      <w:pPr>
        <w:ind w:left="1100" w:right="919" w:firstLine="320"/>
        <w:spacing w:after="0" w:line="252" w:lineRule="auto"/>
        <w:tabs>
          <w:tab w:leader="none" w:pos="1741"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January 1, 2023, (i) neither Parent nor any of its Subsidiaries, nor to Parent’s Knowledge, any director, executive officer, auditor, accountant or representative of Parent or any of its Subsidiaries, has received or otherwise had or obtained knowledge of any material complaint, allegation, assertion or claim, whether written or, to Parent’s Knowledge, oral, regarding the accounting or auditing practices, procedures, methodologies or methods (including with respect to loan loss reserves, write-downs, charge-offs or accruals) of Parent or any of its Subsidiaries or their respective internal accounting controls, including any material complaint, allegation, assertion, or auditing practices, and (ii) no attorney representing Parent or its Subsidiaries has reported evidence of a material violation of securities laws, breach of fiduciary duty or similar violation by Parent or any of its officers, directors, employees or agents to the Board of Directors of Parent or any committee thereof or to Parent’s Knowledge, to any director or officer of Parent.</w:t>
      </w:r>
    </w:p>
    <w:p>
      <w:pPr>
        <w:spacing w:after="0" w:line="105" w:lineRule="exact"/>
        <w:rPr>
          <w:rFonts w:ascii="Times New Roman" w:cs="Times New Roman" w:eastAsia="Times New Roman" w:hAnsi="Times New Roman"/>
          <w:sz w:val="16"/>
          <w:szCs w:val="16"/>
          <w:color w:val="auto"/>
        </w:rPr>
      </w:pPr>
    </w:p>
    <w:p>
      <w:pPr>
        <w:ind w:left="1100" w:right="899" w:firstLine="320"/>
        <w:spacing w:after="0" w:line="263" w:lineRule="auto"/>
        <w:tabs>
          <w:tab w:leader="none" w:pos="1732"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any of its Subsidiaries has taken any action, nor are they aware of any fact or circumstance, that could reasonably be expected to prevent the Merger from qualifying as a “reorganization” within the meaning of Section 368(a) of the Code.</w:t>
      </w:r>
    </w:p>
    <w:p>
      <w:pPr>
        <w:spacing w:after="0" w:line="3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right="939" w:firstLine="318"/>
        <w:spacing w:after="0" w:line="249" w:lineRule="auto"/>
        <w:rPr>
          <w:sz w:val="20"/>
          <w:szCs w:val="20"/>
          <w:color w:val="auto"/>
        </w:rPr>
      </w:pPr>
      <w:r>
        <w:rPr>
          <w:rFonts w:ascii="Times New Roman" w:cs="Times New Roman" w:eastAsia="Times New Roman" w:hAnsi="Times New Roman"/>
          <w:sz w:val="16"/>
          <w:szCs w:val="16"/>
          <w:b w:val="1"/>
          <w:bCs w:val="1"/>
          <w:color w:val="auto"/>
        </w:rPr>
        <w:t>4.7 Brokers and Finders</w:t>
      </w:r>
      <w:r>
        <w:rPr>
          <w:rFonts w:ascii="Times New Roman" w:cs="Times New Roman" w:eastAsia="Times New Roman" w:hAnsi="Times New Roman"/>
          <w:sz w:val="16"/>
          <w:szCs w:val="16"/>
          <w:color w:val="auto"/>
        </w:rPr>
        <w:t>. Neither Parent nor any of its Subsidiaries has engaged any broker, finder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investment banker in connection with this Agreement or the transactions contemplated by this Agreement who is entitled to any brokerage, finder’s or other fee or commission other than any such fee or commission that will be paid solely by Parent or such Subsidiary.</w:t>
      </w:r>
    </w:p>
    <w:p>
      <w:pPr>
        <w:spacing w:after="0" w:line="94" w:lineRule="exact"/>
        <w:rPr>
          <w:sz w:val="20"/>
          <w:szCs w:val="20"/>
          <w:color w:val="auto"/>
        </w:rPr>
      </w:pPr>
    </w:p>
    <w:p>
      <w:pPr>
        <w:ind w:left="1100" w:right="1079" w:firstLine="318"/>
        <w:spacing w:after="0" w:line="257" w:lineRule="auto"/>
        <w:rPr>
          <w:sz w:val="20"/>
          <w:szCs w:val="20"/>
          <w:color w:val="auto"/>
        </w:rPr>
      </w:pPr>
      <w:r>
        <w:rPr>
          <w:rFonts w:ascii="Times New Roman" w:cs="Times New Roman" w:eastAsia="Times New Roman" w:hAnsi="Times New Roman"/>
          <w:sz w:val="16"/>
          <w:szCs w:val="16"/>
          <w:b w:val="1"/>
          <w:bCs w:val="1"/>
          <w:color w:val="auto"/>
        </w:rPr>
        <w:t>4.8 Ownership of Company Common Stock</w:t>
      </w:r>
      <w:r>
        <w:rPr>
          <w:rFonts w:ascii="Times New Roman" w:cs="Times New Roman" w:eastAsia="Times New Roman" w:hAnsi="Times New Roman"/>
          <w:sz w:val="16"/>
          <w:szCs w:val="16"/>
          <w:color w:val="auto"/>
        </w:rPr>
        <w:t>. Neither Parent nor any of its Subsidiaries has owned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more than ten percent (10%) of the outstanding shares of Company Common Stock at any time during the past three (3) calendar years.</w:t>
      </w:r>
    </w:p>
    <w:p>
      <w:pPr>
        <w:spacing w:after="0" w:line="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4.9 Compliance with Laws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39" w:firstLine="320"/>
        <w:spacing w:after="0"/>
        <w:tabs>
          <w:tab w:leader="none" w:pos="1732"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either individually or in the aggregate, reasonably be expected to have a Material Adverse Effect on Parent, Parent and each of its Subsidiaries are, and have been since January 1, 2023, in compliance in all material respects with all applicable Laws and Orders, including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and all agency requirements relating to the origination, sale and servicing of mortgage and consumer loans and all requirements of the Coronavirus Aid, Relief, and Economic Security (CARES) Act and the Paycheck Protection Program.</w:t>
      </w:r>
    </w:p>
    <w:p>
      <w:pPr>
        <w:spacing w:after="0" w:line="288" w:lineRule="exact"/>
        <w:rPr>
          <w:rFonts w:ascii="Times New Roman" w:cs="Times New Roman" w:eastAsia="Times New Roman" w:hAnsi="Times New Roman"/>
          <w:sz w:val="16"/>
          <w:szCs w:val="16"/>
          <w:color w:val="auto"/>
        </w:rPr>
      </w:pPr>
    </w:p>
    <w:p>
      <w:pPr>
        <w:ind w:left="1100" w:right="919" w:firstLine="320"/>
        <w:spacing w:after="0" w:line="241" w:lineRule="auto"/>
        <w:tabs>
          <w:tab w:leader="none" w:pos="1741"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each of its Subsidiaries hold, and have at all times since January 1, 2023 held,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and no suspension or cancellation of any such necessary license, franchise, Permit or authorization is pending or, to Parent’s Knowledge, threatened, except, in each case, where the failure to hold, suspension of or cancellation of such licenses, franchises, Permits and authorizations (or the failure to pay any fees or assessments) would not, either individually or in the aggregate, reasonably be expected to have a Material Adverse Effect on Parent.</w:t>
      </w:r>
    </w:p>
    <w:p>
      <w:pPr>
        <w:spacing w:after="0" w:line="106" w:lineRule="exact"/>
        <w:rPr>
          <w:rFonts w:ascii="Times New Roman" w:cs="Times New Roman" w:eastAsia="Times New Roman" w:hAnsi="Times New Roman"/>
          <w:sz w:val="16"/>
          <w:szCs w:val="16"/>
          <w:color w:val="auto"/>
        </w:rPr>
      </w:pPr>
    </w:p>
    <w:p>
      <w:pPr>
        <w:ind w:left="1100" w:right="919" w:firstLine="320"/>
        <w:spacing w:after="0" w:line="241" w:lineRule="auto"/>
        <w:tabs>
          <w:tab w:leader="none" w:pos="1732"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Parent, any Subsidiary of Parent nor, to Parent’s Knowledge, any of their respective directors, officers, employees, agents or other Persons acting at the direction of Parent or a Subsidiary of Parent has: (i) directly or indirectly, used any corporate funds for unlawful contributions, gifts, entertainment or other unlawful expenses relating to foreign or domestic political activity; (ii) made any direct or indirect unlawful payments to any foreign or domestic governmental officials or employees or to any foreign or domestic political parties or campaigns from corporate funds; (iii) violated any provision of the Foreign Corrupt Practices Act; or (iv) made any other unlawful bribe, rebate, payoff, influence payment, kickback or other material unlawful payment to any foreign or domestic government official or employee.</w:t>
      </w:r>
    </w:p>
    <w:p>
      <w:pPr>
        <w:spacing w:after="0" w:line="104" w:lineRule="exact"/>
        <w:rPr>
          <w:sz w:val="20"/>
          <w:szCs w:val="20"/>
          <w:color w:val="auto"/>
        </w:rPr>
      </w:pPr>
    </w:p>
    <w:p>
      <w:pPr>
        <w:ind w:left="1100" w:right="1319" w:firstLine="318"/>
        <w:spacing w:after="0" w:line="257" w:lineRule="auto"/>
        <w:rPr>
          <w:sz w:val="20"/>
          <w:szCs w:val="20"/>
          <w:color w:val="auto"/>
        </w:rPr>
      </w:pPr>
      <w:r>
        <w:rPr>
          <w:rFonts w:ascii="Times New Roman" w:cs="Times New Roman" w:eastAsia="Times New Roman" w:hAnsi="Times New Roman"/>
          <w:sz w:val="16"/>
          <w:szCs w:val="16"/>
          <w:b w:val="1"/>
          <w:bCs w:val="1"/>
          <w:color w:val="auto"/>
        </w:rPr>
        <w:t>4.10 Absence of Certain Changes or Events</w:t>
      </w:r>
      <w:r>
        <w:rPr>
          <w:rFonts w:ascii="Times New Roman" w:cs="Times New Roman" w:eastAsia="Times New Roman" w:hAnsi="Times New Roman"/>
          <w:sz w:val="16"/>
          <w:szCs w:val="16"/>
          <w:color w:val="auto"/>
        </w:rPr>
        <w:t>. Since December 31, 2025, no event or events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occurred that have had or would reasonably be likely to have, either individually or in the aggregate, a Material Adverse Effect on Parent.</w:t>
      </w:r>
    </w:p>
    <w:p>
      <w:pPr>
        <w:spacing w:after="0" w:line="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4.11 No Other Representations or Warranties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899" w:firstLine="320"/>
        <w:spacing w:after="0" w:line="241" w:lineRule="auto"/>
        <w:tabs>
          <w:tab w:leader="none" w:pos="1732"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for the representations and warranties made by Parent in this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neither Parent nor any other Person makes any express or implied representation or warranty with respect to Parent, its Subsidiaries or their respective businesses, operations, assets, liabilities, conditions (financial or otherwise) or prospects, and Parent hereby disclaims any such other representations or warranties. In particular, without limiting the foregoing disclaimer, neither Parent nor any other Person makes or has made any representation or warranty to the Company or any of its Affiliates or representatives with respect to (i) any financial projection, forecast, estimate, budget or prospective information relating to Parent or any of its Subsidiaries or their respective businesses, or (ii) except for the representations and warranties made by Parent in this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any oral or written information presented to the Company or any of its Affiliates or representatives</w:t>
      </w:r>
    </w:p>
    <w:p>
      <w:pPr>
        <w:spacing w:after="0" w:line="200" w:lineRule="exact"/>
        <w:rPr>
          <w:sz w:val="20"/>
          <w:szCs w:val="20"/>
          <w:color w:val="auto"/>
        </w:rPr>
      </w:pPr>
    </w:p>
    <w:p>
      <w:pPr>
        <w:spacing w:after="0" w:line="3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50" w:name="page151"/>
    <w:bookmarkEnd w:id="15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339"/>
        <w:spacing w:after="0" w:line="279" w:lineRule="auto"/>
        <w:rPr>
          <w:sz w:val="20"/>
          <w:szCs w:val="20"/>
          <w:color w:val="auto"/>
        </w:rPr>
      </w:pPr>
      <w:r>
        <w:rPr>
          <w:rFonts w:ascii="Times New Roman" w:cs="Times New Roman" w:eastAsia="Times New Roman" w:hAnsi="Times New Roman"/>
          <w:sz w:val="16"/>
          <w:szCs w:val="16"/>
          <w:color w:val="auto"/>
        </w:rPr>
        <w:t>in the course of their due diligence investigation of Parent, the negotiation of this Agreement or in the course of the transactions contemplated by this Agreement.</w:t>
      </w:r>
    </w:p>
    <w:p>
      <w:pPr>
        <w:spacing w:after="0" w:line="73" w:lineRule="exact"/>
        <w:rPr>
          <w:sz w:val="20"/>
          <w:szCs w:val="20"/>
          <w:color w:val="auto"/>
        </w:rPr>
      </w:pPr>
    </w:p>
    <w:p>
      <w:pPr>
        <w:ind w:left="1100" w:right="1199" w:firstLine="320"/>
        <w:spacing w:after="0" w:line="263" w:lineRule="auto"/>
        <w:tabs>
          <w:tab w:leader="none" w:pos="1741"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acknowledges and agrees that neither the Company nor any other Person has made or is making any express or implied representation or warranty other than those contained in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ARTICLE 5</w:t>
      </w:r>
    </w:p>
    <w:p>
      <w:pPr>
        <w:spacing w:after="0" w:line="2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CONDUCT OF BUSINESS PENDING CONSUMMATION</w:t>
      </w:r>
    </w:p>
    <w:p>
      <w:pPr>
        <w:spacing w:after="0" w:line="107" w:lineRule="exact"/>
        <w:rPr>
          <w:sz w:val="20"/>
          <w:szCs w:val="20"/>
          <w:color w:val="auto"/>
        </w:rPr>
      </w:pPr>
    </w:p>
    <w:p>
      <w:pPr>
        <w:ind w:left="1100" w:right="1039" w:firstLine="318"/>
        <w:spacing w:after="0" w:line="246" w:lineRule="auto"/>
        <w:rPr>
          <w:sz w:val="20"/>
          <w:szCs w:val="20"/>
          <w:color w:val="auto"/>
        </w:rPr>
      </w:pPr>
      <w:r>
        <w:rPr>
          <w:rFonts w:ascii="Times New Roman" w:cs="Times New Roman" w:eastAsia="Times New Roman" w:hAnsi="Times New Roman"/>
          <w:sz w:val="16"/>
          <w:szCs w:val="16"/>
          <w:b w:val="1"/>
          <w:bCs w:val="1"/>
          <w:color w:val="auto"/>
        </w:rPr>
        <w:t>5.1 Conduct of Business by the Company</w:t>
      </w:r>
      <w:r>
        <w:rPr>
          <w:rFonts w:ascii="Times New Roman" w:cs="Times New Roman" w:eastAsia="Times New Roman" w:hAnsi="Times New Roman"/>
          <w:sz w:val="16"/>
          <w:szCs w:val="16"/>
          <w:color w:val="auto"/>
        </w:rPr>
        <w:t>. During the period from the date of this Agreement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Effective Time or earlier termination of this Agreement, except (a) as otherwise expressly contemplated or permitted by this Agreement, (b) as set forth on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of the Company Disclosure Memorandum,</w:t>
      </w:r>
    </w:p>
    <w:p>
      <w:pPr>
        <w:spacing w:after="0" w:line="1" w:lineRule="exact"/>
        <w:rPr>
          <w:sz w:val="20"/>
          <w:szCs w:val="20"/>
          <w:color w:val="auto"/>
        </w:rPr>
      </w:pPr>
    </w:p>
    <w:p>
      <w:pPr>
        <w:ind w:left="1100" w:right="999" w:firstLine="3"/>
        <w:spacing w:after="0"/>
        <w:tabs>
          <w:tab w:leader="none" w:pos="1329"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prior written consent of Parent (which consent shall not be unreasonably withheld, conditioned or delayed) or (d) as required by applicable Law, the Company shall, and shall cause each of the Company Subsidiaries to, (i) maintain its existence under applicable Law, (ii) conduct its business and operations in the ordinary and usual course of business and in a manner consistent with prior practice in all material respects and in accordance with applicable Law, and (iii) use reasonable best efforts to keep available the services of its current officers and employees and preserve the rights, franchises, goodwill and relations of its customers, clients and others with whom business relationships exist. Without limiting the generality of the foregoing, the Company covenants and agrees that between the date of this Agreement and the Effective Time or earlier termination of this Agreement, except pursuant to the exceptions set forth in clauses (a) through (d) above, the Company shall not, and shall cause the Company Subsidiaries not to, directly or indirectly:</w:t>
      </w:r>
    </w:p>
    <w:p>
      <w:pPr>
        <w:spacing w:after="0" w:line="275" w:lineRule="exact"/>
        <w:rPr>
          <w:rFonts w:ascii="Times New Roman" w:cs="Times New Roman" w:eastAsia="Times New Roman" w:hAnsi="Times New Roman"/>
          <w:sz w:val="16"/>
          <w:szCs w:val="16"/>
          <w:color w:val="auto"/>
        </w:rPr>
      </w:pPr>
    </w:p>
    <w:p>
      <w:pPr>
        <w:ind w:left="2060" w:hanging="322"/>
        <w:spacing w:after="0"/>
        <w:tabs>
          <w:tab w:leader="none" w:pos="2060"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its Charter Documents;</w:t>
      </w:r>
    </w:p>
    <w:p>
      <w:pPr>
        <w:spacing w:after="0" w:line="137" w:lineRule="exact"/>
        <w:rPr>
          <w:rFonts w:ascii="Times New Roman" w:cs="Times New Roman" w:eastAsia="Times New Roman" w:hAnsi="Times New Roman"/>
          <w:sz w:val="16"/>
          <w:szCs w:val="16"/>
          <w:color w:val="auto"/>
        </w:rPr>
      </w:pPr>
    </w:p>
    <w:p>
      <w:pPr>
        <w:ind w:left="1420" w:right="1079" w:firstLine="318"/>
        <w:spacing w:after="0" w:line="244" w:lineRule="auto"/>
        <w:tabs>
          <w:tab w:leader="none" w:pos="2061"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 split, combine or reclassify any shares of its capital stock or other equity interests or declare, set aside, make or pay any dividend or other distribution (whether in cash, shares, equity interests or property or any combination thereof) in respect of its capital stock or equity interests, except for dividends from wholly-owned Subsidiaries to the Company and regular quarterly cash dividends by the Company at a rate not in excess of $0.05 per share of Company Common Stock;</w:t>
      </w:r>
    </w:p>
    <w:p>
      <w:pPr>
        <w:spacing w:after="0" w:line="101" w:lineRule="exact"/>
        <w:rPr>
          <w:rFonts w:ascii="Times New Roman" w:cs="Times New Roman" w:eastAsia="Times New Roman" w:hAnsi="Times New Roman"/>
          <w:sz w:val="16"/>
          <w:szCs w:val="16"/>
          <w:color w:val="auto"/>
        </w:rPr>
      </w:pPr>
    </w:p>
    <w:p>
      <w:pPr>
        <w:ind w:left="1420" w:right="1039" w:firstLine="318"/>
        <w:spacing w:after="0" w:line="263" w:lineRule="auto"/>
        <w:tabs>
          <w:tab w:leader="none" w:pos="2052"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 repurchase or otherwise acquire or offer to redeem, repurchase or otherwise acquire any of its securities;</w:t>
      </w:r>
    </w:p>
    <w:p>
      <w:pPr>
        <w:spacing w:after="0" w:line="85" w:lineRule="exact"/>
        <w:rPr>
          <w:rFonts w:ascii="Times New Roman" w:cs="Times New Roman" w:eastAsia="Times New Roman" w:hAnsi="Times New Roman"/>
          <w:sz w:val="16"/>
          <w:szCs w:val="16"/>
          <w:color w:val="auto"/>
        </w:rPr>
      </w:pPr>
    </w:p>
    <w:p>
      <w:pPr>
        <w:ind w:left="1420" w:right="939" w:firstLine="318"/>
        <w:spacing w:after="0" w:line="256" w:lineRule="auto"/>
        <w:tabs>
          <w:tab w:leader="none" w:pos="2061"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lease, renew or terminate the lease of, transfer, mortgage, encumber or otherwise dispose of any of its deposits, properties or assets, other than assets that are not material, individually or in the aggregate. in the ordinary course of business consistent with past practice;</w:t>
      </w:r>
    </w:p>
    <w:p>
      <w:pPr>
        <w:spacing w:after="0" w:line="90" w:lineRule="exact"/>
        <w:rPr>
          <w:rFonts w:ascii="Times New Roman" w:cs="Times New Roman" w:eastAsia="Times New Roman" w:hAnsi="Times New Roman"/>
          <w:sz w:val="16"/>
          <w:szCs w:val="16"/>
          <w:color w:val="auto"/>
        </w:rPr>
      </w:pPr>
    </w:p>
    <w:p>
      <w:pPr>
        <w:ind w:left="1420" w:right="899" w:firstLine="318"/>
        <w:spacing w:after="0" w:line="241" w:lineRule="auto"/>
        <w:tabs>
          <w:tab w:leader="none" w:pos="2052"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acquire or announce an intention to so acquire, or enter into any agreements providing for any acquisitions of, direct or indirect control over any business or Person, whether by stock purchase, merger, consolidation or otherwise; or (ii) make any other investment by purchase of stock or equity securities other than as permitted pursuant to </w:t>
      </w:r>
      <w:r>
        <w:rPr>
          <w:rFonts w:ascii="Times New Roman" w:cs="Times New Roman" w:eastAsia="Times New Roman" w:hAnsi="Times New Roman"/>
          <w:sz w:val="16"/>
          <w:szCs w:val="16"/>
          <w:u w:val="single" w:color="auto"/>
          <w:color w:val="auto"/>
        </w:rPr>
        <w:t>Section 5.1(p)</w:t>
      </w:r>
      <w:r>
        <w:rPr>
          <w:rFonts w:ascii="Times New Roman" w:cs="Times New Roman" w:eastAsia="Times New Roman" w:hAnsi="Times New Roman"/>
          <w:sz w:val="16"/>
          <w:szCs w:val="16"/>
          <w:color w:val="auto"/>
        </w:rPr>
        <w:t>, contributions to capital, property transfers or purchase of any property or assets of any other Person, except, in each instance, in connection with a foreclosure of collateral or conveyance of such collateral in lieu of foreclosure taken in connection with collection of a Loan in the ordinary course of business consistent with past practice and with respect to Loans made to third parties who are not Affiliates of the Company;</w:t>
      </w:r>
    </w:p>
    <w:p>
      <w:pPr>
        <w:spacing w:after="0" w:line="106" w:lineRule="exact"/>
        <w:rPr>
          <w:rFonts w:ascii="Times New Roman" w:cs="Times New Roman" w:eastAsia="Times New Roman" w:hAnsi="Times New Roman"/>
          <w:sz w:val="16"/>
          <w:szCs w:val="16"/>
          <w:color w:val="auto"/>
        </w:rPr>
      </w:pPr>
    </w:p>
    <w:p>
      <w:pPr>
        <w:ind w:left="1420" w:right="959" w:firstLine="318"/>
        <w:spacing w:after="0" w:line="245" w:lineRule="auto"/>
        <w:tabs>
          <w:tab w:leader="none" w:pos="2034"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any indebtedness for borrowed money, issue or sell any debt securities or warrants or other rights to acquire any debt securities, guarantee or otherwise become responsible for any such indebtedness or any debt securities of another Person, or enter into any “keep well” or other agreement to maintain any financial statement condition of another Person, other than, in each case to the extent incurred in the ordinary course of business, indebtedness in respect of deposit liabilities, federal funds, borrowings from the Federal Reserve and repurchase agreements;</w:t>
      </w:r>
    </w:p>
    <w:p>
      <w:pPr>
        <w:spacing w:after="0" w:line="100" w:lineRule="exact"/>
        <w:rPr>
          <w:rFonts w:ascii="Times New Roman" w:cs="Times New Roman" w:eastAsia="Times New Roman" w:hAnsi="Times New Roman"/>
          <w:sz w:val="16"/>
          <w:szCs w:val="16"/>
          <w:color w:val="auto"/>
        </w:rPr>
      </w:pPr>
    </w:p>
    <w:p>
      <w:pPr>
        <w:ind w:left="1420" w:right="1039" w:firstLine="318"/>
        <w:spacing w:after="0" w:line="248" w:lineRule="auto"/>
        <w:tabs>
          <w:tab w:leader="none" w:pos="2061"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make, or commit to make, any capital expenditures in excess of $100,000 in the aggregate,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Parent shall grant or deny its consent to emergency repairs or replacements necessary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prevent substantial deterioration of the condition of a property within two (2) Business Days of its receipt of a written request from Company;</w:t>
      </w:r>
    </w:p>
    <w:p>
      <w:pPr>
        <w:spacing w:after="0" w:line="3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420" w:right="1119" w:firstLine="318"/>
        <w:spacing w:after="0" w:line="244" w:lineRule="auto"/>
        <w:tabs>
          <w:tab w:leader="none" w:pos="2061"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any material Proceeding or settle any claim or litigation, in each case whether commenced by or pending or threatened against the Company, the Company Subsidiaries or any of their officers and directors in their capacities as such, other than the commencement or settlement of Proceedings in the ordinary course of business and settlements which, in any event (i) solely involve monetary remedies in an amount not to exceed $50,000 individually or $150,000 in the aggregate,</w:t>
      </w:r>
    </w:p>
    <w:p>
      <w:pPr>
        <w:ind w:left="1420" w:right="979"/>
        <w:spacing w:after="0" w:line="244" w:lineRule="auto"/>
        <w:tabs>
          <w:tab w:leader="none" w:pos="1669"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reasonably would not be expected to prohibit or restrict the Company or the Company Subsidiaries from operating their respective businesses in the ordinary course and (iii) does not involve any admission of wrongdoing by the Company or the Company Subsidiaries;</w:t>
      </w:r>
    </w:p>
    <w:p>
      <w:pPr>
        <w:spacing w:after="0" w:line="99" w:lineRule="exact"/>
        <w:rPr>
          <w:rFonts w:ascii="Times New Roman" w:cs="Times New Roman" w:eastAsia="Times New Roman" w:hAnsi="Times New Roman"/>
          <w:sz w:val="16"/>
          <w:szCs w:val="16"/>
          <w:color w:val="auto"/>
        </w:rPr>
      </w:pPr>
    </w:p>
    <w:p>
      <w:pPr>
        <w:ind w:left="1420" w:right="999" w:firstLine="318"/>
        <w:spacing w:after="0" w:line="248" w:lineRule="auto"/>
        <w:tabs>
          <w:tab w:leader="none" w:pos="2025"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to its accounting methods, principles or practices, except as required by GAAP, applicable Law or applicable accounting requirements of any Governmental Authority, in each case, including changes in the interpretation or enforcement thereof;</w:t>
      </w:r>
    </w:p>
    <w:p>
      <w:pPr>
        <w:spacing w:after="0" w:line="96" w:lineRule="exact"/>
        <w:rPr>
          <w:rFonts w:ascii="Times New Roman" w:cs="Times New Roman" w:eastAsia="Times New Roman" w:hAnsi="Times New Roman"/>
          <w:sz w:val="16"/>
          <w:szCs w:val="16"/>
          <w:color w:val="auto"/>
        </w:rPr>
      </w:pPr>
    </w:p>
    <w:p>
      <w:pPr>
        <w:ind w:left="1420" w:right="939" w:firstLine="318"/>
        <w:spacing w:after="0" w:line="242" w:lineRule="auto"/>
        <w:tabs>
          <w:tab w:leader="none" w:pos="2025"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5.1(j)</w:t>
      </w:r>
      <w:r>
        <w:rPr>
          <w:rFonts w:ascii="Times New Roman" w:cs="Times New Roman" w:eastAsia="Times New Roman" w:hAnsi="Times New Roman"/>
          <w:sz w:val="16"/>
          <w:szCs w:val="16"/>
          <w:color w:val="auto"/>
        </w:rPr>
        <w:t xml:space="preserve"> of the Company Disclosure Memorandum, required under any Company Benefit Plan in effect as of the date hereof or as may be required by Law, (i) increase the compensation, severance, benefits, change of control payments or any other amounts payable to its present or former officers, employees or directors, other than nonmaterial increases in compensation or benefits for non-executive employees made in the ordinary course of business consistent with past practice, (ii) pay or award, or commit to pay or award, any bonuses or incentive compensation,</w:t>
      </w:r>
    </w:p>
    <w:p>
      <w:pPr>
        <w:ind w:left="1420" w:right="1019"/>
        <w:spacing w:after="0" w:line="242" w:lineRule="auto"/>
        <w:tabs>
          <w:tab w:leader="none" w:pos="1717"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adopt, enter into, amend or terminate any collective bargaining agreement or Company Benefit Plan, other than any amendments in the ordinary course of business consistent with past practice that do not materially increase the cost to the Company, in the aggregate, of maintaining such Company Benefit Plan, or (iv) take any action to accelerate any payment or benefit, or the funding of any payment or benefit, payable or to become payable to any such individual;</w:t>
      </w:r>
    </w:p>
    <w:p>
      <w:pPr>
        <w:spacing w:after="0" w:line="102" w:lineRule="exact"/>
        <w:rPr>
          <w:rFonts w:ascii="Times New Roman" w:cs="Times New Roman" w:eastAsia="Times New Roman" w:hAnsi="Times New Roman"/>
          <w:sz w:val="16"/>
          <w:szCs w:val="16"/>
          <w:color w:val="auto"/>
        </w:rPr>
      </w:pPr>
    </w:p>
    <w:p>
      <w:pPr>
        <w:ind w:left="1420" w:right="939" w:firstLine="318"/>
        <w:spacing w:after="0" w:line="242" w:lineRule="auto"/>
        <w:tabs>
          <w:tab w:leader="none" w:pos="2061" w:val="left"/>
        </w:tabs>
        <w:numPr>
          <w:ilvl w:val="1"/>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hire, transfer or promote any employee or other service provider of the Company or any of the Company Subsidiaries (or with respect to hiring, who will become an employee or other service provider of the Company or any of the Company Subsidiaries), who has (or with respect to hiring, will have) a target annual compensation opportunity (base salary or wages and annual target incentive compensation opportunity) of $100,000 or more, or (ii) terminate the employment of any employee or other service provider of the Company or any of the Company Subsidiaries other than for cause;</w:t>
      </w:r>
    </w:p>
    <w:p>
      <w:pPr>
        <w:spacing w:after="0" w:line="101" w:lineRule="exact"/>
        <w:rPr>
          <w:rFonts w:ascii="Times New Roman" w:cs="Times New Roman" w:eastAsia="Times New Roman" w:hAnsi="Times New Roman"/>
          <w:sz w:val="16"/>
          <w:szCs w:val="16"/>
          <w:color w:val="auto"/>
        </w:rPr>
      </w:pPr>
    </w:p>
    <w:p>
      <w:pPr>
        <w:ind w:left="1420" w:right="919" w:firstLine="318"/>
        <w:spacing w:after="0"/>
        <w:tabs>
          <w:tab w:leader="none" w:pos="2025" w:val="left"/>
        </w:tabs>
        <w:numPr>
          <w:ilvl w:val="1"/>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grant any stock appreciation rights, Company Stock Options, restricted stock, restricted stock units, awards based on the value of Company Common Stock or other equity interests of the Company or the Company Subsidiaries or other equity-based compensation, including any phantom awards or interests, or grant to any Person any right to acquire any shares of capital stock of the Company or the Company Subsidiaries, (ii) issue, sell, transfer, encumber or otherwise permit to become outstanding any shares of capital stock or voting securities or equity interests or securities convertible (whether currently convertible or convertible only after the passage of time or the occurrence of certain events) or exchangeable into, or exercisable for, any shares of capital stock or other equity or voting securities, including any securities of the Company or Parent or their respective Subsidiaries, or any options, warrants or other rights of any kind to acquire any shares of capital stock or other equity or voting securities, including any securities of the Company or Parent or their respective Subsidiaries, (iii) issue, sell, lease, transfer, mortgage, encumber or otherwise dispose of any capital stock in any of the Company Subsidiaries, or (iv) enter into any agreement, understanding or arrangement with respect to the sale or voting of the capital stock of the Company or the Company Subsidiaries;</w:t>
      </w:r>
    </w:p>
    <w:p>
      <w:pPr>
        <w:spacing w:after="0" w:line="295" w:lineRule="exact"/>
        <w:rPr>
          <w:rFonts w:ascii="Times New Roman" w:cs="Times New Roman" w:eastAsia="Times New Roman" w:hAnsi="Times New Roman"/>
          <w:sz w:val="16"/>
          <w:szCs w:val="16"/>
          <w:color w:val="auto"/>
        </w:rPr>
      </w:pPr>
    </w:p>
    <w:p>
      <w:pPr>
        <w:ind w:left="1420" w:right="939" w:firstLine="318"/>
        <w:spacing w:after="0" w:line="244" w:lineRule="auto"/>
        <w:tabs>
          <w:tab w:leader="none" w:pos="2105" w:val="left"/>
        </w:tabs>
        <w:numPr>
          <w:ilvl w:val="1"/>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change any material Tax election different from its prior course of practice, settle or compromise any material Tax liability, fail to file any material Tax Return when due (taking extensions into account), enter into any closing agreement with respect to Taxes, file any amended Tax Return (other than with respect to employee retention Tax credits) or surrender any right to claim a material Tax refund, offset or other reduction in material Tax liability;</w:t>
      </w:r>
    </w:p>
    <w:p>
      <w:pPr>
        <w:spacing w:after="0" w:line="101" w:lineRule="exact"/>
        <w:rPr>
          <w:rFonts w:ascii="Times New Roman" w:cs="Times New Roman" w:eastAsia="Times New Roman" w:hAnsi="Times New Roman"/>
          <w:sz w:val="16"/>
          <w:szCs w:val="16"/>
          <w:color w:val="auto"/>
        </w:rPr>
      </w:pPr>
    </w:p>
    <w:p>
      <w:pPr>
        <w:ind w:left="1420" w:right="1539" w:firstLine="318"/>
        <w:spacing w:after="0" w:line="263" w:lineRule="auto"/>
        <w:tabs>
          <w:tab w:leader="none" w:pos="2061" w:val="left"/>
        </w:tabs>
        <w:numPr>
          <w:ilvl w:val="1"/>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 to use commercially reasonable efforts to maintain existing insurance policies or comparable replacement policies to the extent available for a reasonable cost;</w:t>
      </w:r>
    </w:p>
    <w:p>
      <w:pPr>
        <w:spacing w:after="0" w:line="85" w:lineRule="exact"/>
        <w:rPr>
          <w:rFonts w:ascii="Times New Roman" w:cs="Times New Roman" w:eastAsia="Times New Roman" w:hAnsi="Times New Roman"/>
          <w:sz w:val="16"/>
          <w:szCs w:val="16"/>
          <w:color w:val="auto"/>
        </w:rPr>
      </w:pPr>
    </w:p>
    <w:p>
      <w:pPr>
        <w:ind w:left="1420" w:right="939" w:firstLine="318"/>
        <w:spacing w:after="0" w:line="256" w:lineRule="auto"/>
        <w:tabs>
          <w:tab w:leader="none" w:pos="2061" w:val="left"/>
        </w:tabs>
        <w:numPr>
          <w:ilvl w:val="1"/>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new line of business or change in any material respect its lending, investment, underwriting, risk and asset liability management, interest rate or fee pricing with respect to depository accounts, hedging and other material banking and operating policies or practices;</w:t>
      </w:r>
    </w:p>
    <w:p>
      <w:pPr>
        <w:spacing w:after="0" w:line="3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899" w:firstLine="318"/>
        <w:spacing w:after="0" w:line="255" w:lineRule="auto"/>
        <w:tabs>
          <w:tab w:leader="none" w:pos="2061"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sell or transfer any securities or other investment assets owned by the Company other than ordinary course reinvestment of dividends and interest generated by its investment securities portfolio (other than obligations of the government of the United States or agencies of the United States or state or local governments having maturities of not more than five (5) years and which municipal obligations have been assigned a rating of A2 or better by Moody’s Investors Service or A or better by Standard and Poor’s);</w:t>
      </w:r>
    </w:p>
    <w:p>
      <w:pPr>
        <w:spacing w:after="0" w:line="297" w:lineRule="exact"/>
        <w:rPr>
          <w:rFonts w:ascii="Times New Roman" w:cs="Times New Roman" w:eastAsia="Times New Roman" w:hAnsi="Times New Roman"/>
          <w:sz w:val="16"/>
          <w:szCs w:val="16"/>
          <w:color w:val="auto"/>
        </w:rPr>
      </w:pPr>
    </w:p>
    <w:p>
      <w:pPr>
        <w:ind w:left="1420" w:right="999" w:firstLine="318"/>
        <w:spacing w:after="0" w:line="279" w:lineRule="auto"/>
        <w:tabs>
          <w:tab w:leader="none" w:pos="2061"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accept any brokered deposit having a maturity longer than one (1) year, other than in the ordinary course of business;</w:t>
      </w:r>
    </w:p>
    <w:p>
      <w:pPr>
        <w:spacing w:after="0" w:line="84" w:lineRule="exact"/>
        <w:rPr>
          <w:rFonts w:ascii="Times New Roman" w:cs="Times New Roman" w:eastAsia="Times New Roman" w:hAnsi="Times New Roman"/>
          <w:sz w:val="16"/>
          <w:szCs w:val="16"/>
          <w:color w:val="auto"/>
        </w:rPr>
      </w:pPr>
    </w:p>
    <w:p>
      <w:pPr>
        <w:ind w:left="1420" w:right="1239" w:firstLine="318"/>
        <w:spacing w:after="0" w:line="279" w:lineRule="auto"/>
        <w:tabs>
          <w:tab w:leader="none" w:pos="203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any application to establish, or to relocate or terminate the operations of, any banking office, except as required by Law or for any change that may be requested by Parent;</w:t>
      </w:r>
    </w:p>
    <w:p>
      <w:pPr>
        <w:spacing w:after="0" w:line="72" w:lineRule="exact"/>
        <w:rPr>
          <w:rFonts w:ascii="Times New Roman" w:cs="Times New Roman" w:eastAsia="Times New Roman" w:hAnsi="Times New Roman"/>
          <w:sz w:val="16"/>
          <w:szCs w:val="16"/>
          <w:color w:val="auto"/>
        </w:rPr>
      </w:pPr>
    </w:p>
    <w:p>
      <w:pPr>
        <w:ind w:left="1420" w:right="1059" w:firstLine="318"/>
        <w:spacing w:after="0" w:line="263" w:lineRule="auto"/>
        <w:tabs>
          <w:tab w:leader="none" w:pos="2043"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restructure or materially change its investment securities portfolio, through purchases, sales or otherwise, or the manner in which the portfolio is classified or reported other than in the ordinary course of business and consistent with past practices;</w:t>
      </w:r>
    </w:p>
    <w:p>
      <w:pPr>
        <w:spacing w:after="0" w:line="97" w:lineRule="exact"/>
        <w:rPr>
          <w:rFonts w:ascii="Times New Roman" w:cs="Times New Roman" w:eastAsia="Times New Roman" w:hAnsi="Times New Roman"/>
          <w:sz w:val="16"/>
          <w:szCs w:val="16"/>
          <w:color w:val="auto"/>
        </w:rPr>
      </w:pPr>
    </w:p>
    <w:p>
      <w:pPr>
        <w:ind w:left="1420" w:right="1159" w:firstLine="318"/>
        <w:spacing w:after="0" w:line="279" w:lineRule="auto"/>
        <w:tabs>
          <w:tab w:leader="none" w:pos="2025"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any material respect its credit policies and collateral eligibility requirements and standards;</w:t>
      </w:r>
    </w:p>
    <w:p>
      <w:pPr>
        <w:spacing w:after="0" w:line="84" w:lineRule="exact"/>
        <w:rPr>
          <w:rFonts w:ascii="Times New Roman" w:cs="Times New Roman" w:eastAsia="Times New Roman" w:hAnsi="Times New Roman"/>
          <w:sz w:val="16"/>
          <w:szCs w:val="16"/>
          <w:color w:val="auto"/>
        </w:rPr>
      </w:pPr>
    </w:p>
    <w:p>
      <w:pPr>
        <w:ind w:left="1420" w:right="1019" w:firstLine="318"/>
        <w:spacing w:after="0" w:line="253" w:lineRule="auto"/>
        <w:tabs>
          <w:tab w:leader="none" w:pos="2061"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Loans or commitments for Loans (or renewals or extensions thereof) that have previously been approved by the Company prior to the date hereof, without prior consultation with Parent, make or acquire or issue a commitment for (or renew or extend) (i) any commercial real estate Loan in an original principal amount in excess of $7,000,000, (ii) any residential Loan originated for retention in the Loan portfolio in an original principal amount in excess of $1,500,000 or with loan to value ratios in excess of the Company’s internal polices as in effect on the date hereof or (iii) any commercial or industrial Loan in an original principal amount in excess of $2,000,000;</w:t>
      </w:r>
    </w:p>
    <w:p>
      <w:pPr>
        <w:spacing w:after="0" w:line="95" w:lineRule="exact"/>
        <w:rPr>
          <w:rFonts w:ascii="Times New Roman" w:cs="Times New Roman" w:eastAsia="Times New Roman" w:hAnsi="Times New Roman"/>
          <w:sz w:val="16"/>
          <w:szCs w:val="16"/>
          <w:color w:val="auto"/>
        </w:rPr>
      </w:pPr>
    </w:p>
    <w:p>
      <w:pPr>
        <w:ind w:left="1420" w:right="1019" w:firstLine="318"/>
        <w:spacing w:after="0" w:line="258" w:lineRule="auto"/>
        <w:tabs>
          <w:tab w:leader="none" w:pos="2061"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prior consultation with Parent, extend additional funds to a Loan classified as “criticized,” except for protective advances and extensions of additional credit of up to $500,000 (for purposes of this paragraph, a “criticized” Loan means any Loan classified as substandard, nonaccrual, doubtful or a troubled debt restructuring (or words of similar import));</w:t>
      </w:r>
    </w:p>
    <w:p>
      <w:pPr>
        <w:spacing w:after="0" w:line="102" w:lineRule="exact"/>
        <w:rPr>
          <w:rFonts w:ascii="Times New Roman" w:cs="Times New Roman" w:eastAsia="Times New Roman" w:hAnsi="Times New Roman"/>
          <w:sz w:val="16"/>
          <w:szCs w:val="16"/>
          <w:color w:val="auto"/>
        </w:rPr>
      </w:pPr>
    </w:p>
    <w:p>
      <w:pPr>
        <w:ind w:left="1420" w:right="939" w:firstLine="318"/>
        <w:spacing w:after="0" w:line="254" w:lineRule="auto"/>
        <w:tabs>
          <w:tab w:leader="none" w:pos="2096"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5.1(w)</w:t>
      </w:r>
      <w:r>
        <w:rPr>
          <w:rFonts w:ascii="Times New Roman" w:cs="Times New Roman" w:eastAsia="Times New Roman" w:hAnsi="Times New Roman"/>
          <w:sz w:val="16"/>
          <w:szCs w:val="16"/>
          <w:color w:val="auto"/>
        </w:rPr>
        <w:t xml:space="preserve"> of the Company Disclosure Memorandum, enter into, renew, amend or terminate any Material Contract, other than (a) terminating any Material Contract in the ordinary course of business, (b) entering into or renewing a Material Contract which calls for aggregate annual payments of not more than $100,000 and which is terminable on sixty (60) days or less notice without payment of any termination fee or penalty, or (c) any amendments, modifications or terminations reasonably requested by Parent;</w:t>
      </w:r>
    </w:p>
    <w:p>
      <w:pPr>
        <w:spacing w:after="0" w:line="106" w:lineRule="exact"/>
        <w:rPr>
          <w:rFonts w:ascii="Times New Roman" w:cs="Times New Roman" w:eastAsia="Times New Roman" w:hAnsi="Times New Roman"/>
          <w:sz w:val="16"/>
          <w:szCs w:val="16"/>
          <w:color w:val="auto"/>
        </w:rPr>
      </w:pPr>
    </w:p>
    <w:p>
      <w:pPr>
        <w:ind w:left="1420" w:right="899" w:firstLine="318"/>
        <w:spacing w:after="0" w:line="279" w:lineRule="auto"/>
        <w:tabs>
          <w:tab w:leader="none" w:pos="2061"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a plan of complete or partial liquidation or dissolution, or enter into any restructuring or reorganization, except for the 332 Spring Dissolution (as defined below);</w:t>
      </w:r>
    </w:p>
    <w:p>
      <w:pPr>
        <w:spacing w:after="0" w:line="72" w:lineRule="exact"/>
        <w:rPr>
          <w:rFonts w:ascii="Times New Roman" w:cs="Times New Roman" w:eastAsia="Times New Roman" w:hAnsi="Times New Roman"/>
          <w:sz w:val="16"/>
          <w:szCs w:val="16"/>
          <w:color w:val="auto"/>
        </w:rPr>
      </w:pPr>
    </w:p>
    <w:p>
      <w:pPr>
        <w:ind w:left="1420" w:right="959" w:firstLine="318"/>
        <w:spacing w:after="0" w:line="258" w:lineRule="auto"/>
        <w:tabs>
          <w:tab w:leader="none" w:pos="2061"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purchase or otherwise acquire any assets or incur any liabilities other than assets or liabilities that are not material, individually or in the aggregate, and that are acquired or incurred in the ordinary course of business consistent with past practices and policies and subject to any other restrictions set forth in this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w:t>
      </w:r>
    </w:p>
    <w:p>
      <w:pPr>
        <w:spacing w:after="0" w:line="102" w:lineRule="exact"/>
        <w:rPr>
          <w:rFonts w:ascii="Times New Roman" w:cs="Times New Roman" w:eastAsia="Times New Roman" w:hAnsi="Times New Roman"/>
          <w:sz w:val="16"/>
          <w:szCs w:val="16"/>
          <w:color w:val="auto"/>
        </w:rPr>
      </w:pPr>
    </w:p>
    <w:p>
      <w:pPr>
        <w:ind w:left="1420" w:right="1059" w:firstLine="318"/>
        <w:spacing w:after="0" w:line="263" w:lineRule="auto"/>
        <w:tabs>
          <w:tab w:leader="none" w:pos="2052"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or knowingly fail to take any action, which action or failure to act could reasonably be expected to prevent or impede the Merger from qualifying as a “reorganization” within the meaning of Section 368(a) of the Code;</w:t>
      </w:r>
    </w:p>
    <w:p>
      <w:pPr>
        <w:spacing w:after="0" w:line="98" w:lineRule="exact"/>
        <w:rPr>
          <w:sz w:val="20"/>
          <w:szCs w:val="20"/>
          <w:color w:val="auto"/>
        </w:rPr>
      </w:pPr>
    </w:p>
    <w:p>
      <w:pPr>
        <w:ind w:left="1420" w:right="979" w:firstLine="318"/>
        <w:spacing w:after="0" w:line="263" w:lineRule="auto"/>
        <w:tabs>
          <w:tab w:leader="none" w:pos="2125"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take or fail to take any action that could reasonably be expected to cause the representations and warranties made in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 xml:space="preserve"> to be inaccurate in any material respect at the time of the Closing or preclude the Company from making such representations and warranties at the time of the Closing;</w:t>
      </w:r>
    </w:p>
    <w:p>
      <w:pPr>
        <w:spacing w:after="0" w:line="86" w:lineRule="exact"/>
        <w:rPr>
          <w:rFonts w:ascii="Times New Roman" w:cs="Times New Roman" w:eastAsia="Times New Roman" w:hAnsi="Times New Roman"/>
          <w:sz w:val="16"/>
          <w:szCs w:val="16"/>
          <w:color w:val="auto"/>
        </w:rPr>
      </w:pPr>
    </w:p>
    <w:p>
      <w:pPr>
        <w:ind w:left="1420" w:right="999" w:firstLine="318"/>
        <w:spacing w:after="0" w:line="263" w:lineRule="auto"/>
        <w:tabs>
          <w:tab w:leader="none" w:pos="2143"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take any action that is intended to or would reasonably be likely to result in any of the conditions set forth in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xml:space="preserve"> not being satisfied or prevent or materially delay the consummation of the transactions contemplated hereby;</w:t>
      </w:r>
    </w:p>
    <w:p>
      <w:pPr>
        <w:spacing w:after="0" w:line="3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79" w:firstLine="318"/>
        <w:spacing w:after="0" w:line="248" w:lineRule="auto"/>
        <w:tabs>
          <w:tab w:leader="none" w:pos="2125"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that is intended to or would reasonably be expected to adversely affect or materially delay the ability of the Company or the Company Subsidiaries to obtain any Regulatory Approvals or other necessary approvals of any Governmental Authority required for the transactions contemplated by this Agreement or to perform its covenants and agreements under this Agreement and the transactions contemplated hereby; or</w:t>
      </w:r>
    </w:p>
    <w:p>
      <w:pPr>
        <w:spacing w:after="0" w:line="97" w:lineRule="exact"/>
        <w:rPr>
          <w:rFonts w:ascii="Times New Roman" w:cs="Times New Roman" w:eastAsia="Times New Roman" w:hAnsi="Times New Roman"/>
          <w:sz w:val="16"/>
          <w:szCs w:val="16"/>
          <w:color w:val="auto"/>
        </w:rPr>
      </w:pPr>
    </w:p>
    <w:p>
      <w:pPr>
        <w:ind w:left="1420" w:right="1279" w:firstLine="318"/>
        <w:spacing w:after="0" w:line="248" w:lineRule="auto"/>
        <w:tabs>
          <w:tab w:leader="none" w:pos="2143"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 to take, make any commitments to take, or adopt any resolutions of the Company Board (or Board of Directors (or similar governing body) of any of the Company Subsidiaries) in support of, any of the actions prohibited by this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w:t>
      </w:r>
    </w:p>
    <w:p>
      <w:pPr>
        <w:spacing w:after="0" w:line="95" w:lineRule="exact"/>
        <w:rPr>
          <w:sz w:val="20"/>
          <w:szCs w:val="20"/>
          <w:color w:val="auto"/>
        </w:rPr>
      </w:pPr>
    </w:p>
    <w:p>
      <w:pPr>
        <w:ind w:left="1100" w:right="899" w:firstLine="318"/>
        <w:spacing w:after="0" w:line="249" w:lineRule="auto"/>
        <w:rPr>
          <w:sz w:val="20"/>
          <w:szCs w:val="20"/>
          <w:color w:val="auto"/>
        </w:rPr>
      </w:pPr>
      <w:r>
        <w:rPr>
          <w:rFonts w:ascii="Times New Roman" w:cs="Times New Roman" w:eastAsia="Times New Roman" w:hAnsi="Times New Roman"/>
          <w:sz w:val="16"/>
          <w:szCs w:val="16"/>
          <w:b w:val="1"/>
          <w:bCs w:val="1"/>
          <w:color w:val="auto"/>
        </w:rPr>
        <w:t>5.2 Conduct of Business by Parent</w:t>
      </w:r>
      <w:r>
        <w:rPr>
          <w:rFonts w:ascii="Times New Roman" w:cs="Times New Roman" w:eastAsia="Times New Roman" w:hAnsi="Times New Roman"/>
          <w:sz w:val="16"/>
          <w:szCs w:val="16"/>
          <w:color w:val="auto"/>
        </w:rPr>
        <w:t>. The Parent covenants and agrees that between the date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the Effective Time or earlier termination of this Agreement, except as expressly permitted or contemplated by this Agreement, or as required by applicable law or a Governmental Authority, or with the prior written consent of the Company, Parent shall not, and shall cause its Subsidiaries not to, directly or indirectly:</w:t>
      </w:r>
    </w:p>
    <w:p>
      <w:pPr>
        <w:spacing w:after="0" w:line="287" w:lineRule="exact"/>
        <w:rPr>
          <w:sz w:val="20"/>
          <w:szCs w:val="20"/>
          <w:color w:val="auto"/>
        </w:rPr>
      </w:pPr>
    </w:p>
    <w:p>
      <w:pPr>
        <w:ind w:left="1420" w:right="999" w:firstLine="318"/>
        <w:spacing w:after="0" w:line="248" w:lineRule="auto"/>
        <w:tabs>
          <w:tab w:leader="none" w:pos="2052"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knowingly take any action or fail to take any action that is intended to or is reasonably likely to result in either the Merger or the Bank Merger failing to qualify as a “reorganization” under Section 368(a) of the Code;</w:t>
      </w:r>
    </w:p>
    <w:p>
      <w:pPr>
        <w:spacing w:after="0" w:line="96" w:lineRule="exact"/>
        <w:rPr>
          <w:rFonts w:ascii="Times New Roman" w:cs="Times New Roman" w:eastAsia="Times New Roman" w:hAnsi="Times New Roman"/>
          <w:sz w:val="16"/>
          <w:szCs w:val="16"/>
          <w:color w:val="auto"/>
        </w:rPr>
      </w:pPr>
    </w:p>
    <w:p>
      <w:pPr>
        <w:jc w:val="both"/>
        <w:ind w:left="1420" w:right="1219" w:firstLine="318"/>
        <w:spacing w:after="0" w:line="256" w:lineRule="auto"/>
        <w:tabs>
          <w:tab w:leader="none" w:pos="2061"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knowingly take any action or fail to take any action that is reasonably likely to prevent or materially delay or materially impair Parent’s ability to consummate the Merger or the transactions contemplated by this Agreement or Parent Bank’s ability to consummate the Bank Merger; or</w:t>
      </w:r>
    </w:p>
    <w:p>
      <w:pPr>
        <w:spacing w:after="0" w:line="90" w:lineRule="exact"/>
        <w:rPr>
          <w:rFonts w:ascii="Times New Roman" w:cs="Times New Roman" w:eastAsia="Times New Roman" w:hAnsi="Times New Roman"/>
          <w:sz w:val="16"/>
          <w:szCs w:val="16"/>
          <w:color w:val="auto"/>
        </w:rPr>
      </w:pPr>
    </w:p>
    <w:p>
      <w:pPr>
        <w:ind w:left="1420" w:right="939" w:firstLine="318"/>
        <w:spacing w:after="0" w:line="263" w:lineRule="auto"/>
        <w:tabs>
          <w:tab w:leader="none" w:pos="2052"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 to take, make any commitment to take, or adopt any resolutions of its board of directors in support of, any of the actions prohibited by this </w:t>
      </w:r>
      <w:r>
        <w:rPr>
          <w:rFonts w:ascii="Times New Roman" w:cs="Times New Roman" w:eastAsia="Times New Roman" w:hAnsi="Times New Roman"/>
          <w:sz w:val="16"/>
          <w:szCs w:val="16"/>
          <w:u w:val="single" w:color="auto"/>
          <w:color w:val="auto"/>
        </w:rPr>
        <w:t>Section 5.02</w:t>
      </w:r>
      <w:r>
        <w:rPr>
          <w:rFonts w:ascii="Times New Roman" w:cs="Times New Roman" w:eastAsia="Times New Roman" w:hAnsi="Times New Roman"/>
          <w:sz w:val="16"/>
          <w:szCs w:val="16"/>
          <w:color w:val="auto"/>
        </w:rPr>
        <w:t>.</w:t>
      </w:r>
    </w:p>
    <w:p>
      <w:pPr>
        <w:spacing w:after="0" w:line="83" w:lineRule="exact"/>
        <w:rPr>
          <w:sz w:val="20"/>
          <w:szCs w:val="20"/>
          <w:color w:val="auto"/>
        </w:rPr>
      </w:pPr>
    </w:p>
    <w:p>
      <w:pPr>
        <w:ind w:left="1100" w:right="999" w:firstLine="318"/>
        <w:spacing w:after="0" w:line="245" w:lineRule="auto"/>
        <w:rPr>
          <w:sz w:val="20"/>
          <w:szCs w:val="20"/>
          <w:color w:val="auto"/>
        </w:rPr>
      </w:pPr>
      <w:r>
        <w:rPr>
          <w:rFonts w:ascii="Times New Roman" w:cs="Times New Roman" w:eastAsia="Times New Roman" w:hAnsi="Times New Roman"/>
          <w:sz w:val="16"/>
          <w:szCs w:val="16"/>
          <w:b w:val="1"/>
          <w:bCs w:val="1"/>
          <w:color w:val="auto"/>
        </w:rPr>
        <w:t>5.3 Commercially Reasonable Efforts</w:t>
      </w:r>
      <w:r>
        <w:rPr>
          <w:rFonts w:ascii="Times New Roman" w:cs="Times New Roman" w:eastAsia="Times New Roman" w:hAnsi="Times New Roman"/>
          <w:sz w:val="16"/>
          <w:szCs w:val="16"/>
          <w:color w:val="auto"/>
        </w:rPr>
        <w:t>. Subject to the terms and conditions of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including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xml:space="preserve">, each of the parties agrees to use commercially reasonable efforts in good faith to take, or cause to be taken, all actions, and to do, or cause to be done, all things necessary, proper or advisable under applicable Laws, so as to permit consummation of the transactions contemplated hereby as promptly as practicable, including the satisfaction of the conditions set forth in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and shall reasonably cooperate with the other party to that end.</w:t>
      </w:r>
    </w:p>
    <w:p>
      <w:pPr>
        <w:spacing w:after="0" w:line="16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ARTICLE 6</w:t>
      </w:r>
    </w:p>
    <w:p>
      <w:pPr>
        <w:spacing w:after="0" w:line="1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 AGREEMENTS</w:t>
      </w:r>
    </w:p>
    <w:p>
      <w:pPr>
        <w:spacing w:after="0" w:line="106" w:lineRule="exact"/>
        <w:rPr>
          <w:sz w:val="20"/>
          <w:szCs w:val="20"/>
          <w:color w:val="auto"/>
        </w:rPr>
      </w:pPr>
    </w:p>
    <w:p>
      <w:pPr>
        <w:ind w:left="1100" w:right="939" w:firstLine="318"/>
        <w:spacing w:after="0" w:line="250" w:lineRule="auto"/>
        <w:rPr>
          <w:sz w:val="20"/>
          <w:szCs w:val="20"/>
          <w:color w:val="auto"/>
        </w:rPr>
      </w:pPr>
      <w:r>
        <w:rPr>
          <w:rFonts w:ascii="Times New Roman" w:cs="Times New Roman" w:eastAsia="Times New Roman" w:hAnsi="Times New Roman"/>
          <w:sz w:val="16"/>
          <w:szCs w:val="16"/>
          <w:b w:val="1"/>
          <w:bCs w:val="1"/>
          <w:color w:val="auto"/>
        </w:rPr>
        <w:t>6.1 Company Shareholders’ Meeting</w:t>
      </w:r>
      <w:r>
        <w:rPr>
          <w:rFonts w:ascii="Times New Roman" w:cs="Times New Roman" w:eastAsia="Times New Roman" w:hAnsi="Times New Roman"/>
          <w:sz w:val="16"/>
          <w:szCs w:val="16"/>
          <w:color w:val="auto"/>
        </w:rPr>
        <w:t>. The Company shall take all actions necessary in accordance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applicable Laws and the Company’s Charter Documents to duly give notice of, convene and hold a meeting of its shareholders (the “</w:t>
      </w:r>
      <w:r>
        <w:rPr>
          <w:rFonts w:ascii="Times New Roman" w:cs="Times New Roman" w:eastAsia="Times New Roman" w:hAnsi="Times New Roman"/>
          <w:sz w:val="16"/>
          <w:szCs w:val="16"/>
          <w:b w:val="1"/>
          <w:bCs w:val="1"/>
          <w:i w:val="1"/>
          <w:iCs w:val="1"/>
          <w:color w:val="auto"/>
        </w:rPr>
        <w:t>Company Shareholders’ Meeting</w:t>
      </w:r>
      <w:r>
        <w:rPr>
          <w:rFonts w:ascii="Times New Roman" w:cs="Times New Roman" w:eastAsia="Times New Roman" w:hAnsi="Times New Roman"/>
          <w:sz w:val="16"/>
          <w:szCs w:val="16"/>
          <w:color w:val="auto"/>
        </w:rPr>
        <w:t xml:space="preserve">”), as soon as reasonably practicable (subject to applicable notice requirements) after the Registration Statement is declared effective by the SEC under the Securities Act, for the purpose of obtaining the Requisite Company Shareholder Vote. The Company Board has resolved to recommend to the Company Shareholders that they adopt and approve this Agreement and to submit this Agreement to the Company Shareholders for adoption and approval. Except as permitted by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the Company shall, acting through the Company Board, (i) recommend that the Company Shareholders adopt and approve this Agreement (the “</w:t>
      </w:r>
      <w:r>
        <w:rPr>
          <w:rFonts w:ascii="Times New Roman" w:cs="Times New Roman" w:eastAsia="Times New Roman" w:hAnsi="Times New Roman"/>
          <w:sz w:val="16"/>
          <w:szCs w:val="16"/>
          <w:b w:val="1"/>
          <w:bCs w:val="1"/>
          <w:i w:val="1"/>
          <w:iCs w:val="1"/>
          <w:color w:val="auto"/>
        </w:rPr>
        <w:t>Company Recommendation</w:t>
      </w:r>
      <w:r>
        <w:rPr>
          <w:rFonts w:ascii="Times New Roman" w:cs="Times New Roman" w:eastAsia="Times New Roman" w:hAnsi="Times New Roman"/>
          <w:sz w:val="16"/>
          <w:szCs w:val="16"/>
          <w:color w:val="auto"/>
        </w:rPr>
        <w:t xml:space="preserve">”), (ii) include in the Proxy Statement/Prospectus the Company Recommendation, a description of the appraisal rights of the Company Shareholders available under the Appraisal Statutes and such other information as is required to be provided to the Company Shareholders under the Appraisal Statutes, other applicable Laws and the Company’s Charter Documents, (iii) distribute the Proxy Statement/Prospectus to the Company Shareholders as soon as reasonably practicable (subject to applicable notice requirements) after the Registration Statement is declared effective under the Securities Act, (iv) use reasonable best efforts to solicit from the Company Shareholders proxies and votes in favor of the adoption and approval of this Agreement, and (v) take all other action reasonably necessary or advisable, to secure the vote of the Company Shareholders required by applicable Law to obtain such adoption and approval of this Agreement. Except as permitted by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the Company Board shall not (A) fail to make the Company Recommendation or fail to include such recommendation in the Proxy Statement/Prospectus, (B) change, qualify, withhold, withdraw or modify, or publicly propose to change, qualify, withhold, withdraw or modify, in a manner</w:t>
      </w:r>
    </w:p>
    <w:p>
      <w:pPr>
        <w:spacing w:after="0" w:line="200" w:lineRule="exact"/>
        <w:rPr>
          <w:sz w:val="20"/>
          <w:szCs w:val="20"/>
          <w:color w:val="auto"/>
        </w:rPr>
      </w:pPr>
    </w:p>
    <w:p>
      <w:pPr>
        <w:spacing w:after="0" w:line="3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spacing w:after="0"/>
        <w:rPr>
          <w:sz w:val="20"/>
          <w:szCs w:val="20"/>
          <w:color w:val="auto"/>
        </w:rPr>
      </w:pPr>
      <w:r>
        <w:rPr>
          <w:rFonts w:ascii="Times New Roman" w:cs="Times New Roman" w:eastAsia="Times New Roman" w:hAnsi="Times New Roman"/>
          <w:sz w:val="16"/>
          <w:szCs w:val="16"/>
          <w:color w:val="auto"/>
        </w:rPr>
        <w:t>adverse to Parent, the Company Recommendation, (C) fail to recommend against acceptance of a tender offer or exchange offer constituting an Acquisition Proposal within ten (10) Business Days after the commencement of such tender offer or exchange offer, or (D) adopt, approve or recommend, or publicly propose to adopt, approve or recommend, to the Company Shareholders, an Acquisition Proposal (each of the actions described in these subclauses (A) through (D) being referred to as an “</w:t>
      </w:r>
      <w:r>
        <w:rPr>
          <w:rFonts w:ascii="Times New Roman" w:cs="Times New Roman" w:eastAsia="Times New Roman" w:hAnsi="Times New Roman"/>
          <w:sz w:val="16"/>
          <w:szCs w:val="16"/>
          <w:b w:val="1"/>
          <w:bCs w:val="1"/>
          <w:i w:val="1"/>
          <w:iCs w:val="1"/>
          <w:color w:val="auto"/>
        </w:rPr>
        <w:t>Adverse Recommendation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Change</w:t>
      </w:r>
      <w:r>
        <w:rPr>
          <w:rFonts w:ascii="Times New Roman" w:cs="Times New Roman" w:eastAsia="Times New Roman" w:hAnsi="Times New Roman"/>
          <w:sz w:val="16"/>
          <w:szCs w:val="16"/>
          <w:color w:val="auto"/>
        </w:rPr>
        <w:t>”). Notwithstanding anything to the contrary herein, unless this Agreement has been terminated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accordance with </w:t>
      </w:r>
      <w:r>
        <w:rPr>
          <w:rFonts w:ascii="Times New Roman" w:cs="Times New Roman" w:eastAsia="Times New Roman" w:hAnsi="Times New Roman"/>
          <w:sz w:val="16"/>
          <w:szCs w:val="16"/>
          <w:u w:val="single" w:color="auto"/>
          <w:color w:val="auto"/>
        </w:rPr>
        <w:t>Article 8</w:t>
      </w:r>
      <w:r>
        <w:rPr>
          <w:rFonts w:ascii="Times New Roman" w:cs="Times New Roman" w:eastAsia="Times New Roman" w:hAnsi="Times New Roman"/>
          <w:sz w:val="16"/>
          <w:szCs w:val="16"/>
          <w:color w:val="auto"/>
        </w:rPr>
        <w:t xml:space="preserve">, the Company Shareholders’ Meeting shall be convened and this Agreement shall be submitted to the Company Shareholders at the Company Shareholders’ Meeting, for the purpose of voting on the adoption and approval of this Agreement and the transactions contemplated hereby, and nothing contained herein shall be deemed to relieve the Company of such obligation. The Company shall adjourn or postpone the Company Shareholders’ Meeting, if, as of the time for which such meeting is originally scheduled, there are insufficient shares of Company Common Stock represented (either in person or by proxy) to constitute a quorum necessary to conduct the business of such meeting, or if on the date of such meeting, the Company has not received proxies representing a sufficient number of shares necessary to obtain the Requisite Company Shareholder Vote;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shall only adjourn or postpone the Company Shareholders’ Meeting two (2) times, for aggregate adjournments or postponements not exceeding sixty (60) calendar days from the originally scheduled Company Shareholders’ Meeting, without the prior written consent of Parent (which consent shall not be unreasonably withheld, conditioned, or delayed).</w:t>
      </w:r>
    </w:p>
    <w:p>
      <w:pPr>
        <w:spacing w:after="0" w:line="28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6.2 Proxy and Registration Statement</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919" w:firstLine="320"/>
        <w:spacing w:after="0"/>
        <w:tabs>
          <w:tab w:leader="none" w:pos="1723"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promptly as reasonably practicable following the date of this Agreement, but in any event no later than sixty (60) days after the date of this Agreement, Parent and the Company shall prepare the Registration Statement, which Parent shall file with the SEC and will include the Proxy Statement/​ Prospectus. Each of Parent and the Company shall use reasonable best efforts to have the Registration Statement declared effective under the Securities Act as promptly as reasonably practicable after such filing and to keep the Registration Statement effective as long as necessary to consummate the Merger and the other transactions contemplated hereby. The Company will cause the Proxy Statement/Prospectus to be mailed to the Company Shareholders as soon as reasonably practicable after the Registration Statement is declared effective under the Securities Act. Each of Parent and the Company shall furnish all information as may be reasonably requested by the other and reasonably necessary in connection with any such action and the preparation, filing or distribution, as applicable, of the Registration Statement and the Proxy Statement/Prospectus. No filing of, or amendment or supplement to, the Registration Statement will be made by Parent, and no amendment or supplement to the Proxy Statement/Prospectus will be made by the Company, in each case without providing the other party with a reasonable opportunity to review and comment (which comments shall be considered by the applicable party in good faith) thereon if reasonably practicable;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without limiting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this right to review and comment shall not apply with respect to information or documents incorporated by reference in the Registration Statement or the Proxy Statement/Prospectus or with respect to disclosures required to be made as a result of actions taken by the Company Board in compliance with its fiduciary duties under applicable Law. Parent will advise the Company promptly after (i) it receives oral or written notice of the time when the Registration Statement has become effective, (ii) any supplement or amendment has been filed, (iii) it receives notice of the issuance of any stop order, (iv) it receives notice of the suspension of the qualification of Parent Common Stock issuable in connection with the Merger for offering or sale in any jurisdiction, or the initiation or threat of any proceeding for any such purpose, or (v) it receives any oral or written request by the SEC for amendment of the Registration Statement (including the Proxy Statement/Prospectus) or comments thereon and responses thereto or requests by the SEC for additional information, and will promptly provide the Company with copies of any written communication from the SEC or any state securities commission. If at any time prior to the Effective Time any information relating to Parent or the Company, or any of their respective Affiliates, officers or directors, is discovered by Parent or the Company which should be set forth in an amendment or supplement to the Registration Statement (including the Proxy Statement/Prospectus), so that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hereto and an appropriate amendment or supplement describing such information shall be promptly filed with the SEC and, to the extent required by law, disseminated to the Company Shareholders.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55" w:name="page156"/>
    <w:bookmarkEnd w:id="15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firstLine="320"/>
        <w:spacing w:after="0" w:line="249" w:lineRule="auto"/>
        <w:tabs>
          <w:tab w:leader="none" w:pos="173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practicable after the date hereof, Parent and the Company shall prepare and make such filings as are required under applicable state securities or “blue sky” laws in connection with the transactions contemplated by this Agreement, and the Company shall assist Parent on a reasonable best-efforts basis and at Parent’s direction as may be necessary to comply with such state securities or “blue sky” laws.</w:t>
      </w:r>
    </w:p>
    <w:p>
      <w:pPr>
        <w:spacing w:after="0" w:line="2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6.3 No Solicitation</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ind w:left="1100" w:right="899" w:firstLine="320"/>
        <w:spacing w:after="0"/>
        <w:tabs>
          <w:tab w:leader="none" w:pos="1729"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agrees that it will not, and will cause its directors, officers, employees, advisors, representatives and Affiliates not to, and shall use reasonable best efforts to cause its other employees, and any investment banker, financial advisor, attorney, accountant or other representative retained by it or any of its Affiliates not to, directly or indirectly, (i) initiate, solicit or knowingly encourage or facilitate inquiries or proposals with respect to, (ii) engage or participate in any negotiations concerning, enter into any letter of intent, agreement in principle, memorandum of understanding, merger, acquisition, option, joint venture, partnership or other agreement, or any other commitment, arrangement or understanding (whether written or oral, binding or nonbinding) providing for, or otherwise contemplating, or (iii) provide any confidential or nonpublic information or data to, or have or participate in any discussions with, or cooperate in any way with, any Person (or group of Persons) relating to, any Acquisition Proposal (including with respect to any inquiries regarding, or the making of, any proposal the consummation of which would constitute an Acquisition Proposal);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the Company receives an unsolicited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Acquisition Proposal that was not the result of a breach of this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in any material respect and that does not otherwise violate (i) through (iii) above at any time prior to the time this Agreement is approved by the Requisite Company Shareholder Vote, and the Company Board reasonably concludes in good faith that there is a reasonable likelihood that such Acquisition Proposal constitutes or is reasonably likely to result in a Superior Proposal, the Company may, and may permit its officers and representatives to, furnish or cause to be furnished nonpublic information or data and participate in such negotiations or discussions to the extent that the Company Board concludes in good faith (after receiving the advice of its outside counsel) that failure to take such actions would constitute, or would be reasonably likely to result in, a breach of its fiduciary obligations to the Company Shareholders under applicable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prior to providing any nonpublic information permitted to be provided pursuant to the foregoing proviso, the Company shall have entered into a confidentiality agreement with such Third Party on terms no less favorable to it than the Confidentiality Agreement. The Company will immediately cease and cause to be terminated any activities, discussions or negotiations conducted before the date of this Agreement with any Persons other than Parent and any Subsidiary of Parent (any such Person (or group of Persons) other than Parent and any Subsidiary of Parent, a “</w:t>
      </w:r>
      <w:r>
        <w:rPr>
          <w:rFonts w:ascii="Times New Roman" w:cs="Times New Roman" w:eastAsia="Times New Roman" w:hAnsi="Times New Roman"/>
          <w:sz w:val="16"/>
          <w:szCs w:val="16"/>
          <w:b w:val="1"/>
          <w:bCs w:val="1"/>
          <w:i w:val="1"/>
          <w:iCs w:val="1"/>
          <w:color w:val="auto"/>
        </w:rPr>
        <w:t>Third Party</w:t>
      </w:r>
      <w:r>
        <w:rPr>
          <w:rFonts w:ascii="Times New Roman" w:cs="Times New Roman" w:eastAsia="Times New Roman" w:hAnsi="Times New Roman"/>
          <w:sz w:val="16"/>
          <w:szCs w:val="16"/>
          <w:color w:val="auto"/>
        </w:rPr>
        <w:t xml:space="preserve">”) with respect to any Acquisition Proposal and will promptly (and in any event within one (1) Business Day) after the date hereof terminate access of any such Third Party to any data room (virtual or actual) containing any information of or relating to the Company or the Company Subsidiaries. The Company shall promptly (and in any event within twenty-four (24) hours) advise Parent in writing following the receipt or notice of any inquiry regarding, or the making of, any proposal the consummation of which would constitute an Acquisition Proposal and will provide to Parent an unredacted copy of any such Acquisition Proposal and any draft agreements, proposals or other materials received from or on behalf of the Person making such inquiry or Acquisition Proposal in connection with such inquiry or Acquisition Proposal, and thereafter will keep Parent promptly apprised of any related developments, discussions and negotiations on a reasonably current basis. The Company shall provide three (3) Business Days written notice to Parent prior to entering into a confidentiality agreement with any Third Party. For the avoidance of doubt, the Company shall not enter into any confidentiality agreement with any Person after the date of this Agreement that provides any Third Party with any exclusive rights to negotiate with the Company or otherwise prohibits the Company from complying with the obligations of the Company under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spacing w:after="0" w:line="236" w:lineRule="exact"/>
        <w:rPr>
          <w:rFonts w:ascii="Times New Roman" w:cs="Times New Roman" w:eastAsia="Times New Roman" w:hAnsi="Times New Roman"/>
          <w:sz w:val="16"/>
          <w:szCs w:val="16"/>
          <w:color w:val="auto"/>
        </w:rPr>
      </w:pPr>
    </w:p>
    <w:p>
      <w:pPr>
        <w:ind w:left="1100" w:right="919" w:firstLine="320"/>
        <w:spacing w:after="0" w:line="243" w:lineRule="auto"/>
        <w:tabs>
          <w:tab w:leader="none" w:pos="1741"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if the Company Board concludes in good faith (and based upon consultation with outside legal counsel and, with respect to financial matters, its financial advisor) that an Acquisition Proposal constitutes a Superior Proposal and that making the Company Recommendation and/or including such recommendation in the Proxy Statement/Prospectus would constitute, or would be reasonably likely to result in, a breach of its fiduciary obligations to the Company Shareholders under applicable Law, the Company Board may withdraw, qualify, amend or modify its recommendation prior to the Requisite Company Shareholder Vote and submit this Agreement to the Company Shareholders as such</w:t>
      </w:r>
    </w:p>
    <w:p>
      <w:pPr>
        <w:spacing w:after="0" w:line="3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56" w:name="page157"/>
    <w:bookmarkEnd w:id="15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spacing w:after="0" w:line="250" w:lineRule="auto"/>
        <w:rPr>
          <w:sz w:val="20"/>
          <w:szCs w:val="20"/>
          <w:color w:val="auto"/>
        </w:rPr>
      </w:pPr>
      <w:r>
        <w:rPr>
          <w:rFonts w:ascii="Times New Roman" w:cs="Times New Roman" w:eastAsia="Times New Roman" w:hAnsi="Times New Roman"/>
          <w:sz w:val="16"/>
          <w:szCs w:val="16"/>
          <w:color w:val="auto"/>
        </w:rPr>
        <w:t xml:space="preserve">(although the resolutions approving this Agreement as of the date hereof may not be rescinded or amended), in which event it may communicate its basis for its lack of recommendation to the Company Shareholders in the Proxy Statement/Prospectus or an appropriate amendment or supplement thereto to the extent required by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Company Board may not take such action unless (A) the Company shall not have breached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in any respect and (B) (1) the Company Board determines in good faith (after consultation with its outside legal counsel and its financial advisor) that such Superior Proposal has been made and has not been withdrawn and continues to be a Superior Proposal after taking into account all adjustments to the terms of this Agreement formally proposed in writing that may be offered by Parent under this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(2) the Company has given Parent at least five (5) Business Days’ prior written notice of its intention to take such actions set forth above and has contemporaneously provided a summary of the material terms of the relevant proposed transaction agreements with the Person making such Superior Proposal; and (3) before effecting such Adverse Recommendation Change, the Company has negotiated, and has caused its representatives to negotiate in good faith with Parent during such notice period to the extent Parent elects to negotiate, to enable Parent to revise the terms of this Agreement such that it would cause such Superior Proposal to no longer constitute a Superior Proposal, which such terms the Company and the Company Board shall consider in good faith. In the event of any material change to the terms of such Superior Proposal, the Company shall, in each case, be required to deliver to Parent a new written notice, the notice period shall recommence and the Company shall be required to comply with its obligations under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with respect to such new written notice, except that the notice period shall be reduced to three (3) Business Days. For the avoidance of doubt, in no event shall any such action taken by the Company Board under this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(I) affect the validity and enforceability of this Agreement or the Voting and Support Agreements, or (II) cause any Takeover Statute or other similar statute to be applicable to the Merger or the other transactions contemplated hereby.</w:t>
      </w:r>
    </w:p>
    <w:p>
      <w:pPr>
        <w:spacing w:after="0" w:line="299" w:lineRule="exact"/>
        <w:rPr>
          <w:sz w:val="20"/>
          <w:szCs w:val="20"/>
          <w:color w:val="auto"/>
        </w:rPr>
      </w:pPr>
    </w:p>
    <w:p>
      <w:pPr>
        <w:ind w:left="1100" w:right="1059" w:firstLine="320"/>
        <w:spacing w:after="0" w:line="263" w:lineRule="auto"/>
        <w:tabs>
          <w:tab w:leader="none" w:pos="1732"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shall prohibit the Company or the Company Board from complying with the Company’s obligations required under Rule 14e-2(a) promulgated under the Exchange Act.</w:t>
      </w:r>
    </w:p>
    <w:p>
      <w:pPr>
        <w:spacing w:after="0" w:line="93" w:lineRule="exact"/>
        <w:rPr>
          <w:rFonts w:ascii="Times New Roman" w:cs="Times New Roman" w:eastAsia="Times New Roman" w:hAnsi="Times New Roman"/>
          <w:sz w:val="16"/>
          <w:szCs w:val="16"/>
          <w:color w:val="auto"/>
        </w:rPr>
      </w:pPr>
    </w:p>
    <w:p>
      <w:pPr>
        <w:ind w:left="1100" w:right="919" w:firstLine="320"/>
        <w:spacing w:after="0" w:line="250" w:lineRule="auto"/>
        <w:tabs>
          <w:tab w:leader="none" w:pos="1732"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(i) the term “</w:t>
      </w:r>
      <w:r>
        <w:rPr>
          <w:rFonts w:ascii="Times New Roman" w:cs="Times New Roman" w:eastAsia="Times New Roman" w:hAnsi="Times New Roman"/>
          <w:sz w:val="16"/>
          <w:szCs w:val="16"/>
          <w:b w:val="1"/>
          <w:bCs w:val="1"/>
          <w:i w:val="1"/>
          <w:iCs w:val="1"/>
          <w:color w:val="auto"/>
        </w:rPr>
        <w:t>Acquisition Proposal</w:t>
      </w:r>
      <w:r>
        <w:rPr>
          <w:rFonts w:ascii="Times New Roman" w:cs="Times New Roman" w:eastAsia="Times New Roman" w:hAnsi="Times New Roman"/>
          <w:sz w:val="16"/>
          <w:szCs w:val="16"/>
          <w:color w:val="auto"/>
        </w:rPr>
        <w:t xml:space="preserve">” means any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proposal or offer for or inquiry relating to, or any Third Party indication of interest in, whether in one transaction or a series of related transactions, a (A) merger, consolidation, share exchange, tender offer, business combination or similar transaction involving the Company pursuant to which any Third Party acquires or would acquire, directly or indirectly, assets of the Company or any of the Company Subsidiaries representing twenty-five percent (25%) or more of the consolidated assets of the Company and the Company Subsidiaries, taken as a whole, or twenty-five percent (25%) or more of any class of equity or voting securities of the Company or the Company Bank, (B) sale or other disposition, directly or indirectly, by merger, consolidation, share exchange, business combination or any similar transaction, pursuant to which any Third Party acquires or would acquire, directly or indirectly, assets or businesses of the Company or any of the Company Subsidiaries representing twenty-five percent (25%) or more of the consolidated assets of the Company and the Company Subsidiaries, taken as a whole, or twenty-five percent (25%) or more of any class of equity or voting securities of the Company or the Company Bank, (C) recapitalization, restructuring, liquidation, dissolution or other similar type of transaction with respect to the Company, or</w:t>
      </w:r>
    </w:p>
    <w:p>
      <w:pPr>
        <w:spacing w:after="0" w:line="6" w:lineRule="exact"/>
        <w:rPr>
          <w:rFonts w:ascii="Times New Roman" w:cs="Times New Roman" w:eastAsia="Times New Roman" w:hAnsi="Times New Roman"/>
          <w:sz w:val="16"/>
          <w:szCs w:val="16"/>
          <w:color w:val="auto"/>
        </w:rPr>
      </w:pPr>
    </w:p>
    <w:p>
      <w:pPr>
        <w:ind w:left="1380" w:hanging="277"/>
        <w:spacing w:after="0"/>
        <w:tabs>
          <w:tab w:leader="none" w:pos="138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which is similar in form, substance or purpose to any of the foregoing transactions, and</w:t>
      </w:r>
    </w:p>
    <w:p>
      <w:pPr>
        <w:spacing w:after="0" w:line="7" w:lineRule="exact"/>
        <w:rPr>
          <w:sz w:val="20"/>
          <w:szCs w:val="20"/>
          <w:color w:val="auto"/>
        </w:rPr>
      </w:pPr>
    </w:p>
    <w:p>
      <w:pPr>
        <w:ind w:left="1100" w:right="959" w:firstLine="3"/>
        <w:spacing w:after="0" w:line="248" w:lineRule="auto"/>
        <w:tabs>
          <w:tab w:leader="none" w:pos="135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i w:val="1"/>
          <w:iCs w:val="1"/>
          <w:color w:val="auto"/>
        </w:rPr>
        <w:t>Superior Proposal</w:t>
      </w:r>
      <w:r>
        <w:rPr>
          <w:rFonts w:ascii="Times New Roman" w:cs="Times New Roman" w:eastAsia="Times New Roman" w:hAnsi="Times New Roman"/>
          <w:sz w:val="16"/>
          <w:szCs w:val="16"/>
          <w:color w:val="auto"/>
        </w:rPr>
        <w:t xml:space="preserve">” means any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written Acquisition Proposal (on its most recently amended or modified terms, if amended or modified) made by a Third Party, which, upon acceptance by the Company, would create a legally binding obligation of such Third Party (subject to regulatory approval) to consummate the Acquisition Proposal, on terms that the Company Board determines in its good faith judgment, after consultation with its outside legal counsel and financial advisor, (A) would, if consummated, result in the acquisition of all, but not less than all, of the issued and outstanding shares of Company Common Stock or all, or substantially all, of the assets of the Company and the Company Subsidiaries on a consolidated basis, and (B) would result in a transaction that (1) involves consideration to the Company Shareholders that is more favorable, from a financial point of view, than the consideration to be paid to the Company Shareholders pursuant to this Agreement, considering, among other things, the nature of the consideration being offered and any material regulatory approvals or other risks associated with the timing of the proposed transaction beyond or in addition to those specifically contemplated hereby,</w:t>
      </w:r>
    </w:p>
    <w:p>
      <w:pPr>
        <w:spacing w:after="0" w:line="5" w:lineRule="exact"/>
        <w:rPr>
          <w:rFonts w:ascii="Times New Roman" w:cs="Times New Roman" w:eastAsia="Times New Roman" w:hAnsi="Times New Roman"/>
          <w:sz w:val="16"/>
          <w:szCs w:val="16"/>
          <w:color w:val="auto"/>
        </w:rPr>
      </w:pPr>
    </w:p>
    <w:p>
      <w:pPr>
        <w:ind w:left="1100" w:right="1179"/>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is, in light of the other terms of such proposal, more favorable to the Company Shareholders than the Merger and the other</w:t>
      </w:r>
    </w:p>
    <w:p>
      <w:pPr>
        <w:spacing w:after="0" w:line="3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1019"/>
        <w:spacing w:after="0" w:line="279" w:lineRule="auto"/>
        <w:rPr>
          <w:sz w:val="20"/>
          <w:szCs w:val="20"/>
          <w:color w:val="auto"/>
        </w:rPr>
      </w:pPr>
      <w:r>
        <w:rPr>
          <w:rFonts w:ascii="Times New Roman" w:cs="Times New Roman" w:eastAsia="Times New Roman" w:hAnsi="Times New Roman"/>
          <w:sz w:val="16"/>
          <w:szCs w:val="16"/>
          <w:color w:val="auto"/>
        </w:rPr>
        <w:t>transactions contemplated by this Agreement, and (3) is reasonably likely to be completed on the terms proposed, in each case taking into account all legal, financial, regulatory and other aspects of the proposal.</w:t>
      </w:r>
    </w:p>
    <w:p>
      <w:pPr>
        <w:spacing w:after="0" w:line="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6.4 Regulatory Approvals and Filings</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ind w:left="1100" w:right="899" w:firstLine="320"/>
        <w:spacing w:after="0"/>
        <w:tabs>
          <w:tab w:leader="none" w:pos="1732"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terms and subject to the conditions set forth in this Agreement, each of the Company and Parent agrees to use its reasonable best efforts to take, or cause to be taken, all actions and to do, or cause to be done, and to assist and cooperate with the other party in doing, all things reasonably necessary, proper or advisable to fulfill all conditions applicable to such party pursuant to this Agreement and to consummate and make effective, as promptly as reasonably practicable, the transactions contemplated by this Agreement, including (i) obtaining all Regulatory Approvals and all other necessary, proper or advisable approvals, authorizations, actions or non-actions, waivers, permits, consents, qualifications and exemptions from Governmental Authorities and making all necessary, proper or advisable registrations, filings and notices and taking all other steps as may be necessary to obtain any such approvals, actions or non-actions, waivers, consents, qualifications and exemptions from any Governmental Authority;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contained herein shall be deemed to require Parent, or require or permit the Company, to take any action, or commit to take any action, or agree to any condition or restriction, in connection with obtaining such approvals, authorizations, actions or non-actions, waivers, permits, consents, qualifications and exemptions from any Governmental Authority that would reasonably be expected to have a material adverse effect on the Company, Parent, the Surviving Corporation and their respective Subsidiaries, taken as a whole, after giving effect to the Merger (measured on a scale relative to the Company and the Company Subsidiaries, taken as a whole) (a “</w:t>
      </w:r>
      <w:r>
        <w:rPr>
          <w:rFonts w:ascii="Times New Roman" w:cs="Times New Roman" w:eastAsia="Times New Roman" w:hAnsi="Times New Roman"/>
          <w:sz w:val="16"/>
          <w:szCs w:val="16"/>
          <w:b w:val="1"/>
          <w:bCs w:val="1"/>
          <w:i w:val="1"/>
          <w:iCs w:val="1"/>
          <w:color w:val="auto"/>
        </w:rPr>
        <w:t>Materially Burdensome Regulatory Condition</w:t>
      </w:r>
      <w:r>
        <w:rPr>
          <w:rFonts w:ascii="Times New Roman" w:cs="Times New Roman" w:eastAsia="Times New Roman" w:hAnsi="Times New Roman"/>
          <w:sz w:val="16"/>
          <w:szCs w:val="16"/>
          <w:color w:val="auto"/>
        </w:rPr>
        <w:t>”); (ii) obtaining all necessary, proper or advisable approvals, authorizations, actions or non-actions, waivers, permits, consents, qualifications and exemptions from nongovernmental Persons; and (iii) executing and delivering any additional documents or instruments reasonably necessary, proper or advisable to consummate the transactions contemplated by, and to fully carry out the purposes of, this Agreement.</w:t>
      </w:r>
    </w:p>
    <w:p>
      <w:pPr>
        <w:spacing w:after="0" w:line="103" w:lineRule="exact"/>
        <w:rPr>
          <w:rFonts w:ascii="Times New Roman" w:cs="Times New Roman" w:eastAsia="Times New Roman" w:hAnsi="Times New Roman"/>
          <w:sz w:val="16"/>
          <w:szCs w:val="16"/>
          <w:color w:val="auto"/>
        </w:rPr>
      </w:pPr>
    </w:p>
    <w:p>
      <w:pPr>
        <w:ind w:left="1100" w:right="939" w:firstLine="320"/>
        <w:spacing w:after="0" w:line="241" w:lineRule="auto"/>
        <w:tabs>
          <w:tab w:leader="none" w:pos="1738"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generality of the foregoing, as soon as practicable after the date of this Agreement (but in no event later than forty-five (45) days following the date of this Agreement), Parent and the Company shall each prepare and file any applications, notices and filings required in order to obtain the Regulatory Approvals. Parent and the Company shall each use reasonable best efforts to obtain each such approval as promptly as reasonably practicable. The parties shall cooperate with each other in connection therewith (including the furnishing of any information and any reasonable undertakings or commitments that may be required to obtain the Regulatory Approvals and that would not result in a Materially Burdensome Regulatory Condition).</w:t>
      </w:r>
    </w:p>
    <w:p>
      <w:pPr>
        <w:spacing w:after="0" w:line="106" w:lineRule="exact"/>
        <w:rPr>
          <w:rFonts w:ascii="Times New Roman" w:cs="Times New Roman" w:eastAsia="Times New Roman" w:hAnsi="Times New Roman"/>
          <w:sz w:val="16"/>
          <w:szCs w:val="16"/>
          <w:color w:val="auto"/>
        </w:rPr>
      </w:pPr>
    </w:p>
    <w:p>
      <w:pPr>
        <w:ind w:left="1100" w:right="1039" w:firstLine="320"/>
        <w:spacing w:after="0" w:line="253" w:lineRule="auto"/>
        <w:tabs>
          <w:tab w:leader="none" w:pos="1732"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the Company shall have the right to review in advance, and, to the extent reasonably practicable, each will consult the other on, in each case subject to applicable Law, confidentiality obligations and regulatory requirements, and without delaying any required filings, all the information relating to Parent and the Company, as the case may be, and any of their respective Subsidiaries, which appears in any filing made with, or written materials submitted to, any third party or any Governmental Authority in connection with the transactions contemplated by this Agreement. In exercising the foregoing right, each of the parties shall act reasonably and as promptly as reasonably practicable.</w:t>
      </w:r>
    </w:p>
    <w:p>
      <w:pPr>
        <w:spacing w:after="0" w:line="106" w:lineRule="exact"/>
        <w:rPr>
          <w:sz w:val="20"/>
          <w:szCs w:val="20"/>
          <w:color w:val="auto"/>
        </w:rPr>
      </w:pPr>
    </w:p>
    <w:p>
      <w:pPr>
        <w:ind w:left="1100" w:right="1059" w:firstLine="318"/>
        <w:spacing w:after="0" w:line="265" w:lineRule="auto"/>
        <w:rPr>
          <w:sz w:val="20"/>
          <w:szCs w:val="20"/>
          <w:color w:val="auto"/>
        </w:rPr>
      </w:pPr>
      <w:r>
        <w:rPr>
          <w:rFonts w:ascii="Times New Roman" w:cs="Times New Roman" w:eastAsia="Times New Roman" w:hAnsi="Times New Roman"/>
          <w:sz w:val="16"/>
          <w:szCs w:val="16"/>
          <w:b w:val="1"/>
          <w:bCs w:val="1"/>
          <w:color w:val="auto"/>
        </w:rPr>
        <w:t>6.5 NYSE Listing</w:t>
      </w:r>
      <w:r>
        <w:rPr>
          <w:rFonts w:ascii="Times New Roman" w:cs="Times New Roman" w:eastAsia="Times New Roman" w:hAnsi="Times New Roman"/>
          <w:sz w:val="16"/>
          <w:szCs w:val="16"/>
          <w:color w:val="auto"/>
        </w:rPr>
        <w:t>. Parent shall use its reasonable best efforts to cause the shares of Parent Common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to be issued pursuant to this Agreement to be authorized for listing on NYSE, subject to official notice of issuance, including by filing a Supplemental Listing Application with NYSE.</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6.6 Access; Systems Integration; Confidentiality</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899" w:firstLine="320"/>
        <w:spacing w:after="0" w:line="253" w:lineRule="auto"/>
        <w:tabs>
          <w:tab w:leader="none" w:pos="1732"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facilitate the consummation of the transactions contemplated by this Agreement and the integration of the business and operations of the Company, subject to applicable Laws relating to confidentiality and the exchange of information, the Company shall, upon reasonable advance notice and as reasonably requested, permit Parent, Parent’s Subsidiaries and their officers, employees, counsel, accountants and other authorized representatives, access, throughout the period from the date of this Agreement until the Effective Time or the earlier termination of this Agreement in accordance with its terms, at Parent’s sole expense, (i) during customary business hours, and to the extent reasonably available and without unreasonable interference with the conduct of the Company’s and the Company Subsidiaries’</w:t>
      </w:r>
    </w:p>
    <w:p>
      <w:pPr>
        <w:spacing w:after="0" w:line="31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58" w:name="page159"/>
    <w:bookmarkEnd w:id="15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899"/>
        <w:spacing w:after="0" w:line="250" w:lineRule="auto"/>
        <w:rPr>
          <w:sz w:val="20"/>
          <w:szCs w:val="20"/>
          <w:color w:val="auto"/>
        </w:rPr>
      </w:pPr>
      <w:r>
        <w:rPr>
          <w:rFonts w:ascii="Times New Roman" w:cs="Times New Roman" w:eastAsia="Times New Roman" w:hAnsi="Times New Roman"/>
          <w:sz w:val="16"/>
          <w:szCs w:val="16"/>
          <w:color w:val="auto"/>
        </w:rPr>
        <w:t xml:space="preserve">businesses, to the Company’s and the Company Subsidiaries’ books, papers, records, employees, agents, Contracts, properties and offices;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Company shall not be required to take any action that would provide access to or to disclose information where such access or disclosure would result in the waiver by it of the privilege protecting communications between it and any of its counsel, where such access or disclosure would contravene any applicable Law or Order or binding agreement entered into prior to the date of this Agreement or involving information related to the negotiation, discussions or preparation of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parties shall attempt to make appropriate substitute disclosure arrangements to the extent reasonably practicable and without waiver of any privilege if access or disclosure is limited pursuant to the foregoing proviso, and (ii) during customary business hours and after the Requisite Shareholder Vote has been obtained, to telecommunications and electronic data processing systems, facilities and personnel of the Company and the Company Subsidiaries and to such information reasonably necessary for post-closing integration planning as requested by Parent, in each case for the purpose of performing conversion activities related to data processing integration and general integration planning. Parent shall use commercially reasonable efforts to minimize any interference with the Company’s regular business operations and use of personnel, telecommunications and electronic data processing systems and facilities during any such access to the Company’s property, books and records.</w:t>
      </w:r>
    </w:p>
    <w:p>
      <w:pPr>
        <w:spacing w:after="0" w:line="114" w:lineRule="exact"/>
        <w:rPr>
          <w:sz w:val="20"/>
          <w:szCs w:val="20"/>
          <w:color w:val="auto"/>
        </w:rPr>
      </w:pPr>
    </w:p>
    <w:p>
      <w:pPr>
        <w:ind w:left="1100" w:right="1119" w:firstLine="320"/>
        <w:spacing w:after="0" w:line="256" w:lineRule="auto"/>
        <w:tabs>
          <w:tab w:leader="none" w:pos="1741"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Parent and the Company acknowledges and agrees that the Confidentiality Agreement, dated as of January 14, 2026, by and between Parent and the Company (the “</w:t>
      </w:r>
      <w:r>
        <w:rPr>
          <w:rFonts w:ascii="Times New Roman" w:cs="Times New Roman" w:eastAsia="Times New Roman" w:hAnsi="Times New Roman"/>
          <w:sz w:val="16"/>
          <w:szCs w:val="16"/>
          <w:b w:val="1"/>
          <w:bCs w:val="1"/>
          <w:i w:val="1"/>
          <w:iCs w:val="1"/>
          <w:color w:val="auto"/>
        </w:rPr>
        <w:t>Confidentiality Agreement</w:t>
      </w:r>
      <w:r>
        <w:rPr>
          <w:rFonts w:ascii="Times New Roman" w:cs="Times New Roman" w:eastAsia="Times New Roman" w:hAnsi="Times New Roman"/>
          <w:sz w:val="16"/>
          <w:szCs w:val="16"/>
          <w:color w:val="auto"/>
        </w:rPr>
        <w:t>”) remains in full force and effect and, in addition, covenants and agrees to keep confidential, in accordance with the provisions of the Confidentiality Agreement, information provided to them pursuant to this Agreement.</w:t>
      </w:r>
    </w:p>
    <w:p>
      <w:pPr>
        <w:spacing w:after="0" w:line="101" w:lineRule="exact"/>
        <w:rPr>
          <w:sz w:val="20"/>
          <w:szCs w:val="20"/>
          <w:color w:val="auto"/>
        </w:rPr>
      </w:pPr>
    </w:p>
    <w:p>
      <w:pPr>
        <w:ind w:left="1100" w:right="1039" w:firstLine="318"/>
        <w:spacing w:after="0" w:line="256" w:lineRule="auto"/>
        <w:rPr>
          <w:sz w:val="20"/>
          <w:szCs w:val="20"/>
          <w:color w:val="auto"/>
        </w:rPr>
      </w:pPr>
      <w:r>
        <w:rPr>
          <w:rFonts w:ascii="Times New Roman" w:cs="Times New Roman" w:eastAsia="Times New Roman" w:hAnsi="Times New Roman"/>
          <w:sz w:val="16"/>
          <w:szCs w:val="16"/>
          <w:b w:val="1"/>
          <w:bCs w:val="1"/>
          <w:color w:val="auto"/>
        </w:rPr>
        <w:t>6.7 No Control of the Company</w:t>
      </w:r>
      <w:r>
        <w:rPr>
          <w:rFonts w:ascii="Times New Roman" w:cs="Times New Roman" w:eastAsia="Times New Roman" w:hAnsi="Times New Roman"/>
          <w:sz w:val="16"/>
          <w:szCs w:val="16"/>
          <w:color w:val="auto"/>
        </w:rPr>
        <w:t>. Nothing contained in this Agreement shall give Parent, directly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indirectly, the right to control or direct the operations of the Company and the Company Subsidiaries prior to the Closing Date. Prior to the Effective Time, each party shall exercise, consistent with the terms and conditions of this Agreement, complete control and supervision over it and its Subsidiaries’ respective operations.</w:t>
      </w:r>
    </w:p>
    <w:p>
      <w:pPr>
        <w:spacing w:after="0" w:line="91" w:lineRule="exact"/>
        <w:rPr>
          <w:sz w:val="20"/>
          <w:szCs w:val="20"/>
          <w:color w:val="auto"/>
        </w:rPr>
      </w:pPr>
    </w:p>
    <w:p>
      <w:pPr>
        <w:ind w:left="1100" w:right="899" w:firstLine="318"/>
        <w:spacing w:after="0" w:line="250" w:lineRule="auto"/>
        <w:rPr>
          <w:sz w:val="20"/>
          <w:szCs w:val="20"/>
          <w:color w:val="auto"/>
        </w:rPr>
      </w:pPr>
      <w:r>
        <w:rPr>
          <w:rFonts w:ascii="Times New Roman" w:cs="Times New Roman" w:eastAsia="Times New Roman" w:hAnsi="Times New Roman"/>
          <w:sz w:val="16"/>
          <w:szCs w:val="16"/>
          <w:b w:val="1"/>
          <w:bCs w:val="1"/>
          <w:color w:val="auto"/>
        </w:rPr>
        <w:t>6.8 Press Releases</w:t>
      </w:r>
      <w:r>
        <w:rPr>
          <w:rFonts w:ascii="Times New Roman" w:cs="Times New Roman" w:eastAsia="Times New Roman" w:hAnsi="Times New Roman"/>
          <w:sz w:val="16"/>
          <w:szCs w:val="16"/>
          <w:color w:val="auto"/>
        </w:rPr>
        <w:t>. The Company and Parent agree that the initial press release with respect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execution and delivery of this Agreement shall be a release that is mutually agreed to by the parties. Thereafter, the Company and Parent shall consult with each other in advance before issuing any press release or otherwise making any public statements or filings with respect to this Agreement or the transactions contemplated hereby and shall not issue, and shall not permit any of their respective Subsidiaries to issue, any such press release or make any such public statement without the prior written consent of the other party (which consent shall not be unreasonably withheld or delayed), and shall not permit any of their advisors to issue any such press release or make any such public statement without the prior written consent of the other party (which consent shall not be unreasonably withheld or delayed); </w:t>
      </w:r>
      <w:r>
        <w:rPr>
          <w:rFonts w:ascii="Times New Roman" w:cs="Times New Roman" w:eastAsia="Times New Roman" w:hAnsi="Times New Roman"/>
          <w:sz w:val="16"/>
          <w:szCs w:val="16"/>
          <w:i w:val="1"/>
          <w:iCs w:val="1"/>
          <w:color w:val="auto"/>
        </w:rPr>
        <w:t xml:space="preserve">provided, however, </w:t>
      </w:r>
      <w:r>
        <w:rPr>
          <w:rFonts w:ascii="Times New Roman" w:cs="Times New Roman" w:eastAsia="Times New Roman" w:hAnsi="Times New Roman"/>
          <w:sz w:val="16"/>
          <w:szCs w:val="16"/>
          <w:color w:val="auto"/>
        </w:rPr>
        <w:t>that a party may, without the prior written consent of the other party, issue any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press release or make any such public statement or filing if (i) such party determines, after consultation with outside legal counsel, that it is required by applicable Law or Order, or any listing agreement with a national stock exchange or automated quotation system;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party shall have first provided the other party with reasonable time to review such release, statement or filing in advance, or (ii) such press release or other public statement is consistent with such other press releases or public statements made after the date of this Agreement in compliance with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w:t>
      </w:r>
    </w:p>
    <w:p>
      <w:pPr>
        <w:spacing w:after="0" w:line="3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6.9 Employee Benefits.</w:t>
      </w:r>
    </w:p>
    <w:p>
      <w:pPr>
        <w:spacing w:after="0" w:line="140" w:lineRule="exact"/>
        <w:rPr>
          <w:sz w:val="20"/>
          <w:szCs w:val="20"/>
          <w:color w:val="auto"/>
        </w:rPr>
      </w:pPr>
    </w:p>
    <w:p>
      <w:pPr>
        <w:ind w:left="1100" w:right="959" w:firstLine="320"/>
        <w:spacing w:after="0" w:line="253" w:lineRule="auto"/>
        <w:tabs>
          <w:tab w:leader="none" w:pos="1732"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period of twelve (12) months following the Effective Time (or such shorter period of time during which any Continuing Employee remains employed with Parent or one of its Affiliates), Parent shall provide or cause the Surviving Corporation to provide to each individual who is a Company Employee immediately prior to the Effective Time and continues to be employed immediately following the Effective Time by Parent or the Surviving Corporation or any Subsidiary thereof (each, a “</w:t>
      </w:r>
      <w:r>
        <w:rPr>
          <w:rFonts w:ascii="Times New Roman" w:cs="Times New Roman" w:eastAsia="Times New Roman" w:hAnsi="Times New Roman"/>
          <w:sz w:val="16"/>
          <w:szCs w:val="16"/>
          <w:b w:val="1"/>
          <w:bCs w:val="1"/>
          <w:i w:val="1"/>
          <w:iCs w:val="1"/>
          <w:color w:val="auto"/>
        </w:rPr>
        <w:t>Continuing Employee</w:t>
      </w:r>
      <w:r>
        <w:rPr>
          <w:rFonts w:ascii="Times New Roman" w:cs="Times New Roman" w:eastAsia="Times New Roman" w:hAnsi="Times New Roman"/>
          <w:sz w:val="16"/>
          <w:szCs w:val="16"/>
          <w:color w:val="auto"/>
        </w:rPr>
        <w:t>”),</w:t>
      </w:r>
    </w:p>
    <w:p>
      <w:pPr>
        <w:ind w:left="1100" w:right="999" w:firstLine="3"/>
        <w:spacing w:after="0" w:line="250" w:lineRule="auto"/>
        <w:tabs>
          <w:tab w:leader="none" w:pos="1302"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salary and target annual cash incentive opportunities that are each no less favorable than those provided to such Continuing Employee immediately prior to the Effective Time; and (ii) other employee benefits (excluding retiree medical or welfare benefits, equity-based compensation and nonqualified deferred compensation arrangements) that are substantially comparable in the aggregate to those provided to such Company Employee by the Company or the applicable Subsidiary immediately prior to the Effective Time.</w:t>
      </w:r>
    </w:p>
    <w:p>
      <w:pPr>
        <w:spacing w:after="0" w:line="3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firstLine="320"/>
        <w:spacing w:after="0" w:line="251" w:lineRule="auto"/>
        <w:tabs>
          <w:tab w:leader="none" w:pos="1738"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employee benefit plans of Parent or any of its Subsidiaries, including any “employee benefit plan,” as defined in Section 3(3) of ERISA, providing benefits to any Continuing Employee after the Effective Time (“</w:t>
      </w:r>
      <w:r>
        <w:rPr>
          <w:rFonts w:ascii="Times New Roman" w:cs="Times New Roman" w:eastAsia="Times New Roman" w:hAnsi="Times New Roman"/>
          <w:sz w:val="16"/>
          <w:szCs w:val="16"/>
          <w:b w:val="1"/>
          <w:bCs w:val="1"/>
          <w:i w:val="1"/>
          <w:iCs w:val="1"/>
          <w:color w:val="auto"/>
        </w:rPr>
        <w:t>Parent Plans</w:t>
      </w:r>
      <w:r>
        <w:rPr>
          <w:rFonts w:ascii="Times New Roman" w:cs="Times New Roman" w:eastAsia="Times New Roman" w:hAnsi="Times New Roman"/>
          <w:sz w:val="16"/>
          <w:szCs w:val="16"/>
          <w:color w:val="auto"/>
        </w:rPr>
        <w:t xml:space="preserve">”) (including any vacation, paid time-off and severance plans), for purposes of eligibility, vesting, and level of benefits (but not for benefit accrual under any defined benefit plan or retiree welfare benefit plan or vesting under any equity compensation plan), each Continuing Employee’s service with the Company or any of its Subsidiaries (as well as service with any predecessor employer of the Company or any such Subsidiary, to the extent service with the predecessor employer is recognized by the Company or such Subsidiary) shall be treated as service with Parent or one of its Subsidiaries;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such service need not be recognized to the extent that such recognition would result in any duplication of benefits for the same period of service or in respect of any Parent Plan under which similarly situated employees of Parent and its Subsidiaries do not receive credit for prior service, or that is grandfathered or frozen.</w:t>
      </w:r>
    </w:p>
    <w:p>
      <w:pPr>
        <w:spacing w:after="0" w:line="109" w:lineRule="exact"/>
        <w:rPr>
          <w:rFonts w:ascii="Times New Roman" w:cs="Times New Roman" w:eastAsia="Times New Roman" w:hAnsi="Times New Roman"/>
          <w:sz w:val="16"/>
          <w:szCs w:val="16"/>
          <w:color w:val="auto"/>
        </w:rPr>
      </w:pPr>
    </w:p>
    <w:p>
      <w:pPr>
        <w:ind w:left="1100" w:right="899" w:firstLine="320"/>
        <w:spacing w:after="0" w:line="251" w:lineRule="auto"/>
        <w:tabs>
          <w:tab w:leader="none" w:pos="173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Date, the Company Board (or the appropriate committee thereof) shall adopt resolutions and take (or cause to be taken) all such other action as is necessary or appropriate to terminate, effective no later than the day immediately preceding the Closing Date, each Company Benefit Plan that is a 401(k) retirement plan (each, a “</w:t>
      </w:r>
      <w:r>
        <w:rPr>
          <w:rFonts w:ascii="Times New Roman" w:cs="Times New Roman" w:eastAsia="Times New Roman" w:hAnsi="Times New Roman"/>
          <w:sz w:val="16"/>
          <w:szCs w:val="16"/>
          <w:b w:val="1"/>
          <w:bCs w:val="1"/>
          <w:i w:val="1"/>
          <w:iCs w:val="1"/>
          <w:color w:val="auto"/>
        </w:rPr>
        <w:t>401(k) Plan</w:t>
      </w:r>
      <w:r>
        <w:rPr>
          <w:rFonts w:ascii="Times New Roman" w:cs="Times New Roman" w:eastAsia="Times New Roman" w:hAnsi="Times New Roman"/>
          <w:sz w:val="16"/>
          <w:szCs w:val="16"/>
          <w:color w:val="auto"/>
        </w:rPr>
        <w:t xml:space="preserve">”), unless otherwise requested by Parent in writing no later than fifteen (15) Business Days prior to Closing Date. Prior to the Closing Date, the Company (or the applicable Company Subsidiary) shall execute an amendment to each 401(k) Plan that is sufficient to assure compliance with all applicable requirements of the Code so as to ensure the Tax-qualified status of each such 401(k) Plan at the time of its termination. Any resolution or amendment pursuant to this </w:t>
      </w:r>
      <w:r>
        <w:rPr>
          <w:rFonts w:ascii="Times New Roman" w:cs="Times New Roman" w:eastAsia="Times New Roman" w:hAnsi="Times New Roman"/>
          <w:sz w:val="16"/>
          <w:szCs w:val="16"/>
          <w:u w:val="single" w:color="auto"/>
          <w:color w:val="auto"/>
        </w:rPr>
        <w:t>Section 6.9(c)</w:t>
      </w:r>
      <w:r>
        <w:rPr>
          <w:rFonts w:ascii="Times New Roman" w:cs="Times New Roman" w:eastAsia="Times New Roman" w:hAnsi="Times New Roman"/>
          <w:sz w:val="16"/>
          <w:szCs w:val="16"/>
          <w:color w:val="auto"/>
        </w:rPr>
        <w:t xml:space="preserve"> shall be subject to the prior review and approval of Parent, and the Company shall deliver to Parent approved and executed final copies thereof no later than five (5) Business Days prior to the Closing Date. Prior to the Closing Date, the Company shall take (or cause to be taken) such commercially reasonable other actions in furtherance of terminating the 401(k) Plan as Parent may reasonably require.</w:t>
      </w:r>
    </w:p>
    <w:p>
      <w:pPr>
        <w:spacing w:after="0" w:line="109" w:lineRule="exact"/>
        <w:rPr>
          <w:rFonts w:ascii="Times New Roman" w:cs="Times New Roman" w:eastAsia="Times New Roman" w:hAnsi="Times New Roman"/>
          <w:sz w:val="16"/>
          <w:szCs w:val="16"/>
          <w:color w:val="auto"/>
        </w:rPr>
      </w:pPr>
    </w:p>
    <w:p>
      <w:pPr>
        <w:ind w:left="1100" w:right="939" w:firstLine="320"/>
        <w:spacing w:after="0" w:line="251" w:lineRule="auto"/>
        <w:tabs>
          <w:tab w:leader="none" w:pos="1738"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Parent employee benefit plan of Parent or Parent Bank that is a health, dental, vision or other welfare plan in which any Continuing Employee is eligible to participate following the Closing Date, Parent or its applicable Subsidiary shall use commercially reasonable efforts as are necessary or appropriate to (i) waive any waiting period limitation or evidence of insurability requirement that would otherwise be applicable to a Continuing Employee and their eligible dependents in respect of each Parent Plan that is welfare benefit plan to the extent coverage under any such plan replaces coverage under a comparable benefit plan in which such Continuing Employee participates immediately prior to the Effective Time and to the extent such Continuing Employee had satisfied any similar limitation or requirement under a comparable benefit plan prior to the Effective Time, and (ii) to the extent permissible under applicable Law, recognize any health, dental, vision or other welfare expenses incurred by such Continuing Employee or his or her covered dependents in the year that includes the Closing Date for purposes of any applicable co-payment, deductible or annual out-of-pocket expense requirements under any such health, dental, vision or other welfare plan.</w:t>
      </w:r>
    </w:p>
    <w:p>
      <w:pPr>
        <w:spacing w:after="0" w:line="287" w:lineRule="exact"/>
        <w:rPr>
          <w:rFonts w:ascii="Times New Roman" w:cs="Times New Roman" w:eastAsia="Times New Roman" w:hAnsi="Times New Roman"/>
          <w:sz w:val="16"/>
          <w:szCs w:val="16"/>
          <w:color w:val="auto"/>
        </w:rPr>
      </w:pPr>
    </w:p>
    <w:p>
      <w:pPr>
        <w:ind w:left="1100" w:right="919" w:firstLine="320"/>
        <w:spacing w:after="0" w:line="253" w:lineRule="auto"/>
        <w:tabs>
          <w:tab w:leader="none" w:pos="173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during the period immediately following the Effective Time and prior to the first anniversary of the Effective Time, the employment of any Continuing Employee as of the Effective Time is terminated by Parent or its Subsidiaries under circumstances that would make such Continuing Employee eligible for severance under the broad-based severance plan of Parent as in effect from time to time (the “</w:t>
      </w:r>
      <w:r>
        <w:rPr>
          <w:rFonts w:ascii="Times New Roman" w:cs="Times New Roman" w:eastAsia="Times New Roman" w:hAnsi="Times New Roman"/>
          <w:sz w:val="16"/>
          <w:szCs w:val="16"/>
          <w:b w:val="1"/>
          <w:bCs w:val="1"/>
          <w:i w:val="1"/>
          <w:iCs w:val="1"/>
          <w:color w:val="auto"/>
        </w:rPr>
        <w:t>Parent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Severance Plan</w:t>
      </w:r>
      <w:r>
        <w:rPr>
          <w:rFonts w:ascii="Times New Roman" w:cs="Times New Roman" w:eastAsia="Times New Roman" w:hAnsi="Times New Roman"/>
          <w:sz w:val="16"/>
          <w:szCs w:val="16"/>
          <w:color w:val="auto"/>
        </w:rPr>
        <w:t>”), then Parent shall provide such Continuing Employee with the severance benefits under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Parent Severance Plan in accordance with its terms, including the execution and non-revocation of a general release of claims in a form satisfactory to Parent.</w:t>
      </w:r>
    </w:p>
    <w:p>
      <w:pPr>
        <w:spacing w:after="0" w:line="107" w:lineRule="exact"/>
        <w:rPr>
          <w:rFonts w:ascii="Times New Roman" w:cs="Times New Roman" w:eastAsia="Times New Roman" w:hAnsi="Times New Roman"/>
          <w:sz w:val="16"/>
          <w:szCs w:val="16"/>
          <w:color w:val="auto"/>
        </w:rPr>
      </w:pPr>
    </w:p>
    <w:p>
      <w:pPr>
        <w:ind w:left="1100" w:right="1139" w:firstLine="320"/>
        <w:spacing w:after="0" w:line="258" w:lineRule="auto"/>
        <w:tabs>
          <w:tab w:leader="none" w:pos="1714"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Date, the Company shall take all necessary action to effectuate the matters with respect to the Company Benefit Plans as set forth on Section 5.1(j) of the Company Disclosure Memorandum. Parent will take all necessary action to effectuate the matters set forth on Section 6.9(f) of the Company Disclosure Memorandum.</w:t>
      </w:r>
    </w:p>
    <w:p>
      <w:pPr>
        <w:spacing w:after="0" w:line="102" w:lineRule="exact"/>
        <w:rPr>
          <w:rFonts w:ascii="Times New Roman" w:cs="Times New Roman" w:eastAsia="Times New Roman" w:hAnsi="Times New Roman"/>
          <w:sz w:val="16"/>
          <w:szCs w:val="16"/>
          <w:color w:val="auto"/>
        </w:rPr>
      </w:pPr>
    </w:p>
    <w:p>
      <w:pPr>
        <w:ind w:left="1100" w:right="919" w:firstLine="320"/>
        <w:spacing w:after="0" w:line="263" w:lineRule="auto"/>
        <w:tabs>
          <w:tab w:leader="none" w:pos="174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Effective Time, any notices or communication materials (including website postings) from the Company or the Company Subsidiaries to their employees or other service providers regarding employment, compensation or benefits matters addressed in this Agreement or related, directly or indirectly,</w:t>
      </w:r>
    </w:p>
    <w:p>
      <w:pPr>
        <w:spacing w:after="0" w:line="3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60" w:name="page161"/>
    <w:bookmarkEnd w:id="16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100" w:right="1219"/>
        <w:spacing w:after="0" w:line="256" w:lineRule="auto"/>
        <w:rPr>
          <w:sz w:val="20"/>
          <w:szCs w:val="20"/>
          <w:color w:val="auto"/>
        </w:rPr>
      </w:pPr>
      <w:r>
        <w:rPr>
          <w:rFonts w:ascii="Times New Roman" w:cs="Times New Roman" w:eastAsia="Times New Roman" w:hAnsi="Times New Roman"/>
          <w:sz w:val="16"/>
          <w:szCs w:val="16"/>
          <w:color w:val="auto"/>
        </w:rPr>
        <w:t>to the transactions contemplated hereby or employment or compensation or benefits thereafter, shall be subject to the prior review and comment of Parent, and shall be mutually agreed between Parent and the Company prior to distribution.</w:t>
      </w:r>
    </w:p>
    <w:p>
      <w:pPr>
        <w:spacing w:after="0" w:line="90" w:lineRule="exact"/>
        <w:rPr>
          <w:sz w:val="20"/>
          <w:szCs w:val="20"/>
          <w:color w:val="auto"/>
        </w:rPr>
      </w:pPr>
    </w:p>
    <w:p>
      <w:pPr>
        <w:ind w:left="1100" w:right="959" w:firstLine="320"/>
        <w:spacing w:after="0" w:line="241" w:lineRule="auto"/>
        <w:tabs>
          <w:tab w:leader="none" w:pos="1741"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in this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 xml:space="preserve">, expressed or implied, is intended to confer upon any other Person any rights or remedies of any nature whatsoever under or by reason of this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 xml:space="preserve">. Without limiting the foregoing, no provision of this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 xml:space="preserve"> will create any third party beneficiary rights in any current or former employee, director or consultant of Company Bank in respect of continued employment (or resumed employment) or any other matter. Nothing in this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 xml:space="preserve"> is intended (i) to amend any Company Benefit Plan or any Parent Plan, (ii) interfere with the right of either Parent or Parent Bank from and after the Closing Date to amend or terminate any Company Benefit Plan that is not terminated prior to the Effective Time or amend or terminate any Parent Plan, or (iii) interfere with the right of either Parent or Parent Bank from and after the Effective Time to terminate the employment or provision of services by any director, employee, independent contractor, consultant or other service provider.</w:t>
      </w:r>
    </w:p>
    <w:p>
      <w:pPr>
        <w:spacing w:after="0" w:line="1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6.10 Indemnification; Directors’ and Officers’ Insurance</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899" w:firstLine="320"/>
        <w:spacing w:after="0"/>
        <w:tabs>
          <w:tab w:leader="none" w:pos="1732"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Effective Time and for a period of six (6) years thereafter, the Surviving Corporation shall (i) indemnify and hold harmless each individual who at the Effective Time is, or at any time prior to the Effective Time was, a director or officer of the Company or any of the Company Subsidiaries (the “</w:t>
      </w:r>
      <w:r>
        <w:rPr>
          <w:rFonts w:ascii="Times New Roman" w:cs="Times New Roman" w:eastAsia="Times New Roman" w:hAnsi="Times New Roman"/>
          <w:sz w:val="16"/>
          <w:szCs w:val="16"/>
          <w:b w:val="1"/>
          <w:bCs w:val="1"/>
          <w:i w:val="1"/>
          <w:iCs w:val="1"/>
          <w:color w:val="auto"/>
        </w:rPr>
        <w:t>Indemnitees</w:t>
      </w:r>
      <w:r>
        <w:rPr>
          <w:rFonts w:ascii="Times New Roman" w:cs="Times New Roman" w:eastAsia="Times New Roman" w:hAnsi="Times New Roman"/>
          <w:sz w:val="16"/>
          <w:szCs w:val="16"/>
          <w:color w:val="auto"/>
        </w:rPr>
        <w:t xml:space="preserve">”) in respect of all claims, liabilities, losses, damages, judgments, fines, penalties, settlements, costs and expenses (including reasonable legal expenses) in connection with any claim, suit, action, proceeding or investigation, whenever asserted, based on or arising out of the fact that Indemnitee was an officer or director of the Company or any of the Company Subsidiaries or acts or omissions by Indemnitee in such capacity or taken at the request of the Company or any of the Company Subsidiaries, at or at any time prior to the Effective Time (including any claim, suit, action, proceeding or investigation relating to the transactions contemplated by this Agreement), to the fullest extent permitted by Law and (ii) assume all obligations of the Company and the Company Subsidiaries to Indemnitees in respect of indemnification and/or exculpation from liabilities for acts or omissions occurring at or prior to the Effective Time as provided in the Company’s Charter Documents and the Charter Documents of the Company Subsidiaries. In addition, the Surviving Corporation, from and after the Effective Time, shall promptly (and in any event within a reasonable period) advance any expenses (including legal expenses) of any Indemnitee under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as incurred, on a non-discretionary basis, to the fullest extent permitted by applicable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Indemnitee to whom expenses are advanced provides an undertaking to repay advances if it shall be determined that such Indemnitee is not entitled to be indemnified pursuant to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The Surviving Corporation shall reasonably cooperate with the Indemnitee, and the Indemnitee shall reasonably cooperate with the Surviving Corporation, in the defense of any such claim, suit, action, proceeding or investigation;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no settlement of any such matter shall be binding on an Indemnitee without such Indemnitee’s prior written consent, which shall not be unreasonably withheld, conditioned or delayed.</w:t>
      </w:r>
    </w:p>
    <w:p>
      <w:pPr>
        <w:spacing w:after="0" w:line="276" w:lineRule="exact"/>
        <w:rPr>
          <w:rFonts w:ascii="Times New Roman" w:cs="Times New Roman" w:eastAsia="Times New Roman" w:hAnsi="Times New Roman"/>
          <w:sz w:val="16"/>
          <w:szCs w:val="16"/>
          <w:color w:val="auto"/>
        </w:rPr>
      </w:pPr>
    </w:p>
    <w:p>
      <w:pPr>
        <w:ind w:left="1100" w:right="899" w:firstLine="320"/>
        <w:spacing w:after="0" w:line="250" w:lineRule="auto"/>
        <w:tabs>
          <w:tab w:leader="none" w:pos="1738"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Surviving Corporation shall maintain in effect for six (6) years after the Effective Time, the current directors’ and officers’ liability insurance policy(ies) maintained by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Surviving Corporation may substitute therefor policy(ies) which provide coverage in an amount not less than the existing coverage and have other terms not less favorable to the insured persons than the directors’ and officers’ liability insurance policy(ies) currently maintained by or for the benefit of the Company) with respect to matters occurring prior to the Effective Time;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in no event shall the Surviving Corporation be required to expend pursuant to this </w:t>
      </w:r>
      <w:r>
        <w:rPr>
          <w:rFonts w:ascii="Times New Roman" w:cs="Times New Roman" w:eastAsia="Times New Roman" w:hAnsi="Times New Roman"/>
          <w:sz w:val="16"/>
          <w:szCs w:val="16"/>
          <w:u w:val="single" w:color="auto"/>
          <w:color w:val="auto"/>
        </w:rPr>
        <w:t>Section 6.10(b)</w:t>
      </w:r>
      <w:r>
        <w:rPr>
          <w:rFonts w:ascii="Times New Roman" w:cs="Times New Roman" w:eastAsia="Times New Roman" w:hAnsi="Times New Roman"/>
          <w:sz w:val="16"/>
          <w:szCs w:val="16"/>
          <w:color w:val="auto"/>
        </w:rPr>
        <w:t xml:space="preserve"> more than an amount equal to two hundred percent (200%) of current annual premiums paid by the Company for such insurance (the “</w:t>
      </w:r>
      <w:r>
        <w:rPr>
          <w:rFonts w:ascii="Times New Roman" w:cs="Times New Roman" w:eastAsia="Times New Roman" w:hAnsi="Times New Roman"/>
          <w:sz w:val="16"/>
          <w:szCs w:val="16"/>
          <w:b w:val="1"/>
          <w:bCs w:val="1"/>
          <w:i w:val="1"/>
          <w:iCs w:val="1"/>
          <w:color w:val="auto"/>
        </w:rPr>
        <w:t>Base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Amount</w:t>
      </w:r>
      <w:r>
        <w:rPr>
          <w:rFonts w:ascii="Times New Roman" w:cs="Times New Roman" w:eastAsia="Times New Roman" w:hAnsi="Times New Roman"/>
          <w:sz w:val="16"/>
          <w:szCs w:val="16"/>
          <w:color w:val="auto"/>
        </w:rPr>
        <w:t>”) and, in the event the cost of such coverage shall exceed the Base Amount, the Surviving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Corporation shall purchase only as much coverage as reasonably practicable for such Base Amount. The provisions of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shall be deemed to have been satisfied if prepaid “tail” policy(ies) with the same terms, conditions and coverage as indicated above have been obtained by the Surviving Corporation for purposes of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The Company shall in good faith cooperate with Parent prior to the Effective Time with respect to the procurement of such “tail” policy(ies), including acquiring such “tail” policy(ies) through an insurance broker designated by Parent and shall not acquire any “tail” policy(ies) without the prior written consent of Parent (which consent shall not be unreasonably withheld, conditioned or delayed). If</w:t>
      </w: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61" w:name="page162"/>
    <w:bookmarkEnd w:id="16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79"/>
        <w:spacing w:after="0" w:line="244" w:lineRule="auto"/>
        <w:rPr>
          <w:sz w:val="20"/>
          <w:szCs w:val="20"/>
          <w:color w:val="auto"/>
        </w:rPr>
      </w:pPr>
      <w:r>
        <w:rPr>
          <w:rFonts w:ascii="Times New Roman" w:cs="Times New Roman" w:eastAsia="Times New Roman" w:hAnsi="Times New Roman"/>
          <w:sz w:val="16"/>
          <w:szCs w:val="16"/>
          <w:color w:val="auto"/>
        </w:rPr>
        <w:t xml:space="preserve">prior to the Closing the Company has not acquired such “tail” policy(ies), Parent may purchase such “tail” directors’ and officers’ liability insurance policy(ies). Such Parent -purchased “tail” policy(ies) will provide coverage in an amount not less than the existing coverage and are to have other terms not less favorable to the insured persons than the directors’ and officers’ liability insurance policy(ies) currently maintained by or for the benefit of the Company with respect to claims arising from facts or events that occurred at or before the Effective Time;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the cost of any such “tail” policy(ies) exceed the Base Amount. The Surviving Corporation shall maintain such policy(ies) in full force and effect, and continue to honor the obligations thereunder.</w:t>
      </w:r>
    </w:p>
    <w:p>
      <w:pPr>
        <w:spacing w:after="0" w:line="100" w:lineRule="exact"/>
        <w:rPr>
          <w:sz w:val="20"/>
          <w:szCs w:val="20"/>
          <w:color w:val="auto"/>
        </w:rPr>
      </w:pPr>
    </w:p>
    <w:p>
      <w:pPr>
        <w:ind w:left="1100" w:right="899" w:firstLine="320"/>
        <w:spacing w:after="0"/>
        <w:tabs>
          <w:tab w:leader="none" w:pos="1729"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are intended for the benefit of, and shall be enforceable by, each Indemnitee, his or her heirs and his or her representatives, and shall not be amended, repealed or otherwise modified in any manner that is adverse to an Indemnitee with respect to acts or omissions occurring at or prior to the Effective Time, and are in addition to, and not in substitution for, any other rights to indemnification or contribution that any Indemnitee may have under the Company Charter Documents or the Company Subsidiaries’ Charter Documents. In the event the Surviving Corporation or any of its successors or assigns (i) consolidates with or merges into any other Person and shall not be the continuing or surviving corporation or entity of such consolidation or merger or (ii) transfers all or substantially all of its properties and assets to any other Person, then, and in each such case, proper provision shall be made so that the successors and assigns of the Surviving Corporation or the purchaser of its assets and properties shall assume the obligations set forth in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shall survive the Effective Time.</w:t>
      </w:r>
    </w:p>
    <w:p>
      <w:pPr>
        <w:spacing w:after="0" w:line="285" w:lineRule="exact"/>
        <w:rPr>
          <w:sz w:val="20"/>
          <w:szCs w:val="20"/>
          <w:color w:val="auto"/>
        </w:rPr>
      </w:pPr>
    </w:p>
    <w:p>
      <w:pPr>
        <w:ind w:left="1100" w:right="1179" w:firstLine="318"/>
        <w:spacing w:after="0" w:line="246" w:lineRule="auto"/>
        <w:rPr>
          <w:sz w:val="20"/>
          <w:szCs w:val="20"/>
          <w:color w:val="auto"/>
        </w:rPr>
      </w:pPr>
      <w:r>
        <w:rPr>
          <w:rFonts w:ascii="Times New Roman" w:cs="Times New Roman" w:eastAsia="Times New Roman" w:hAnsi="Times New Roman"/>
          <w:sz w:val="16"/>
          <w:szCs w:val="16"/>
          <w:b w:val="1"/>
          <w:bCs w:val="1"/>
          <w:color w:val="auto"/>
        </w:rPr>
        <w:t>6.11 Director and Officer Resignations</w:t>
      </w:r>
      <w:r>
        <w:rPr>
          <w:rFonts w:ascii="Times New Roman" w:cs="Times New Roman" w:eastAsia="Times New Roman" w:hAnsi="Times New Roman"/>
          <w:sz w:val="16"/>
          <w:szCs w:val="16"/>
          <w:color w:val="auto"/>
        </w:rPr>
        <w:t>. At the written request of Parent, the Company shall use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reasonable best efforts to cause to be delivered to Parent resignations executed by such directors and officers of the Company and of the Company Subsidiaries, in each case specified by Parent at least three</w:t>
      </w:r>
    </w:p>
    <w:p>
      <w:pPr>
        <w:spacing w:after="0" w:line="2" w:lineRule="exact"/>
        <w:rPr>
          <w:sz w:val="20"/>
          <w:szCs w:val="20"/>
          <w:color w:val="auto"/>
        </w:rPr>
      </w:pPr>
    </w:p>
    <w:p>
      <w:pPr>
        <w:ind w:left="1100" w:right="939" w:firstLine="3"/>
        <w:spacing w:after="0" w:line="244" w:lineRule="auto"/>
        <w:tabs>
          <w:tab w:leader="none" w:pos="1337"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prior to the Closing Date, effective upon the Effective Time. For the avoidance of doubt, nothing in this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shall require such directors’ and officers’ resignation from or termination of employment by the Company (if applicable).</w:t>
      </w:r>
    </w:p>
    <w:p>
      <w:pPr>
        <w:spacing w:after="0" w:line="98" w:lineRule="exact"/>
        <w:rPr>
          <w:sz w:val="20"/>
          <w:szCs w:val="20"/>
          <w:color w:val="auto"/>
        </w:rPr>
      </w:pPr>
    </w:p>
    <w:p>
      <w:pPr>
        <w:ind w:left="1100" w:right="919" w:firstLine="318"/>
        <w:spacing w:after="0" w:line="242" w:lineRule="auto"/>
        <w:rPr>
          <w:sz w:val="20"/>
          <w:szCs w:val="20"/>
          <w:color w:val="auto"/>
        </w:rPr>
      </w:pPr>
      <w:r>
        <w:rPr>
          <w:rFonts w:ascii="Times New Roman" w:cs="Times New Roman" w:eastAsia="Times New Roman" w:hAnsi="Times New Roman"/>
          <w:sz w:val="16"/>
          <w:szCs w:val="16"/>
          <w:b w:val="1"/>
          <w:bCs w:val="1"/>
          <w:color w:val="auto"/>
        </w:rPr>
        <w:t>6.12 Further Assurances</w:t>
      </w:r>
      <w:r>
        <w:rPr>
          <w:rFonts w:ascii="Times New Roman" w:cs="Times New Roman" w:eastAsia="Times New Roman" w:hAnsi="Times New Roman"/>
          <w:sz w:val="16"/>
          <w:szCs w:val="16"/>
          <w:color w:val="auto"/>
        </w:rPr>
        <w:t>. In case at any time after the Effective Time any further action is necessary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desirable to carry out the purposes of this Agreement (including any merger between a Subsidiary of Parent, on the one hand, and a Company Subsidiary, on the other, to the extent contemplated by or reasonably incidental to the transactions contemplated by this Agreement) or to vest the Surviving Corporation with full title to all properties, assets, rights, approvals, immunities and franchises of any of the parties to the Merger or their respective Subsidiaries, the proper officers and directors of each party to this Agreement and their respective Subsidiaries shall take all such necessary action as may be reasonably requested by Parent or the Surviving Corporation.</w:t>
      </w:r>
    </w:p>
    <w:p>
      <w:pPr>
        <w:spacing w:after="0" w:line="100" w:lineRule="exact"/>
        <w:rPr>
          <w:sz w:val="20"/>
          <w:szCs w:val="20"/>
          <w:color w:val="auto"/>
        </w:rPr>
      </w:pPr>
    </w:p>
    <w:p>
      <w:pPr>
        <w:ind w:left="1100" w:right="919" w:firstLine="318"/>
        <w:spacing w:after="0" w:line="241" w:lineRule="auto"/>
        <w:rPr>
          <w:sz w:val="20"/>
          <w:szCs w:val="20"/>
          <w:color w:val="auto"/>
        </w:rPr>
      </w:pPr>
      <w:r>
        <w:rPr>
          <w:rFonts w:ascii="Times New Roman" w:cs="Times New Roman" w:eastAsia="Times New Roman" w:hAnsi="Times New Roman"/>
          <w:sz w:val="16"/>
          <w:szCs w:val="16"/>
          <w:b w:val="1"/>
          <w:bCs w:val="1"/>
          <w:color w:val="auto"/>
        </w:rPr>
        <w:t>6.13 Financial Statements</w:t>
      </w:r>
      <w:r>
        <w:rPr>
          <w:rFonts w:ascii="Times New Roman" w:cs="Times New Roman" w:eastAsia="Times New Roman" w:hAnsi="Times New Roman"/>
          <w:sz w:val="16"/>
          <w:szCs w:val="16"/>
          <w:color w:val="auto"/>
        </w:rPr>
        <w:t>. From the date of this Agreement until the Closing Date (or the termination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of this Agreement pursuant to </w:t>
      </w:r>
      <w:r>
        <w:rPr>
          <w:rFonts w:ascii="Times New Roman" w:cs="Times New Roman" w:eastAsia="Times New Roman" w:hAnsi="Times New Roman"/>
          <w:sz w:val="16"/>
          <w:szCs w:val="16"/>
          <w:u w:val="single" w:color="auto"/>
          <w:color w:val="auto"/>
        </w:rPr>
        <w:t>Article 8</w:t>
      </w:r>
      <w:r>
        <w:rPr>
          <w:rFonts w:ascii="Times New Roman" w:cs="Times New Roman" w:eastAsia="Times New Roman" w:hAnsi="Times New Roman"/>
          <w:sz w:val="16"/>
          <w:szCs w:val="16"/>
          <w:color w:val="auto"/>
        </w:rPr>
        <w:t>), the Company will provide to Parent as promptly as practicable, but in no event later than the 20th day following the end of the relevant calendar month, the monthly unaudited financial statements of the Company as provided to the Company’s management (including any related notes and schedules thereto), for each of the calendar months ended after the date of this Agreement. If the Closing Date is on or after January 1, 2027, the Company will provide to Parent as promptly as practicable, but in no event later than March 31, 2027, the consolidated audited financial statements, including the financial information of the Company as of December 31, 2026, including the balance sheets, statements of income, statements of comprehensive income, statements of changes in stockholders’ equity and statements of cash flows for the year then ended.</w:t>
      </w:r>
    </w:p>
    <w:p>
      <w:pPr>
        <w:spacing w:after="0" w:line="106" w:lineRule="exact"/>
        <w:rPr>
          <w:sz w:val="20"/>
          <w:szCs w:val="20"/>
          <w:color w:val="auto"/>
        </w:rPr>
      </w:pPr>
    </w:p>
    <w:p>
      <w:pPr>
        <w:ind w:left="1100" w:right="999" w:firstLine="318"/>
        <w:spacing w:after="0" w:line="241" w:lineRule="auto"/>
        <w:rPr>
          <w:sz w:val="20"/>
          <w:szCs w:val="20"/>
          <w:color w:val="auto"/>
        </w:rPr>
      </w:pPr>
      <w:r>
        <w:rPr>
          <w:rFonts w:ascii="Times New Roman" w:cs="Times New Roman" w:eastAsia="Times New Roman" w:hAnsi="Times New Roman"/>
          <w:sz w:val="16"/>
          <w:szCs w:val="16"/>
          <w:b w:val="1"/>
          <w:bCs w:val="1"/>
          <w:color w:val="auto"/>
        </w:rPr>
        <w:t>6.14 Notification of Certain Matters</w:t>
      </w:r>
      <w:r>
        <w:rPr>
          <w:rFonts w:ascii="Times New Roman" w:cs="Times New Roman" w:eastAsia="Times New Roman" w:hAnsi="Times New Roman"/>
          <w:sz w:val="16"/>
          <w:szCs w:val="16"/>
          <w:color w:val="auto"/>
        </w:rPr>
        <w:t>. The Company, on the one hand, and Parent, on the other hand,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shall promptly (and in any event within three (3) Business Days after becoming aware of any such breach) notify the other party in writing (a) if it believes that such party has breached any representation, warranty, covenant or agreement contained in this Agreement or (b) if it believes that any event shall have occurred that might reasonably be expected to result, individually or in the aggregate, in a failure of a condition set forth in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xml:space="preserve"> if continuing on the Closing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failure to give notice in accordance with the foregoing with respect to any breach shall not be deemed to constitute a violation of this </w:t>
      </w:r>
      <w:r>
        <w:rPr>
          <w:rFonts w:ascii="Times New Roman" w:cs="Times New Roman" w:eastAsia="Times New Roman" w:hAnsi="Times New Roman"/>
          <w:sz w:val="16"/>
          <w:szCs w:val="16"/>
          <w:u w:val="single" w:color="auto"/>
          <w:color w:val="auto"/>
        </w:rPr>
        <w:t>Section 6.14</w:t>
      </w:r>
      <w:r>
        <w:rPr>
          <w:rFonts w:ascii="Times New Roman" w:cs="Times New Roman" w:eastAsia="Times New Roman" w:hAnsi="Times New Roman"/>
          <w:sz w:val="16"/>
          <w:szCs w:val="16"/>
          <w:color w:val="auto"/>
        </w:rPr>
        <w:t xml:space="preserve"> or the failure of any condition set forth in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or</w:t>
      </w:r>
    </w:p>
    <w:p>
      <w:pPr>
        <w:spacing w:after="0" w:line="33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62" w:name="page163"/>
    <w:bookmarkEnd w:id="16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right="1159"/>
        <w:spacing w:after="0" w:line="257" w:lineRule="auto"/>
        <w:rPr>
          <w:sz w:val="20"/>
          <w:szCs w:val="20"/>
          <w:color w:val="auto"/>
        </w:rPr>
      </w:pP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to be satisfied;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the delivery of any notice pursuant to this </w:t>
      </w:r>
      <w:r>
        <w:rPr>
          <w:rFonts w:ascii="Times New Roman" w:cs="Times New Roman" w:eastAsia="Times New Roman" w:hAnsi="Times New Roman"/>
          <w:sz w:val="16"/>
          <w:szCs w:val="16"/>
          <w:u w:val="single" w:color="auto"/>
          <w:color w:val="auto"/>
        </w:rPr>
        <w:t>Section 6.14</w:t>
      </w:r>
      <w:r>
        <w:rPr>
          <w:rFonts w:ascii="Times New Roman" w:cs="Times New Roman" w:eastAsia="Times New Roman" w:hAnsi="Times New Roman"/>
          <w:sz w:val="16"/>
          <w:szCs w:val="16"/>
          <w:color w:val="auto"/>
        </w:rPr>
        <w:t xml:space="preserve"> shall not cure any breach of, or noncompliance with, any other provision of this Agreement or limit the remedies available to the party receiving such notice.</w:t>
      </w:r>
    </w:p>
    <w:p>
      <w:pPr>
        <w:spacing w:after="0" w:line="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6.15 Dissolution of 332 Spring</w:t>
      </w:r>
      <w:r>
        <w:rPr>
          <w:rFonts w:ascii="Times New Roman" w:cs="Times New Roman" w:eastAsia="Times New Roman" w:hAnsi="Times New Roman"/>
          <w:sz w:val="16"/>
          <w:szCs w:val="16"/>
          <w:color w:val="auto"/>
        </w:rPr>
        <w:t>.  In accordance with the requirements of Section 14-11-610 of the</w:t>
      </w:r>
    </w:p>
    <w:p>
      <w:pPr>
        <w:spacing w:after="0" w:line="15" w:lineRule="exact"/>
        <w:rPr>
          <w:sz w:val="20"/>
          <w:szCs w:val="20"/>
          <w:color w:val="auto"/>
        </w:rPr>
      </w:pPr>
    </w:p>
    <w:p>
      <w:pPr>
        <w:ind w:left="1100" w:right="1019"/>
        <w:spacing w:after="0"/>
        <w:rPr>
          <w:sz w:val="20"/>
          <w:szCs w:val="20"/>
          <w:color w:val="auto"/>
        </w:rPr>
      </w:pPr>
      <w:r>
        <w:rPr>
          <w:rFonts w:ascii="Times New Roman" w:cs="Times New Roman" w:eastAsia="Times New Roman" w:hAnsi="Times New Roman"/>
          <w:sz w:val="16"/>
          <w:szCs w:val="16"/>
          <w:color w:val="auto"/>
        </w:rPr>
        <w:t>GBCC and the Charter Documents of 332 Spring, the Company shall (a) adopt and approve the dissolution of 332 Spring (the “</w:t>
      </w:r>
      <w:r>
        <w:rPr>
          <w:rFonts w:ascii="Times New Roman" w:cs="Times New Roman" w:eastAsia="Times New Roman" w:hAnsi="Times New Roman"/>
          <w:sz w:val="16"/>
          <w:szCs w:val="16"/>
          <w:b w:val="1"/>
          <w:bCs w:val="1"/>
          <w:i w:val="1"/>
          <w:iCs w:val="1"/>
          <w:color w:val="auto"/>
        </w:rPr>
        <w:t>332 Spring Dissolution</w:t>
      </w:r>
      <w:r>
        <w:rPr>
          <w:rFonts w:ascii="Times New Roman" w:cs="Times New Roman" w:eastAsia="Times New Roman" w:hAnsi="Times New Roman"/>
          <w:sz w:val="16"/>
          <w:szCs w:val="16"/>
          <w:color w:val="auto"/>
        </w:rPr>
        <w:t>”) by written consent as the sole shareholder of 332 Spring,</w:t>
      </w:r>
    </w:p>
    <w:p>
      <w:pPr>
        <w:spacing w:after="0" w:line="1" w:lineRule="exact"/>
        <w:rPr>
          <w:sz w:val="20"/>
          <w:szCs w:val="20"/>
          <w:color w:val="auto"/>
        </w:rPr>
      </w:pPr>
    </w:p>
    <w:p>
      <w:pPr>
        <w:ind w:left="1100" w:right="919" w:firstLine="3"/>
        <w:spacing w:after="0" w:line="238" w:lineRule="auto"/>
        <w:tabs>
          <w:tab w:leader="none" w:pos="1337"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or cause to be filed, a certificate of termination of 332 Spring with the Secretary of State of the State of Georgia with an effective date no later than three (3) Business Days prior to the Closing Date (the “</w:t>
      </w:r>
      <w:r>
        <w:rPr>
          <w:rFonts w:ascii="Times New Roman" w:cs="Times New Roman" w:eastAsia="Times New Roman" w:hAnsi="Times New Roman"/>
          <w:sz w:val="16"/>
          <w:szCs w:val="16"/>
          <w:b w:val="1"/>
          <w:bCs w:val="1"/>
          <w:i w:val="1"/>
          <w:iCs w:val="1"/>
          <w:color w:val="auto"/>
        </w:rPr>
        <w:t>Certificate of Termination</w:t>
      </w:r>
      <w:r>
        <w:rPr>
          <w:rFonts w:ascii="Times New Roman" w:cs="Times New Roman" w:eastAsia="Times New Roman" w:hAnsi="Times New Roman"/>
          <w:sz w:val="16"/>
          <w:szCs w:val="16"/>
          <w:color w:val="auto"/>
        </w:rPr>
        <w:t>”), (c) take all other steps necessary to dissolve and wind up 332 Spring, including the making of any other required filings (together with the Certificate of Termination, the “</w:t>
      </w:r>
      <w:r>
        <w:rPr>
          <w:rFonts w:ascii="Times New Roman" w:cs="Times New Roman" w:eastAsia="Times New Roman" w:hAnsi="Times New Roman"/>
          <w:sz w:val="16"/>
          <w:szCs w:val="16"/>
          <w:b w:val="1"/>
          <w:bCs w:val="1"/>
          <w:i w:val="1"/>
          <w:iCs w:val="1"/>
          <w:color w:val="auto"/>
        </w:rPr>
        <w:t>332 Spring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Dissolution Filings</w:t>
      </w:r>
      <w:r>
        <w:rPr>
          <w:rFonts w:ascii="Times New Roman" w:cs="Times New Roman" w:eastAsia="Times New Roman" w:hAnsi="Times New Roman"/>
          <w:sz w:val="16"/>
          <w:szCs w:val="16"/>
          <w:color w:val="auto"/>
        </w:rPr>
        <w:t>”), the discharge of any outstanding liabilities and the distribution to the Company, as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sole shareholder of 332 Spring, of the assets of 332 Spring, and (d) no later than three (3) Business Days prior to the Closing Date, deliver to Parent evidence, in form and substance reasonably acceptable to Parent, of the 332 Spring Dissolution.</w:t>
      </w:r>
    </w:p>
    <w:p>
      <w:pPr>
        <w:spacing w:after="0" w:line="105" w:lineRule="exact"/>
        <w:rPr>
          <w:sz w:val="20"/>
          <w:szCs w:val="20"/>
          <w:color w:val="auto"/>
        </w:rPr>
      </w:pPr>
    </w:p>
    <w:p>
      <w:pPr>
        <w:ind w:left="1100" w:right="919" w:firstLine="318"/>
        <w:spacing w:after="0"/>
        <w:rPr>
          <w:sz w:val="20"/>
          <w:szCs w:val="20"/>
          <w:color w:val="auto"/>
        </w:rPr>
      </w:pPr>
      <w:r>
        <w:rPr>
          <w:rFonts w:ascii="Times New Roman" w:cs="Times New Roman" w:eastAsia="Times New Roman" w:hAnsi="Times New Roman"/>
          <w:sz w:val="16"/>
          <w:szCs w:val="16"/>
          <w:b w:val="1"/>
          <w:bCs w:val="1"/>
          <w:color w:val="auto"/>
        </w:rPr>
        <w:t>6.16 Litigation and Claims</w:t>
      </w:r>
      <w:r>
        <w:rPr>
          <w:rFonts w:ascii="Times New Roman" w:cs="Times New Roman" w:eastAsia="Times New Roman" w:hAnsi="Times New Roman"/>
          <w:sz w:val="16"/>
          <w:szCs w:val="16"/>
          <w:color w:val="auto"/>
        </w:rPr>
        <w:t>. The Company shall promptly, and in any event within two (2)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Days, notify Parent in writing of any Proceeding, or of any claim, controversy or contingent liability of which the Company has Knowledge that might reasonably be expected to become the subject of a Proceeding, against the Company or any of the Company’s Subsidiaries, if such Proceeding or potential Proceeding is reasonably likely to result in a Material Adverse Effect. Each party shall promptly notify the other party in writing of any Proceeding pending or, to such party’s Knowledge, threatened against such party or any of such party’s Subsidiaries that (a) questions or would reasonably be expected to question the validity of this Agreement or the other agreements contemplated hereby or any actions taken or to be taken by any party or its Subsidiaries with respect hereto or thereto, or (b) seeks to enjoin or otherwise restrain the transactions contemplated by this Agreement. The Company shall consult with Parent regarding, and the Company shall permit Parent to participate at its own expense in, the defense or settlement of any shareholder litigation against the Company and/or its directors or Affiliates relating to the transactions contemplated by this Agreement; and no other such settlement shall be agreed without Parent’s prior written consent (such consent not to be unreasonably withheld, conditioned or delayed).</w:t>
      </w:r>
    </w:p>
    <w:p>
      <w:pPr>
        <w:spacing w:after="0" w:line="105" w:lineRule="exact"/>
        <w:rPr>
          <w:sz w:val="20"/>
          <w:szCs w:val="20"/>
          <w:color w:val="auto"/>
        </w:rPr>
      </w:pPr>
    </w:p>
    <w:p>
      <w:pPr>
        <w:ind w:left="1100" w:right="959" w:firstLine="318"/>
        <w:spacing w:after="0" w:line="241" w:lineRule="auto"/>
        <w:rPr>
          <w:sz w:val="20"/>
          <w:szCs w:val="20"/>
          <w:color w:val="auto"/>
        </w:rPr>
      </w:pPr>
      <w:r>
        <w:rPr>
          <w:rFonts w:ascii="Times New Roman" w:cs="Times New Roman" w:eastAsia="Times New Roman" w:hAnsi="Times New Roman"/>
          <w:sz w:val="16"/>
          <w:szCs w:val="16"/>
          <w:b w:val="1"/>
          <w:bCs w:val="1"/>
          <w:color w:val="auto"/>
        </w:rPr>
        <w:t>6.17 Change of Method</w:t>
      </w:r>
      <w:r>
        <w:rPr>
          <w:rFonts w:ascii="Times New Roman" w:cs="Times New Roman" w:eastAsia="Times New Roman" w:hAnsi="Times New Roman"/>
          <w:sz w:val="16"/>
          <w:szCs w:val="16"/>
          <w:color w:val="auto"/>
        </w:rPr>
        <w:t>. The parties shall be empowered, upon their mutual written agreement, at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time prior to the Effective Time, to change the method or structure of effecting the combination of Parent and the Company (including the provisions of </w:t>
      </w:r>
      <w:r>
        <w:rPr>
          <w:rFonts w:ascii="Times New Roman" w:cs="Times New Roman" w:eastAsia="Times New Roman" w:hAnsi="Times New Roman"/>
          <w:sz w:val="16"/>
          <w:szCs w:val="16"/>
          <w:u w:val="single" w:color="auto"/>
          <w:color w:val="auto"/>
        </w:rPr>
        <w:t>Article 1</w:t>
      </w:r>
      <w:r>
        <w:rPr>
          <w:rFonts w:ascii="Times New Roman" w:cs="Times New Roman" w:eastAsia="Times New Roman" w:hAnsi="Times New Roman"/>
          <w:sz w:val="16"/>
          <w:szCs w:val="16"/>
          <w:color w:val="auto"/>
        </w:rPr>
        <w:t xml:space="preserve"> ), if and to the extent they both deem such change to be necessary, appropriate or desirable;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change shall (a) alter or change the Merger Consideration received by holders of Company Common Stock in exchange for each share of Company Common Stock or the cash payments received by holders of Company Stock Options, (b) adversely affect the Tax treatment of holders of Company Common Stock pursuant to this Agreement, (c) adversely affect the Tax treatment of the Company or Parent pursuant to this Agreement, (d) require any additional vote or approval of the holders of Company Common Stock or materially alter the shareholder-approval mechanics contemplated hereby, or (e) materially impede or delay the consummation of the transactions contemplated by this Agreement in a timely manner. The parties agree to reflect any such change in an appropriate amendment to this Agreement executed by both parties in accordance with </w:t>
      </w:r>
      <w:r>
        <w:rPr>
          <w:rFonts w:ascii="Times New Roman" w:cs="Times New Roman" w:eastAsia="Times New Roman" w:hAnsi="Times New Roman"/>
          <w:sz w:val="16"/>
          <w:szCs w:val="16"/>
          <w:u w:val="single" w:color="auto"/>
          <w:color w:val="auto"/>
        </w:rPr>
        <w:t>Section 9.5</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1100" w:right="899" w:firstLine="318"/>
        <w:spacing w:after="0" w:line="241" w:lineRule="auto"/>
        <w:rPr>
          <w:sz w:val="20"/>
          <w:szCs w:val="20"/>
          <w:color w:val="auto"/>
        </w:rPr>
      </w:pPr>
      <w:r>
        <w:rPr>
          <w:rFonts w:ascii="Times New Roman" w:cs="Times New Roman" w:eastAsia="Times New Roman" w:hAnsi="Times New Roman"/>
          <w:sz w:val="16"/>
          <w:szCs w:val="16"/>
          <w:b w:val="1"/>
          <w:bCs w:val="1"/>
          <w:color w:val="auto"/>
        </w:rPr>
        <w:t>6.18 Takeover Statutes</w:t>
      </w:r>
      <w:r>
        <w:rPr>
          <w:rFonts w:ascii="Times New Roman" w:cs="Times New Roman" w:eastAsia="Times New Roman" w:hAnsi="Times New Roman"/>
          <w:sz w:val="16"/>
          <w:szCs w:val="16"/>
          <w:color w:val="auto"/>
        </w:rPr>
        <w:t>. None of Parent, the Company or their respective Boards of Directors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 any action that would cause any Takeover Statute to become applicable to this Agreement, the Merger or any of the other transactions contemplated hereby, and each shall take all necessary steps to exempt (or ensure the continued exemption of) the Merger and the other transactions contemplated hereby from any applicable Takeover Statute now or hereafter in effect. If any Takeover Statute may become, or may purport to be, applicable to the transactions contemplated hereby, each party and the members of its Board of Directors will grant such approvals and take such actions as are necessary so that the transactions contemplated hereby may be consummated as promptly as practicable on the terms contemplated hereby and otherwise act to eliminate or minimize the effects of any Takeover Statute on any of the transactions contemplated hereby, including, if necessary, challenging the validity or applicability of any such Takeover Statute.</w:t>
      </w:r>
    </w:p>
    <w:p>
      <w:pPr>
        <w:spacing w:after="0" w:line="285" w:lineRule="exact"/>
        <w:rPr>
          <w:sz w:val="20"/>
          <w:szCs w:val="20"/>
          <w:color w:val="auto"/>
        </w:rPr>
      </w:pPr>
    </w:p>
    <w:p>
      <w:pPr>
        <w:ind w:left="1100" w:right="1299" w:firstLine="318"/>
        <w:spacing w:after="0" w:line="281" w:lineRule="auto"/>
        <w:rPr>
          <w:sz w:val="20"/>
          <w:szCs w:val="20"/>
          <w:color w:val="auto"/>
        </w:rPr>
      </w:pPr>
      <w:r>
        <w:rPr>
          <w:rFonts w:ascii="Times New Roman" w:cs="Times New Roman" w:eastAsia="Times New Roman" w:hAnsi="Times New Roman"/>
          <w:sz w:val="16"/>
          <w:szCs w:val="16"/>
          <w:b w:val="1"/>
          <w:bCs w:val="1"/>
          <w:color w:val="auto"/>
        </w:rPr>
        <w:t>6.19 Reorganization</w:t>
      </w:r>
      <w:r>
        <w:rPr>
          <w:rFonts w:ascii="Times New Roman" w:cs="Times New Roman" w:eastAsia="Times New Roman" w:hAnsi="Times New Roman"/>
          <w:sz w:val="16"/>
          <w:szCs w:val="16"/>
          <w:color w:val="auto"/>
        </w:rPr>
        <w:t>. The parties intend that the Merger qualify as a “reorganization” within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meaning of Section 368(a) of the Code and that this Agreement constitute and be adopted as a “plan of</w:t>
      </w:r>
    </w:p>
    <w:p>
      <w:pPr>
        <w:spacing w:after="0" w:line="2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63" w:name="page164"/>
    <w:bookmarkEnd w:id="16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spacing w:after="0" w:line="243" w:lineRule="auto"/>
        <w:rPr>
          <w:sz w:val="20"/>
          <w:szCs w:val="20"/>
          <w:color w:val="auto"/>
        </w:rPr>
      </w:pPr>
      <w:r>
        <w:rPr>
          <w:rFonts w:ascii="Times New Roman" w:cs="Times New Roman" w:eastAsia="Times New Roman" w:hAnsi="Times New Roman"/>
          <w:sz w:val="16"/>
          <w:szCs w:val="16"/>
          <w:color w:val="auto"/>
        </w:rPr>
        <w:t>reorganization” within the meaning of Treasury Regulations Section 1.368-2(g) and for purposes of Sections 354 and 361 of the Code. From and after the date of this Agreement and until the Effective Time, each of Parent and the Company shall use its commercially reasonable efforts to cause the Merger to qualify as a “reorganization” within the meaning of Section 368(a) of the Code, and will not knowingly take any action, cause any action to be taken, fail to take any action or cause any action to fail to be taken which action or failure to act could reasonably be expected to prevent the Merger from qualifying as a “reorganization” within the meaning of Section 368(a) of the Code.</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6.20 Transition; Informational Systems Conversion</w:t>
      </w:r>
      <w:r>
        <w:rPr>
          <w:rFonts w:ascii="Times New Roman" w:cs="Times New Roman" w:eastAsia="Times New Roman" w:hAnsi="Times New Roman"/>
          <w:sz w:val="16"/>
          <w:szCs w:val="16"/>
          <w:color w:val="auto"/>
        </w:rPr>
        <w:t>.  From and after the date hereof, at Parent’s</w:t>
      </w:r>
    </w:p>
    <w:p>
      <w:pPr>
        <w:spacing w:after="0" w:line="26" w:lineRule="exact"/>
        <w:rPr>
          <w:sz w:val="20"/>
          <w:szCs w:val="20"/>
          <w:color w:val="auto"/>
        </w:rPr>
      </w:pPr>
    </w:p>
    <w:p>
      <w:pPr>
        <w:ind w:left="1100" w:right="919"/>
        <w:spacing w:after="0" w:line="238" w:lineRule="auto"/>
        <w:rPr>
          <w:sz w:val="20"/>
          <w:szCs w:val="20"/>
          <w:color w:val="auto"/>
        </w:rPr>
      </w:pPr>
      <w:r>
        <w:rPr>
          <w:rFonts w:ascii="Times New Roman" w:cs="Times New Roman" w:eastAsia="Times New Roman" w:hAnsi="Times New Roman"/>
          <w:sz w:val="16"/>
          <w:szCs w:val="16"/>
          <w:color w:val="auto"/>
        </w:rPr>
        <w:t>request, the Company will use its commercially reasonable efforts to cooperate with Parent to facilitate the integration of the Company with the business of Parent following consummation of the transactions contemplated hereby, and representatives of the Company shall be available to meet with representatives of Parent on a regular basis to discuss and plan for the conversion of the data processing and related electronic informational systems of the Company and each of its Subsidiaries (the “</w:t>
      </w:r>
      <w:r>
        <w:rPr>
          <w:rFonts w:ascii="Times New Roman" w:cs="Times New Roman" w:eastAsia="Times New Roman" w:hAnsi="Times New Roman"/>
          <w:sz w:val="16"/>
          <w:szCs w:val="16"/>
          <w:b w:val="1"/>
          <w:bCs w:val="1"/>
          <w:i w:val="1"/>
          <w:iCs w:val="1"/>
          <w:color w:val="auto"/>
        </w:rPr>
        <w:t>Informational Systems Conversion</w:t>
      </w:r>
      <w:r>
        <w:rPr>
          <w:rFonts w:ascii="Times New Roman" w:cs="Times New Roman" w:eastAsia="Times New Roman" w:hAnsi="Times New Roman"/>
          <w:sz w:val="16"/>
          <w:szCs w:val="16"/>
          <w:color w:val="auto"/>
        </w:rPr>
        <w:t>”) to those used by Parent. Parent shall promptly reimburse the Company on request for any reasonable and documented out-of-pocket fees, expenses or charges that the Company may incur as a result of taking, at the request of Parent, any action prior to the Effective Time to facilitate the Informational Systems Conversion.</w:t>
      </w:r>
    </w:p>
    <w:p>
      <w:pPr>
        <w:spacing w:after="0" w:line="106" w:lineRule="exact"/>
        <w:rPr>
          <w:sz w:val="20"/>
          <w:szCs w:val="20"/>
          <w:color w:val="auto"/>
        </w:rPr>
      </w:pPr>
    </w:p>
    <w:p>
      <w:pPr>
        <w:ind w:left="1100" w:right="899" w:firstLine="318"/>
        <w:spacing w:after="0" w:line="246" w:lineRule="auto"/>
        <w:rPr>
          <w:sz w:val="20"/>
          <w:szCs w:val="20"/>
          <w:color w:val="auto"/>
        </w:rPr>
      </w:pPr>
      <w:r>
        <w:rPr>
          <w:rFonts w:ascii="Times New Roman" w:cs="Times New Roman" w:eastAsia="Times New Roman" w:hAnsi="Times New Roman"/>
          <w:sz w:val="16"/>
          <w:szCs w:val="16"/>
          <w:b w:val="1"/>
          <w:bCs w:val="1"/>
          <w:color w:val="auto"/>
        </w:rPr>
        <w:t xml:space="preserve">6.21 Dividends. </w:t>
      </w:r>
      <w:r>
        <w:rPr>
          <w:rFonts w:ascii="Times New Roman" w:cs="Times New Roman" w:eastAsia="Times New Roman" w:hAnsi="Times New Roman"/>
          <w:sz w:val="16"/>
          <w:szCs w:val="16"/>
          <w:color w:val="auto"/>
        </w:rPr>
        <w:t>After the date of this Agreement, the Company shall coordinate with Parent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declaration of any dividend in respect of Company Common Stock and the record date and payment date relating thereto, it being the intention of the parties hereto that holders of Company Common Stock shall not receive two (2) dividends, or fail to receive one (1) dividend, in any quarter with respect to their shares of Common Stock and any shares of Parent Common Stock any such holder receives in exchange therefor in the Merger.</w:t>
      </w:r>
    </w:p>
    <w:p>
      <w:pPr>
        <w:spacing w:after="0" w:line="284" w:lineRule="exact"/>
        <w:rPr>
          <w:sz w:val="20"/>
          <w:szCs w:val="20"/>
          <w:color w:val="auto"/>
        </w:rPr>
      </w:pPr>
    </w:p>
    <w:p>
      <w:pPr>
        <w:ind w:left="1100" w:right="1159" w:firstLine="318"/>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6.22 Domain Names. </w:t>
      </w:r>
      <w:r>
        <w:rPr>
          <w:rFonts w:ascii="Times New Roman" w:cs="Times New Roman" w:eastAsia="Times New Roman" w:hAnsi="Times New Roman"/>
          <w:sz w:val="16"/>
          <w:szCs w:val="16"/>
          <w:color w:val="auto"/>
        </w:rPr>
        <w:t>Reasonably promptly following the date hereof (and in any case prior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Closing), the Company shall take such actions as are necessary to cause each domain name listed on Section 3.17 of the Company Disclosure Memorandum to be exclusively owned and controlled by the Company as registrant, including carrying out any required domain name or account transfer procedures.</w:t>
      </w:r>
    </w:p>
    <w:p>
      <w:pPr>
        <w:spacing w:after="0" w:line="16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ARTICLE 7</w:t>
      </w:r>
    </w:p>
    <w:p>
      <w:pPr>
        <w:spacing w:after="0" w:line="1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CONDITIONS PRECEDENT</w:t>
      </w:r>
    </w:p>
    <w:p>
      <w:pPr>
        <w:spacing w:after="0" w:line="106" w:lineRule="exact"/>
        <w:rPr>
          <w:sz w:val="20"/>
          <w:szCs w:val="20"/>
          <w:color w:val="auto"/>
        </w:rPr>
      </w:pPr>
    </w:p>
    <w:p>
      <w:pPr>
        <w:ind w:left="1100" w:right="1279" w:firstLine="318"/>
        <w:spacing w:after="0" w:line="257" w:lineRule="auto"/>
        <w:rPr>
          <w:sz w:val="20"/>
          <w:szCs w:val="20"/>
          <w:color w:val="auto"/>
        </w:rPr>
      </w:pPr>
      <w:r>
        <w:rPr>
          <w:rFonts w:ascii="Times New Roman" w:cs="Times New Roman" w:eastAsia="Times New Roman" w:hAnsi="Times New Roman"/>
          <w:sz w:val="16"/>
          <w:szCs w:val="16"/>
          <w:b w:val="1"/>
          <w:bCs w:val="1"/>
          <w:color w:val="auto"/>
        </w:rPr>
        <w:t>7.1 Conditions to Each Party’s Obligations to Effect the Merger</w:t>
      </w:r>
      <w:r>
        <w:rPr>
          <w:rFonts w:ascii="Times New Roman" w:cs="Times New Roman" w:eastAsia="Times New Roman" w:hAnsi="Times New Roman"/>
          <w:sz w:val="16"/>
          <w:szCs w:val="16"/>
          <w:color w:val="auto"/>
        </w:rPr>
        <w:t>. The respective obligations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parties to effect the Merger shall be subject to the satisfaction at or prior to the Effective Time of the following conditions:</w:t>
      </w:r>
    </w:p>
    <w:p>
      <w:pPr>
        <w:spacing w:after="0" w:line="90" w:lineRule="exact"/>
        <w:rPr>
          <w:sz w:val="20"/>
          <w:szCs w:val="20"/>
          <w:color w:val="auto"/>
        </w:rPr>
      </w:pPr>
    </w:p>
    <w:p>
      <w:pPr>
        <w:ind w:left="1420" w:right="959" w:firstLine="318"/>
        <w:spacing w:after="0" w:line="248" w:lineRule="auto"/>
        <w:tabs>
          <w:tab w:leader="none" w:pos="2052"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Shareholder Approval</w:t>
      </w:r>
      <w:r>
        <w:rPr>
          <w:rFonts w:ascii="Times New Roman" w:cs="Times New Roman" w:eastAsia="Times New Roman" w:hAnsi="Times New Roman"/>
          <w:sz w:val="16"/>
          <w:szCs w:val="16"/>
          <w:color w:val="auto"/>
        </w:rPr>
        <w:t>. This Agreement and the transactions contemplated hereby, including the Merger, shall have been approved by the Company Shareholders by the Requisite Company Shareholder Vote.</w:t>
      </w:r>
    </w:p>
    <w:p>
      <w:pPr>
        <w:spacing w:after="0" w:line="96" w:lineRule="exact"/>
        <w:rPr>
          <w:rFonts w:ascii="Times New Roman" w:cs="Times New Roman" w:eastAsia="Times New Roman" w:hAnsi="Times New Roman"/>
          <w:sz w:val="16"/>
          <w:szCs w:val="16"/>
          <w:color w:val="auto"/>
        </w:rPr>
      </w:pPr>
    </w:p>
    <w:p>
      <w:pPr>
        <w:ind w:left="1420" w:right="919" w:firstLine="318"/>
        <w:spacing w:after="0" w:line="245" w:lineRule="auto"/>
        <w:tabs>
          <w:tab w:leader="none" w:pos="2061"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Effectiveness of Registration Statement</w:t>
      </w:r>
      <w:r>
        <w:rPr>
          <w:rFonts w:ascii="Times New Roman" w:cs="Times New Roman" w:eastAsia="Times New Roman" w:hAnsi="Times New Roman"/>
          <w:sz w:val="16"/>
          <w:szCs w:val="16"/>
          <w:color w:val="auto"/>
        </w:rPr>
        <w:t>. 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 and, if the transactions contemplated by this Agreement are subject to the securities laws of any state, the Registration Statement shall not be subject to a stop order of any state securities commissioner.</w:t>
      </w:r>
    </w:p>
    <w:p>
      <w:pPr>
        <w:spacing w:after="0" w:line="100" w:lineRule="exact"/>
        <w:rPr>
          <w:rFonts w:ascii="Times New Roman" w:cs="Times New Roman" w:eastAsia="Times New Roman" w:hAnsi="Times New Roman"/>
          <w:sz w:val="16"/>
          <w:szCs w:val="16"/>
          <w:color w:val="auto"/>
        </w:rPr>
      </w:pPr>
    </w:p>
    <w:p>
      <w:pPr>
        <w:ind w:left="1420" w:right="959" w:firstLine="318"/>
        <w:spacing w:after="0" w:line="263" w:lineRule="auto"/>
        <w:tabs>
          <w:tab w:leader="none" w:pos="2052"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NYSE Listing</w:t>
      </w:r>
      <w:r>
        <w:rPr>
          <w:rFonts w:ascii="Times New Roman" w:cs="Times New Roman" w:eastAsia="Times New Roman" w:hAnsi="Times New Roman"/>
          <w:sz w:val="16"/>
          <w:szCs w:val="16"/>
          <w:color w:val="auto"/>
        </w:rPr>
        <w:t>. The shares of Parent Common Stock to be issued pursuant to this Agreement shall have been authorized for listing on NYSE, subject to official notice of issuance.</w:t>
      </w:r>
    </w:p>
    <w:p>
      <w:pPr>
        <w:spacing w:after="0" w:line="85" w:lineRule="exact"/>
        <w:rPr>
          <w:rFonts w:ascii="Times New Roman" w:cs="Times New Roman" w:eastAsia="Times New Roman" w:hAnsi="Times New Roman"/>
          <w:sz w:val="16"/>
          <w:szCs w:val="16"/>
          <w:color w:val="auto"/>
        </w:rPr>
      </w:pPr>
    </w:p>
    <w:p>
      <w:pPr>
        <w:ind w:left="1420" w:right="919" w:firstLine="318"/>
        <w:spacing w:after="0" w:line="248" w:lineRule="auto"/>
        <w:tabs>
          <w:tab w:leader="none" w:pos="2061"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Approvals</w:t>
      </w:r>
      <w:r>
        <w:rPr>
          <w:rFonts w:ascii="Times New Roman" w:cs="Times New Roman" w:eastAsia="Times New Roman" w:hAnsi="Times New Roman"/>
          <w:sz w:val="16"/>
          <w:szCs w:val="16"/>
          <w:color w:val="auto"/>
        </w:rPr>
        <w:t>. All Regulatory Approvals shall have been obtained and shall remain in full force and effect and all statutory waiting periods in respect thereof shall have expired, and no such Regulatory Approval shall have resulted in the imposition of a Materially Burdensome Regulatory Condition.</w:t>
      </w:r>
    </w:p>
    <w:p>
      <w:pPr>
        <w:spacing w:after="0" w:line="97" w:lineRule="exact"/>
        <w:rPr>
          <w:rFonts w:ascii="Times New Roman" w:cs="Times New Roman" w:eastAsia="Times New Roman" w:hAnsi="Times New Roman"/>
          <w:sz w:val="16"/>
          <w:szCs w:val="16"/>
          <w:color w:val="auto"/>
        </w:rPr>
      </w:pPr>
    </w:p>
    <w:p>
      <w:pPr>
        <w:ind w:left="1420" w:right="939" w:firstLine="318"/>
        <w:spacing w:after="0" w:line="279" w:lineRule="auto"/>
        <w:tabs>
          <w:tab w:leader="none" w:pos="2052"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Injunctions or Restraints; Illegality</w:t>
      </w:r>
      <w:r>
        <w:rPr>
          <w:rFonts w:ascii="Times New Roman" w:cs="Times New Roman" w:eastAsia="Times New Roman" w:hAnsi="Times New Roman"/>
          <w:sz w:val="16"/>
          <w:szCs w:val="16"/>
          <w:color w:val="auto"/>
        </w:rPr>
        <w:t>. No Order, injunction or decree issued by any court or agency of competent jurisdiction or other legal restraint or prohibition preventing the consummation</w:t>
      </w:r>
    </w:p>
    <w:p>
      <w:pPr>
        <w:spacing w:after="0" w:line="2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64" w:name="page165"/>
    <w:bookmarkEnd w:id="16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39"/>
        <w:spacing w:after="0" w:line="248" w:lineRule="auto"/>
        <w:rPr>
          <w:sz w:val="20"/>
          <w:szCs w:val="20"/>
          <w:color w:val="auto"/>
        </w:rPr>
      </w:pPr>
      <w:r>
        <w:rPr>
          <w:rFonts w:ascii="Times New Roman" w:cs="Times New Roman" w:eastAsia="Times New Roman" w:hAnsi="Times New Roman"/>
          <w:sz w:val="16"/>
          <w:szCs w:val="16"/>
          <w:color w:val="auto"/>
        </w:rPr>
        <w:t>of the Merger or any of the other transactions contemplated by this Agreement shall be in effect. No Law, statute, rule, regulation, order, injunction or decree shall have been enacted, entered, promulgated or enforced by any Governmental Authority that prohibits or makes illegal consummation of the Merger or any of the other transactions contemplated by this Agreement.</w:t>
      </w:r>
    </w:p>
    <w:p>
      <w:pPr>
        <w:spacing w:after="0" w:line="95" w:lineRule="exact"/>
        <w:rPr>
          <w:sz w:val="20"/>
          <w:szCs w:val="20"/>
          <w:color w:val="auto"/>
        </w:rPr>
      </w:pPr>
    </w:p>
    <w:p>
      <w:pPr>
        <w:ind w:left="1100" w:right="1059" w:firstLine="318"/>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7.2 Conditions to Obligation of Parent. </w:t>
      </w:r>
      <w:r>
        <w:rPr>
          <w:rFonts w:ascii="Times New Roman" w:cs="Times New Roman" w:eastAsia="Times New Roman" w:hAnsi="Times New Roman"/>
          <w:sz w:val="16"/>
          <w:szCs w:val="16"/>
          <w:color w:val="auto"/>
        </w:rPr>
        <w:t>The obligation of Parent to effect the Merger is also subject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satisfaction (or waiver in writing by Parent), at or prior to the Effective Time, of the following conditions:</w:t>
      </w:r>
    </w:p>
    <w:p>
      <w:pPr>
        <w:spacing w:after="0" w:line="278" w:lineRule="exact"/>
        <w:rPr>
          <w:sz w:val="20"/>
          <w:szCs w:val="20"/>
          <w:color w:val="auto"/>
        </w:rPr>
      </w:pPr>
    </w:p>
    <w:p>
      <w:pPr>
        <w:ind w:left="1420" w:right="919" w:firstLine="318"/>
        <w:spacing w:after="0"/>
        <w:tabs>
          <w:tab w:leader="none" w:pos="2052"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xml:space="preserve">. The representations and warranties of the Company contained in </w:t>
      </w:r>
      <w:r>
        <w:rPr>
          <w:rFonts w:ascii="Times New Roman" w:cs="Times New Roman" w:eastAsia="Times New Roman" w:hAnsi="Times New Roman"/>
          <w:sz w:val="16"/>
          <w:szCs w:val="16"/>
          <w:u w:val="single" w:color="auto"/>
          <w:color w:val="auto"/>
        </w:rPr>
        <w:t>Sections 3.1(a)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3.7(b)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3.29</w:t>
      </w:r>
      <w:r>
        <w:rPr>
          <w:rFonts w:ascii="Times New Roman" w:cs="Times New Roman" w:eastAsia="Times New Roman" w:hAnsi="Times New Roman"/>
          <w:sz w:val="16"/>
          <w:szCs w:val="16"/>
          <w:color w:val="auto"/>
        </w:rPr>
        <w:t xml:space="preserve"> (in each case, without giving effect to any qualification as to materiality or Material Adverse Effect contained therein) shall be true and correct in all respects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The representations and warranties of the Company contained in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(in each case, without giving effect to any qualification as to materiality or Material Adverse Effect contained therein) shall be true and correct in all respects (except for inaccuracies which would not reasonably be expected to result in additional payments by Parent, the Company or their Affiliates under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that are more than $500,000 in the aggregate)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All other representations and warranties of the Company contained herein (in each case, without giving effect to any qualification as to materiality or Company Material Adverse Effect contained therein) shall be true and correct in all respects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except where the failure of such representations to be so true and correct has not had or resulted in, and would not reasonably be expected to have or result in, individually or in the aggregate, a Material Adverse Effect on the Company.</w:t>
      </w:r>
    </w:p>
    <w:p>
      <w:pPr>
        <w:spacing w:after="0" w:line="275" w:lineRule="exact"/>
        <w:rPr>
          <w:rFonts w:ascii="Times New Roman" w:cs="Times New Roman" w:eastAsia="Times New Roman" w:hAnsi="Times New Roman"/>
          <w:sz w:val="16"/>
          <w:szCs w:val="16"/>
          <w:color w:val="auto"/>
        </w:rPr>
      </w:pPr>
    </w:p>
    <w:p>
      <w:pPr>
        <w:ind w:left="1420" w:right="959" w:firstLine="318"/>
        <w:spacing w:after="0" w:line="279" w:lineRule="auto"/>
        <w:tabs>
          <w:tab w:leader="none" w:pos="2061"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Agreements</w:t>
      </w:r>
      <w:r>
        <w:rPr>
          <w:rFonts w:ascii="Times New Roman" w:cs="Times New Roman" w:eastAsia="Times New Roman" w:hAnsi="Times New Roman"/>
          <w:sz w:val="16"/>
          <w:szCs w:val="16"/>
          <w:color w:val="auto"/>
        </w:rPr>
        <w:t>. The Company shall have performed in all material respects the obligations required to be performed by it under this Agreement at or prior to the Closing Date.</w:t>
      </w:r>
    </w:p>
    <w:p>
      <w:pPr>
        <w:spacing w:after="0" w:line="72" w:lineRule="exact"/>
        <w:rPr>
          <w:rFonts w:ascii="Times New Roman" w:cs="Times New Roman" w:eastAsia="Times New Roman" w:hAnsi="Times New Roman"/>
          <w:sz w:val="16"/>
          <w:szCs w:val="16"/>
          <w:color w:val="auto"/>
        </w:rPr>
      </w:pPr>
    </w:p>
    <w:p>
      <w:pPr>
        <w:ind w:left="1420" w:right="979" w:firstLine="318"/>
        <w:spacing w:after="0" w:line="248" w:lineRule="auto"/>
        <w:tabs>
          <w:tab w:leader="none" w:pos="2052"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Adverse Effect</w:t>
      </w:r>
      <w:r>
        <w:rPr>
          <w:rFonts w:ascii="Times New Roman" w:cs="Times New Roman" w:eastAsia="Times New Roman" w:hAnsi="Times New Roman"/>
          <w:sz w:val="16"/>
          <w:szCs w:val="16"/>
          <w:color w:val="auto"/>
        </w:rPr>
        <w:t>. Since the date of this Agreement, there shall not have occurred any change, state of facts, event, development or effect that has had, or would reasonably be expected to have, either individually or in the aggregate, a Material Adverse Effect on the Company.</w:t>
      </w:r>
    </w:p>
    <w:p>
      <w:pPr>
        <w:spacing w:after="0" w:line="96" w:lineRule="exact"/>
        <w:rPr>
          <w:rFonts w:ascii="Times New Roman" w:cs="Times New Roman" w:eastAsia="Times New Roman" w:hAnsi="Times New Roman"/>
          <w:sz w:val="16"/>
          <w:szCs w:val="16"/>
          <w:color w:val="auto"/>
        </w:rPr>
      </w:pPr>
    </w:p>
    <w:p>
      <w:pPr>
        <w:ind w:left="1420" w:right="1079" w:firstLine="318"/>
        <w:spacing w:after="0" w:line="248" w:lineRule="auto"/>
        <w:tabs>
          <w:tab w:leader="none" w:pos="2061"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Officer’s Certificate</w:t>
      </w:r>
      <w:r>
        <w:rPr>
          <w:rFonts w:ascii="Times New Roman" w:cs="Times New Roman" w:eastAsia="Times New Roman" w:hAnsi="Times New Roman"/>
          <w:sz w:val="16"/>
          <w:szCs w:val="16"/>
          <w:color w:val="auto"/>
        </w:rPr>
        <w:t xml:space="preserve">. Parent shall have received a certificate, dated as of the Closing Date, signed by the Chief Executive Officer or Chief Financial Officer of the Company, and otherwise in form and substance reasonably satisfactory to Parent, to the effect that the conditions set forth in </w:t>
      </w:r>
      <w:r>
        <w:rPr>
          <w:rFonts w:ascii="Times New Roman" w:cs="Times New Roman" w:eastAsia="Times New Roman" w:hAnsi="Times New Roman"/>
          <w:sz w:val="16"/>
          <w:szCs w:val="16"/>
          <w:u w:val="single" w:color="auto"/>
          <w:color w:val="auto"/>
        </w:rPr>
        <w:t>Sections 7.2(a)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7.2(b)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7.2(c)</w:t>
      </w:r>
      <w:r>
        <w:rPr>
          <w:rFonts w:ascii="Times New Roman" w:cs="Times New Roman" w:eastAsia="Times New Roman" w:hAnsi="Times New Roman"/>
          <w:sz w:val="16"/>
          <w:szCs w:val="16"/>
          <w:color w:val="auto"/>
        </w:rPr>
        <w:t xml:space="preserve"> have been satisfied.</w:t>
      </w:r>
    </w:p>
    <w:p>
      <w:pPr>
        <w:spacing w:after="0" w:line="97" w:lineRule="exact"/>
        <w:rPr>
          <w:rFonts w:ascii="Times New Roman" w:cs="Times New Roman" w:eastAsia="Times New Roman" w:hAnsi="Times New Roman"/>
          <w:sz w:val="16"/>
          <w:szCs w:val="16"/>
          <w:color w:val="auto"/>
        </w:rPr>
      </w:pPr>
    </w:p>
    <w:p>
      <w:pPr>
        <w:ind w:left="1420" w:right="1179" w:firstLine="318"/>
        <w:spacing w:after="0" w:line="256" w:lineRule="auto"/>
        <w:tabs>
          <w:tab w:leader="none" w:pos="2052"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Dissenters’ Rights</w:t>
      </w:r>
      <w:r>
        <w:rPr>
          <w:rFonts w:ascii="Times New Roman" w:cs="Times New Roman" w:eastAsia="Times New Roman" w:hAnsi="Times New Roman"/>
          <w:sz w:val="16"/>
          <w:szCs w:val="16"/>
          <w:color w:val="auto"/>
        </w:rPr>
        <w:t>. The holders of no more than five percent (5%) of the aggregate outstanding shares of Company Common Stock shall have properly notified the Company under the Appraisal Statutes that they intend to exercise their dissenters’ rights.</w:t>
      </w:r>
    </w:p>
    <w:p>
      <w:pPr>
        <w:spacing w:after="0" w:line="90" w:lineRule="exact"/>
        <w:rPr>
          <w:rFonts w:ascii="Times New Roman" w:cs="Times New Roman" w:eastAsia="Times New Roman" w:hAnsi="Times New Roman"/>
          <w:sz w:val="16"/>
          <w:szCs w:val="16"/>
          <w:color w:val="auto"/>
        </w:rPr>
      </w:pPr>
    </w:p>
    <w:p>
      <w:pPr>
        <w:ind w:left="1420" w:right="939" w:firstLine="318"/>
        <w:spacing w:after="0" w:line="242" w:lineRule="auto"/>
        <w:tabs>
          <w:tab w:leader="none" w:pos="2034"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FIRPTA Certificate</w:t>
      </w:r>
      <w:r>
        <w:rPr>
          <w:rFonts w:ascii="Times New Roman" w:cs="Times New Roman" w:eastAsia="Times New Roman" w:hAnsi="Times New Roman"/>
          <w:sz w:val="16"/>
          <w:szCs w:val="16"/>
          <w:color w:val="auto"/>
        </w:rPr>
        <w:t>. Parent shall have received from the Company a properly executed Foreign Investment and Real Property Tax Act of 1980 (“</w:t>
      </w:r>
      <w:r>
        <w:rPr>
          <w:rFonts w:ascii="Times New Roman" w:cs="Times New Roman" w:eastAsia="Times New Roman" w:hAnsi="Times New Roman"/>
          <w:sz w:val="16"/>
          <w:szCs w:val="16"/>
          <w:b w:val="1"/>
          <w:bCs w:val="1"/>
          <w:i w:val="1"/>
          <w:iCs w:val="1"/>
          <w:color w:val="auto"/>
        </w:rPr>
        <w:t>FIRPTA</w:t>
      </w:r>
      <w:r>
        <w:rPr>
          <w:rFonts w:ascii="Times New Roman" w:cs="Times New Roman" w:eastAsia="Times New Roman" w:hAnsi="Times New Roman"/>
          <w:sz w:val="16"/>
          <w:szCs w:val="16"/>
          <w:color w:val="auto"/>
        </w:rPr>
        <w:t>”) certificate, which shall state that shares of capital stock of the Company do not constitute “United States real property interests” under Section 897(c) of the Code, which complies with the requirements of Section 1445 of the Code and the Treasury Regulations thereunder. In addition, simultaneously with delivery of such FIRPTA certificate, the Company shall have provided to Parent, as agent for the Company, a form of notice to the IRS in accordance with the requirements of Treasury Regulation Section 1.897-2(h)(2) along with written authorization for Parent to deliver such notice form to the IRS on behalf of the Company upon the Closing.</w:t>
      </w:r>
    </w:p>
    <w:p>
      <w:pPr>
        <w:spacing w:after="0" w:line="290" w:lineRule="exact"/>
        <w:rPr>
          <w:rFonts w:ascii="Times New Roman" w:cs="Times New Roman" w:eastAsia="Times New Roman" w:hAnsi="Times New Roman"/>
          <w:sz w:val="16"/>
          <w:szCs w:val="16"/>
          <w:color w:val="auto"/>
        </w:rPr>
      </w:pPr>
    </w:p>
    <w:p>
      <w:pPr>
        <w:jc w:val="both"/>
        <w:ind w:left="1420" w:right="1239" w:firstLine="318"/>
        <w:spacing w:after="0" w:line="248" w:lineRule="auto"/>
        <w:tabs>
          <w:tab w:leader="none" w:pos="2061"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Opinion</w:t>
      </w:r>
      <w:r>
        <w:rPr>
          <w:rFonts w:ascii="Times New Roman" w:cs="Times New Roman" w:eastAsia="Times New Roman" w:hAnsi="Times New Roman"/>
          <w:sz w:val="16"/>
          <w:szCs w:val="16"/>
          <w:color w:val="auto"/>
        </w:rPr>
        <w:t>. Parent shall have received a written opinion of Wachtell, Lipton, Rosen &amp; Katz, tax counsel to Parent (or other counsel as may be reasonably acceptable to the Company and Parent), in form and substance reasonably satisfactory to the Company and Parent, dated as of the</w:t>
      </w:r>
    </w:p>
    <w:p>
      <w:pPr>
        <w:spacing w:after="0" w:line="3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65" w:name="page166"/>
    <w:bookmarkEnd w:id="16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59"/>
        <w:spacing w:after="0" w:line="248" w:lineRule="auto"/>
        <w:rPr>
          <w:sz w:val="20"/>
          <w:szCs w:val="20"/>
          <w:color w:val="auto"/>
        </w:rPr>
      </w:pPr>
      <w:r>
        <w:rPr>
          <w:rFonts w:ascii="Times New Roman" w:cs="Times New Roman" w:eastAsia="Times New Roman" w:hAnsi="Times New Roman"/>
          <w:sz w:val="16"/>
          <w:szCs w:val="16"/>
          <w:color w:val="auto"/>
        </w:rPr>
        <w:t>Closing Date, to the effect that the Merger will qualify as a “reorganization” within the meaning of Section 368(a) of the Code. In rendering such opinion, counsel may require and rely upon representations contained in certificates of officers of the Company and Parent, reasonably satisfactory in form and substance to such counsel.</w:t>
      </w:r>
    </w:p>
    <w:p>
      <w:pPr>
        <w:spacing w:after="0" w:line="97" w:lineRule="exact"/>
        <w:rPr>
          <w:sz w:val="20"/>
          <w:szCs w:val="20"/>
          <w:color w:val="auto"/>
        </w:rPr>
      </w:pPr>
    </w:p>
    <w:p>
      <w:pPr>
        <w:ind w:left="1420" w:right="1119" w:firstLine="318"/>
        <w:spacing w:after="0" w:line="261" w:lineRule="auto"/>
        <w:tabs>
          <w:tab w:leader="none" w:pos="2061"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322 Spring Dissolution</w:t>
      </w:r>
      <w:r>
        <w:rPr>
          <w:rFonts w:ascii="Times New Roman" w:cs="Times New Roman" w:eastAsia="Times New Roman" w:hAnsi="Times New Roman"/>
          <w:sz w:val="16"/>
          <w:szCs w:val="16"/>
          <w:color w:val="auto"/>
        </w:rPr>
        <w:t xml:space="preserve">. Parent shall have timely received from the Company evidence, in form and substance acceptable to Parent, of the 322 Spring Dissolution in accordance with </w:t>
      </w:r>
      <w:r>
        <w:rPr>
          <w:rFonts w:ascii="Times New Roman" w:cs="Times New Roman" w:eastAsia="Times New Roman" w:hAnsi="Times New Roman"/>
          <w:sz w:val="16"/>
          <w:szCs w:val="16"/>
          <w:u w:val="single" w:color="auto"/>
          <w:color w:val="auto"/>
        </w:rPr>
        <w:t>Section 6.15</w:t>
      </w:r>
      <w:r>
        <w:rPr>
          <w:rFonts w:ascii="Times New Roman" w:cs="Times New Roman" w:eastAsia="Times New Roman" w:hAnsi="Times New Roman"/>
          <w:sz w:val="16"/>
          <w:szCs w:val="16"/>
          <w:color w:val="auto"/>
        </w:rPr>
        <w:t>.</w:t>
      </w:r>
    </w:p>
    <w:p>
      <w:pPr>
        <w:spacing w:after="0" w:line="277" w:lineRule="exact"/>
        <w:rPr>
          <w:sz w:val="20"/>
          <w:szCs w:val="20"/>
          <w:color w:val="auto"/>
        </w:rPr>
      </w:pPr>
    </w:p>
    <w:p>
      <w:pPr>
        <w:ind w:left="1100" w:right="899" w:firstLine="318"/>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7.3 Conditions to Obligation of the Company. </w:t>
      </w:r>
      <w:r>
        <w:rPr>
          <w:rFonts w:ascii="Times New Roman" w:cs="Times New Roman" w:eastAsia="Times New Roman" w:hAnsi="Times New Roman"/>
          <w:sz w:val="16"/>
          <w:szCs w:val="16"/>
          <w:color w:val="auto"/>
        </w:rPr>
        <w:t>The obligation of the Company to effect the Merger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also subject to the satisfaction (or waiver in writing by the Company), at or before the Effective Time, of the following conditions:</w:t>
      </w:r>
    </w:p>
    <w:p>
      <w:pPr>
        <w:spacing w:after="0" w:line="90" w:lineRule="exact"/>
        <w:rPr>
          <w:sz w:val="20"/>
          <w:szCs w:val="20"/>
          <w:color w:val="auto"/>
        </w:rPr>
      </w:pPr>
    </w:p>
    <w:p>
      <w:pPr>
        <w:ind w:left="1420" w:right="919" w:firstLine="318"/>
        <w:spacing w:after="0"/>
        <w:tabs>
          <w:tab w:leader="none" w:pos="2052"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xml:space="preserve">. The representations and warranties of Parent contained in </w:t>
      </w:r>
      <w:r>
        <w:rPr>
          <w:rFonts w:ascii="Times New Roman" w:cs="Times New Roman" w:eastAsia="Times New Roman" w:hAnsi="Times New Roman"/>
          <w:sz w:val="16"/>
          <w:szCs w:val="16"/>
          <w:u w:val="single" w:color="auto"/>
          <w:color w:val="auto"/>
        </w:rPr>
        <w:t>Sections 4.1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4.10</w:t>
      </w:r>
      <w:r>
        <w:rPr>
          <w:rFonts w:ascii="Times New Roman" w:cs="Times New Roman" w:eastAsia="Times New Roman" w:hAnsi="Times New Roman"/>
          <w:sz w:val="16"/>
          <w:szCs w:val="16"/>
          <w:color w:val="auto"/>
        </w:rPr>
        <w:t xml:space="preserve"> (in each case, without giving effect to any qualification as to materiality or Material Adverse Effect contained therein) shall be true and correct in all respects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The representations and warranties of Parent contained in </w:t>
      </w:r>
      <w:r>
        <w:rPr>
          <w:rFonts w:ascii="Times New Roman" w:cs="Times New Roman" w:eastAsia="Times New Roman" w:hAnsi="Times New Roman"/>
          <w:sz w:val="16"/>
          <w:szCs w:val="16"/>
          <w:u w:val="single" w:color="auto"/>
          <w:color w:val="auto"/>
        </w:rPr>
        <w:t>Section 4.3(a)</w:t>
      </w:r>
      <w:r>
        <w:rPr>
          <w:rFonts w:ascii="Times New Roman" w:cs="Times New Roman" w:eastAsia="Times New Roman" w:hAnsi="Times New Roman"/>
          <w:sz w:val="16"/>
          <w:szCs w:val="16"/>
          <w:color w:val="auto"/>
        </w:rPr>
        <w:t xml:space="preserve"> (in each case, without giving effect to any qualification as to materiality or Material Adverse Effect contained therein) shall be true and correct in all respects (except for inaccuracies which are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 amount or effect)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All other representations and warranties of Parent contained herein shall be true and correct in all respects as of the date of this Agreement and as of the Closing Date as though made on and as of the Closing Date (except that representations and warranties that by their terms speak specifically as of the date of this Agreement or another date shall be true and correct only as of such date), except where the failure of such representations to be so true and correct has not had or resulted in, and would not reasonably be expected to have or result in, individually or in the aggregate, a Material Adverse Effect on Parent.</w:t>
      </w:r>
    </w:p>
    <w:p>
      <w:pPr>
        <w:spacing w:after="0" w:line="279" w:lineRule="exact"/>
        <w:rPr>
          <w:rFonts w:ascii="Times New Roman" w:cs="Times New Roman" w:eastAsia="Times New Roman" w:hAnsi="Times New Roman"/>
          <w:sz w:val="16"/>
          <w:szCs w:val="16"/>
          <w:color w:val="auto"/>
        </w:rPr>
      </w:pPr>
    </w:p>
    <w:p>
      <w:pPr>
        <w:jc w:val="both"/>
        <w:ind w:left="1420" w:right="1459" w:firstLine="318"/>
        <w:spacing w:after="0" w:line="263" w:lineRule="auto"/>
        <w:tabs>
          <w:tab w:leader="none" w:pos="2061"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Agreements</w:t>
      </w:r>
      <w:r>
        <w:rPr>
          <w:rFonts w:ascii="Times New Roman" w:cs="Times New Roman" w:eastAsia="Times New Roman" w:hAnsi="Times New Roman"/>
          <w:sz w:val="16"/>
          <w:szCs w:val="16"/>
          <w:color w:val="auto"/>
        </w:rPr>
        <w:t>. Parent shall have performed in all material respects the obligations required to be performed by it under this Agreement at or prior to the Closing Date.</w:t>
      </w:r>
    </w:p>
    <w:p>
      <w:pPr>
        <w:spacing w:after="0" w:line="85" w:lineRule="exact"/>
        <w:rPr>
          <w:rFonts w:ascii="Times New Roman" w:cs="Times New Roman" w:eastAsia="Times New Roman" w:hAnsi="Times New Roman"/>
          <w:sz w:val="16"/>
          <w:szCs w:val="16"/>
          <w:color w:val="auto"/>
        </w:rPr>
      </w:pPr>
    </w:p>
    <w:p>
      <w:pPr>
        <w:ind w:left="1420" w:right="979" w:firstLine="318"/>
        <w:spacing w:after="0" w:line="256" w:lineRule="auto"/>
        <w:tabs>
          <w:tab w:leader="none" w:pos="2052"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Adverse Effect</w:t>
      </w:r>
      <w:r>
        <w:rPr>
          <w:rFonts w:ascii="Times New Roman" w:cs="Times New Roman" w:eastAsia="Times New Roman" w:hAnsi="Times New Roman"/>
          <w:sz w:val="16"/>
          <w:szCs w:val="16"/>
          <w:color w:val="auto"/>
        </w:rPr>
        <w:t>. Since the date of this Agreement, there shall not have occurred any change, state of facts, event, development or effect that has had, or would reasonably be expected to have, either individually or in the aggregate, a Material Adverse Effect on Parent.</w:t>
      </w:r>
    </w:p>
    <w:p>
      <w:pPr>
        <w:spacing w:after="0" w:line="90" w:lineRule="exact"/>
        <w:rPr>
          <w:rFonts w:ascii="Times New Roman" w:cs="Times New Roman" w:eastAsia="Times New Roman" w:hAnsi="Times New Roman"/>
          <w:sz w:val="16"/>
          <w:szCs w:val="16"/>
          <w:color w:val="auto"/>
        </w:rPr>
      </w:pPr>
    </w:p>
    <w:p>
      <w:pPr>
        <w:jc w:val="both"/>
        <w:ind w:left="1420" w:right="919" w:firstLine="318"/>
        <w:spacing w:after="0" w:line="248" w:lineRule="auto"/>
        <w:tabs>
          <w:tab w:leader="none" w:pos="2061"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Officer’s Certificate</w:t>
      </w:r>
      <w:r>
        <w:rPr>
          <w:rFonts w:ascii="Times New Roman" w:cs="Times New Roman" w:eastAsia="Times New Roman" w:hAnsi="Times New Roman"/>
          <w:sz w:val="16"/>
          <w:szCs w:val="16"/>
          <w:color w:val="auto"/>
        </w:rPr>
        <w:t xml:space="preserve">. The Company shall have received a certificate, dated as of the Closing Date, signed by the Chief Executive Officer or Chief Financial Officer of Parent, and otherwise in form and substance reasonably satisfactory to the Company, to the effect that the conditions set forth in </w:t>
      </w:r>
      <w:r>
        <w:rPr>
          <w:rFonts w:ascii="Times New Roman" w:cs="Times New Roman" w:eastAsia="Times New Roman" w:hAnsi="Times New Roman"/>
          <w:sz w:val="16"/>
          <w:szCs w:val="16"/>
          <w:u w:val="single" w:color="auto"/>
          <w:color w:val="auto"/>
        </w:rPr>
        <w:t>Sections 7.3(a), 7.3(b)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7.3(c)</w:t>
      </w:r>
      <w:r>
        <w:rPr>
          <w:rFonts w:ascii="Times New Roman" w:cs="Times New Roman" w:eastAsia="Times New Roman" w:hAnsi="Times New Roman"/>
          <w:sz w:val="16"/>
          <w:szCs w:val="16"/>
          <w:color w:val="auto"/>
        </w:rPr>
        <w:t xml:space="preserve"> have been satisfied.</w:t>
      </w:r>
    </w:p>
    <w:p>
      <w:pPr>
        <w:spacing w:after="0" w:line="97" w:lineRule="exact"/>
        <w:rPr>
          <w:rFonts w:ascii="Times New Roman" w:cs="Times New Roman" w:eastAsia="Times New Roman" w:hAnsi="Times New Roman"/>
          <w:sz w:val="16"/>
          <w:szCs w:val="16"/>
          <w:color w:val="auto"/>
        </w:rPr>
      </w:pPr>
    </w:p>
    <w:p>
      <w:pPr>
        <w:ind w:left="1420" w:right="959" w:firstLine="318"/>
        <w:spacing w:after="0" w:line="243" w:lineRule="auto"/>
        <w:tabs>
          <w:tab w:leader="none" w:pos="2052"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Opinion</w:t>
      </w:r>
      <w:r>
        <w:rPr>
          <w:rFonts w:ascii="Times New Roman" w:cs="Times New Roman" w:eastAsia="Times New Roman" w:hAnsi="Times New Roman"/>
          <w:sz w:val="16"/>
          <w:szCs w:val="16"/>
          <w:color w:val="auto"/>
        </w:rPr>
        <w:t>. The Company shall have received a written opinion of Alston &amp; Bird LLP, tax counsel to the Company (or other counsel as may be reasonably acceptable to the Company and Parent), in form and substance reasonably satisfactory to the Company and Parent, dated as of the Closing Date, to the effect that the Merger will qualify as a “reorganization” within the meaning of Section 368(a) of the Code. In rendering such opinion, counsel may require and rely upon representations contained in certificates of officers of the Company and Parent, reasonably satisfactory in form and substance to such counsel.</w:t>
      </w:r>
    </w:p>
    <w:p>
      <w:pPr>
        <w:spacing w:after="0" w:line="15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ARTICLE 8</w:t>
      </w:r>
    </w:p>
    <w:p>
      <w:pPr>
        <w:spacing w:after="0" w:line="2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TERMINATION</w:t>
      </w:r>
    </w:p>
    <w:p>
      <w:pPr>
        <w:spacing w:after="0" w:line="107" w:lineRule="exact"/>
        <w:rPr>
          <w:sz w:val="20"/>
          <w:szCs w:val="20"/>
          <w:color w:val="auto"/>
        </w:rPr>
      </w:pPr>
    </w:p>
    <w:p>
      <w:pPr>
        <w:ind w:left="1100" w:right="1039" w:firstLine="318"/>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8.1 Termination. </w:t>
      </w:r>
      <w:r>
        <w:rPr>
          <w:rFonts w:ascii="Times New Roman" w:cs="Times New Roman" w:eastAsia="Times New Roman" w:hAnsi="Times New Roman"/>
          <w:sz w:val="16"/>
          <w:szCs w:val="16"/>
          <w:color w:val="auto"/>
        </w:rPr>
        <w:t>This Agreement may be terminated, and the transactions contemplated hereby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abandoned at any time before the Effective Time, whether before or after the Requisite Company Shareholder Vote has been obtained (except as otherwise noted) as follows:</w:t>
      </w:r>
    </w:p>
    <w:p>
      <w:pPr>
        <w:spacing w:after="0" w:line="96" w:lineRule="exact"/>
        <w:rPr>
          <w:sz w:val="20"/>
          <w:szCs w:val="20"/>
          <w:color w:val="auto"/>
        </w:rPr>
      </w:pPr>
    </w:p>
    <w:p>
      <w:pPr>
        <w:ind w:left="4300" w:right="3299" w:hanging="2562"/>
        <w:spacing w:after="0" w:line="745" w:lineRule="auto"/>
        <w:tabs>
          <w:tab w:leader="none" w:pos="2059"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mutual written consent of Parent and the Company; 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-38735</wp:posOffset>
            </wp:positionV>
            <wp:extent cx="6024245"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66" w:name="page167"/>
    <w:bookmarkEnd w:id="16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79" w:firstLine="318"/>
        <w:spacing w:after="0" w:line="253" w:lineRule="auto"/>
        <w:tabs>
          <w:tab w:leader="none" w:pos="2061"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Parent or the Company, if any Regulatory Approval shall have been denied by final, non-appealable action by the applicable Governmental Authority and a copy of such denial has been provided to the other party, or an application therefor shall have been permanently withdrawn at the written request of a Governmental Authority and a copy of such request has been provided to the other party;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right to terminate this Agreement under this </w:t>
      </w:r>
      <w:r>
        <w:rPr>
          <w:rFonts w:ascii="Times New Roman" w:cs="Times New Roman" w:eastAsia="Times New Roman" w:hAnsi="Times New Roman"/>
          <w:sz w:val="16"/>
          <w:szCs w:val="16"/>
          <w:u w:val="single" w:color="auto"/>
          <w:color w:val="auto"/>
        </w:rPr>
        <w:t>Section 8.1(b)</w:t>
      </w:r>
      <w:r>
        <w:rPr>
          <w:rFonts w:ascii="Times New Roman" w:cs="Times New Roman" w:eastAsia="Times New Roman" w:hAnsi="Times New Roman"/>
          <w:sz w:val="16"/>
          <w:szCs w:val="16"/>
          <w:color w:val="auto"/>
        </w:rPr>
        <w:t xml:space="preserve"> shall not be available to a party whose failure (or the failure of any of its Affiliates) to fulfill any of its obligations (excluding representations and warranties) under this Agreement has been the cause of or resulted in the occurrence of such event described in this </w:t>
      </w:r>
      <w:r>
        <w:rPr>
          <w:rFonts w:ascii="Times New Roman" w:cs="Times New Roman" w:eastAsia="Times New Roman" w:hAnsi="Times New Roman"/>
          <w:sz w:val="16"/>
          <w:szCs w:val="16"/>
          <w:u w:val="single" w:color="auto"/>
          <w:color w:val="auto"/>
        </w:rPr>
        <w:t>Section 8.1(b)</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1420" w:right="1079" w:firstLine="318"/>
        <w:spacing w:after="0" w:line="258" w:lineRule="auto"/>
        <w:tabs>
          <w:tab w:leader="none" w:pos="2052"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Parent or the Company if the Requisite Company Shareholder Vote is not obtained at the Company Shareholders’ Meeting or at any adjournment or postponement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may not terminate this Agreement pursuant to this paragraph if it is in breach of its obligations pursuant to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6.3</w:t>
      </w:r>
      <w:r>
        <w:rPr>
          <w:rFonts w:ascii="Times New Roman" w:cs="Times New Roman" w:eastAsia="Times New Roman" w:hAnsi="Times New Roman"/>
          <w:sz w:val="16"/>
          <w:szCs w:val="16"/>
          <w:color w:val="auto"/>
        </w:rPr>
        <w:t>;</w:t>
      </w:r>
    </w:p>
    <w:p>
      <w:pPr>
        <w:spacing w:after="0" w:line="100" w:lineRule="exact"/>
        <w:rPr>
          <w:rFonts w:ascii="Times New Roman" w:cs="Times New Roman" w:eastAsia="Times New Roman" w:hAnsi="Times New Roman"/>
          <w:sz w:val="16"/>
          <w:szCs w:val="16"/>
          <w:color w:val="auto"/>
        </w:rPr>
      </w:pPr>
    </w:p>
    <w:p>
      <w:pPr>
        <w:ind w:left="1420" w:right="919" w:firstLine="318"/>
        <w:spacing w:after="0" w:line="251" w:lineRule="auto"/>
        <w:tabs>
          <w:tab w:leader="none" w:pos="2061"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Parent or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terminating party is not then in material breach of any representation, warranty, covenant or other agreement contained herein) if there shall have been a breach of any of the covenants or agreements or any of the representations or warranties (or any such representation or warranty shall cease to be true) set forth in this Agreement on the part of the Company, in the case of a termination by Parent, or Parent, in the case of a termination by the Company, which breach or failure to be true, either individually or in the aggregate with all other breaches by such party (or failures of such representations or warranties to be true), would constitute, if occurring or continuing on the Closing Date, the failure of a condition set forth in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in the case of a termination by Parent, or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in the case of a termination by the Company, and which is not cured within thirty (30) days following written notice to the Company, in the case of a termination by Parent, or to Parent, in the case of a termination by the Company, or by its nature or timing cannot be cured during such period (or such fewer days as remain prior to the Outside Date);</w:t>
      </w:r>
    </w:p>
    <w:p>
      <w:pPr>
        <w:spacing w:after="0" w:line="99" w:lineRule="exact"/>
        <w:rPr>
          <w:rFonts w:ascii="Times New Roman" w:cs="Times New Roman" w:eastAsia="Times New Roman" w:hAnsi="Times New Roman"/>
          <w:sz w:val="16"/>
          <w:szCs w:val="16"/>
          <w:color w:val="auto"/>
        </w:rPr>
      </w:pPr>
    </w:p>
    <w:p>
      <w:pPr>
        <w:ind w:left="1420" w:right="959" w:firstLine="318"/>
        <w:spacing w:after="0" w:line="263" w:lineRule="auto"/>
        <w:tabs>
          <w:tab w:leader="none" w:pos="2052"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Parent or the Company if the Merger shall not have been consummated on or before January 22, 2027 (the “</w:t>
      </w:r>
      <w:r>
        <w:rPr>
          <w:rFonts w:ascii="Times New Roman" w:cs="Times New Roman" w:eastAsia="Times New Roman" w:hAnsi="Times New Roman"/>
          <w:sz w:val="16"/>
          <w:szCs w:val="16"/>
          <w:b w:val="1"/>
          <w:bCs w:val="1"/>
          <w:i w:val="1"/>
          <w:iCs w:val="1"/>
          <w:color w:val="auto"/>
        </w:rPr>
        <w:t>Outside Date</w:t>
      </w:r>
      <w:r>
        <w:rPr>
          <w:rFonts w:ascii="Times New Roman" w:cs="Times New Roman" w:eastAsia="Times New Roman" w:hAnsi="Times New Roman"/>
          <w:sz w:val="16"/>
          <w:szCs w:val="16"/>
          <w:color w:val="auto"/>
        </w:rPr>
        <w:t>”), unless the failure of the Closing to occur by such date shall be due to a material breach of this Agreement by the party seeking to terminate this Agreement; and</w:t>
      </w:r>
    </w:p>
    <w:p>
      <w:pPr>
        <w:spacing w:after="0" w:line="97" w:lineRule="exact"/>
        <w:rPr>
          <w:rFonts w:ascii="Times New Roman" w:cs="Times New Roman" w:eastAsia="Times New Roman" w:hAnsi="Times New Roman"/>
          <w:sz w:val="16"/>
          <w:szCs w:val="16"/>
          <w:color w:val="auto"/>
        </w:rPr>
      </w:pPr>
    </w:p>
    <w:p>
      <w:pPr>
        <w:ind w:left="2040" w:hanging="302"/>
        <w:spacing w:after="0"/>
        <w:tabs>
          <w:tab w:leader="none" w:pos="2040"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Parent, if at any time prior to the receipt of the Requisite Company Shareholder Vote,</w:t>
      </w:r>
    </w:p>
    <w:p>
      <w:pPr>
        <w:spacing w:after="0" w:line="23" w:lineRule="exact"/>
        <w:rPr>
          <w:rFonts w:ascii="Times New Roman" w:cs="Times New Roman" w:eastAsia="Times New Roman" w:hAnsi="Times New Roman"/>
          <w:sz w:val="16"/>
          <w:szCs w:val="16"/>
          <w:color w:val="auto"/>
        </w:rPr>
      </w:pPr>
    </w:p>
    <w:p>
      <w:pPr>
        <w:ind w:left="1620" w:hanging="200"/>
        <w:spacing w:after="0"/>
        <w:tabs>
          <w:tab w:leader="none" w:pos="162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materially breached its obligations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or</w:t>
      </w:r>
    </w:p>
    <w:p>
      <w:pPr>
        <w:spacing w:after="0" w:line="6" w:lineRule="exact"/>
        <w:rPr>
          <w:rFonts w:ascii="Times New Roman" w:cs="Times New Roman" w:eastAsia="Times New Roman" w:hAnsi="Times New Roman"/>
          <w:sz w:val="16"/>
          <w:szCs w:val="16"/>
          <w:color w:val="auto"/>
        </w:rPr>
      </w:pPr>
    </w:p>
    <w:p>
      <w:pPr>
        <w:ind w:left="1420" w:right="1119"/>
        <w:spacing w:after="0" w:line="257" w:lineRule="auto"/>
        <w:tabs>
          <w:tab w:leader="none" w:pos="1669"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shall have failed to make its recommendation in favor of the Merger or shall have made an Adverse Recommendation Change.</w:t>
      </w:r>
    </w:p>
    <w:p>
      <w:pPr>
        <w:spacing w:after="0" w:line="99" w:lineRule="exact"/>
        <w:rPr>
          <w:sz w:val="20"/>
          <w:szCs w:val="20"/>
          <w:color w:val="auto"/>
        </w:rPr>
      </w:pPr>
    </w:p>
    <w:p>
      <w:pPr>
        <w:ind w:left="1100" w:right="939" w:firstLine="318"/>
        <w:spacing w:after="0" w:line="255" w:lineRule="auto"/>
        <w:rPr>
          <w:sz w:val="20"/>
          <w:szCs w:val="20"/>
          <w:color w:val="auto"/>
        </w:rPr>
      </w:pPr>
      <w:r>
        <w:rPr>
          <w:rFonts w:ascii="Times New Roman" w:cs="Times New Roman" w:eastAsia="Times New Roman" w:hAnsi="Times New Roman"/>
          <w:sz w:val="16"/>
          <w:szCs w:val="16"/>
          <w:b w:val="1"/>
          <w:bCs w:val="1"/>
          <w:color w:val="auto"/>
        </w:rPr>
        <w:t>8.2 Effect of Termination</w:t>
      </w:r>
      <w:r>
        <w:rPr>
          <w:rFonts w:ascii="Times New Roman" w:cs="Times New Roman" w:eastAsia="Times New Roman" w:hAnsi="Times New Roman"/>
          <w:sz w:val="16"/>
          <w:szCs w:val="16"/>
          <w:color w:val="auto"/>
        </w:rPr>
        <w:t>. In the event of the termination and abandonment of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pursuant to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this Agreement shall become void and have no effect, except that (a) the provisions of </w:t>
      </w:r>
      <w:r>
        <w:rPr>
          <w:rFonts w:ascii="Times New Roman" w:cs="Times New Roman" w:eastAsia="Times New Roman" w:hAnsi="Times New Roman"/>
          <w:sz w:val="16"/>
          <w:szCs w:val="16"/>
          <w:u w:val="single" w:color="auto"/>
          <w:color w:val="auto"/>
        </w:rPr>
        <w:t>Section 6.6(b)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9</w:t>
      </w:r>
      <w:r>
        <w:rPr>
          <w:rFonts w:ascii="Times New Roman" w:cs="Times New Roman" w:eastAsia="Times New Roman" w:hAnsi="Times New Roman"/>
          <w:sz w:val="16"/>
          <w:szCs w:val="16"/>
          <w:color w:val="auto"/>
        </w:rPr>
        <w:t xml:space="preserve"> shall survive any such termination and abandonment, and (b) notwithstanding anything to the contrary contained in this Agreement, neither the Company nor Parent shall be relieved or released from any liabilities or damages arising out of its material breach of any provision of this Agreement resulting from fraud or any willful and material breach.</w:t>
      </w:r>
    </w:p>
    <w:p>
      <w:pPr>
        <w:spacing w:after="0" w:line="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8.3 Termination Fee</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100" w:right="1119" w:firstLine="320"/>
        <w:spacing w:after="0" w:line="279" w:lineRule="auto"/>
        <w:tabs>
          <w:tab w:leader="none" w:pos="1732"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recognition of the efforts, expenses and other opportunities forgone by Parent while pursuing the Merger, in the event that:</w:t>
      </w:r>
    </w:p>
    <w:p>
      <w:pPr>
        <w:spacing w:after="0" w:line="84" w:lineRule="exact"/>
        <w:rPr>
          <w:rFonts w:ascii="Times New Roman" w:cs="Times New Roman" w:eastAsia="Times New Roman" w:hAnsi="Times New Roman"/>
          <w:sz w:val="16"/>
          <w:szCs w:val="16"/>
          <w:color w:val="auto"/>
        </w:rPr>
      </w:pPr>
    </w:p>
    <w:p>
      <w:pPr>
        <w:ind w:left="2020" w:hanging="282"/>
        <w:spacing w:after="0"/>
        <w:tabs>
          <w:tab w:leader="none" w:pos="2020"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Agreement is terminated by Parent pursuant to </w:t>
      </w:r>
      <w:r>
        <w:rPr>
          <w:rFonts w:ascii="Times New Roman" w:cs="Times New Roman" w:eastAsia="Times New Roman" w:hAnsi="Times New Roman"/>
          <w:sz w:val="16"/>
          <w:szCs w:val="16"/>
          <w:u w:val="single" w:color="auto"/>
          <w:color w:val="auto"/>
        </w:rPr>
        <w:t>Section 8.1(f)</w:t>
      </w:r>
      <w:r>
        <w:rPr>
          <w:rFonts w:ascii="Times New Roman" w:cs="Times New Roman" w:eastAsia="Times New Roman" w:hAnsi="Times New Roman"/>
          <w:sz w:val="16"/>
          <w:szCs w:val="16"/>
          <w:color w:val="auto"/>
        </w:rPr>
        <w:t>; or</w:t>
      </w:r>
    </w:p>
    <w:p>
      <w:pPr>
        <w:spacing w:after="0" w:line="125" w:lineRule="exact"/>
        <w:rPr>
          <w:rFonts w:ascii="Times New Roman" w:cs="Times New Roman" w:eastAsia="Times New Roman" w:hAnsi="Times New Roman"/>
          <w:sz w:val="16"/>
          <w:szCs w:val="16"/>
          <w:color w:val="auto"/>
        </w:rPr>
      </w:pPr>
    </w:p>
    <w:p>
      <w:pPr>
        <w:ind w:left="1420" w:right="899" w:firstLine="318"/>
        <w:spacing w:after="0" w:line="252" w:lineRule="auto"/>
        <w:tabs>
          <w:tab w:leader="none" w:pos="2073"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an Acquisition Proposal with respect to the Company shall have been communicated to or otherwise made known to the Company Shareholders, senior management of the Company or the Company Board, or any Person or group of Persons shall have publicly announced an intention (whether or not conditional) to make an Acquisition Proposal with respect to the Company after the date of this Agreement, (B) (1) thereafter, this Agreement is terminated by Parent or the Company pursuant to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(if the Requisite Company Shareholder Vote has not theretofore been obtained), (2) by Parent pursuant to </w:t>
      </w:r>
      <w:r>
        <w:rPr>
          <w:rFonts w:ascii="Times New Roman" w:cs="Times New Roman" w:eastAsia="Times New Roman" w:hAnsi="Times New Roman"/>
          <w:sz w:val="16"/>
          <w:szCs w:val="16"/>
          <w:u w:val="single" w:color="auto"/>
          <w:color w:val="auto"/>
        </w:rPr>
        <w:t>Section 8.1(d)</w:t>
      </w:r>
      <w:r>
        <w:rPr>
          <w:rFonts w:ascii="Times New Roman" w:cs="Times New Roman" w:eastAsia="Times New Roman" w:hAnsi="Times New Roman"/>
          <w:sz w:val="16"/>
          <w:szCs w:val="16"/>
          <w:color w:val="auto"/>
        </w:rPr>
        <w:t xml:space="preserve"> or (3) by Parent or the Company pursuant to </w:t>
      </w:r>
      <w:r>
        <w:rPr>
          <w:rFonts w:ascii="Times New Roman" w:cs="Times New Roman" w:eastAsia="Times New Roman" w:hAnsi="Times New Roman"/>
          <w:sz w:val="16"/>
          <w:szCs w:val="16"/>
          <w:u w:val="single" w:color="auto"/>
          <w:color w:val="auto"/>
        </w:rPr>
        <w:t>Section 8.1(c)</w:t>
      </w:r>
      <w:r>
        <w:rPr>
          <w:rFonts w:ascii="Times New Roman" w:cs="Times New Roman" w:eastAsia="Times New Roman" w:hAnsi="Times New Roman"/>
          <w:sz w:val="16"/>
          <w:szCs w:val="16"/>
          <w:color w:val="auto"/>
        </w:rPr>
        <w:t xml:space="preserve"> and (C) prior to the date that is twelve (12) months after the date of such termination the Company</w:t>
      </w:r>
    </w:p>
    <w:p>
      <w:pPr>
        <w:spacing w:after="0" w:line="200" w:lineRule="exact"/>
        <w:rPr>
          <w:sz w:val="20"/>
          <w:szCs w:val="20"/>
          <w:color w:val="auto"/>
        </w:rPr>
      </w:pPr>
    </w:p>
    <w:p>
      <w:pPr>
        <w:spacing w:after="0" w:line="3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67" w:name="page168"/>
    <w:bookmarkEnd w:id="16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99"/>
        <w:spacing w:after="0" w:line="263" w:lineRule="auto"/>
        <w:rPr>
          <w:sz w:val="20"/>
          <w:szCs w:val="20"/>
          <w:color w:val="auto"/>
        </w:rPr>
      </w:pPr>
      <w:r>
        <w:rPr>
          <w:rFonts w:ascii="Times New Roman" w:cs="Times New Roman" w:eastAsia="Times New Roman" w:hAnsi="Times New Roman"/>
          <w:sz w:val="16"/>
          <w:szCs w:val="16"/>
          <w:color w:val="auto"/>
        </w:rPr>
        <w:t>consummates a transaction of a type set forth in the definition of “Acquisition Proposal” or enters into any definitive agreement relating to a transaction of a type set forth in the definition of “Acquisition Proposal”;</w:t>
      </w:r>
    </w:p>
    <w:p>
      <w:pPr>
        <w:spacing w:after="0" w:line="98" w:lineRule="exact"/>
        <w:rPr>
          <w:sz w:val="20"/>
          <w:szCs w:val="20"/>
          <w:color w:val="auto"/>
        </w:rPr>
      </w:pPr>
    </w:p>
    <w:p>
      <w:pPr>
        <w:ind w:left="1100" w:right="1079"/>
        <w:spacing w:after="0" w:line="258" w:lineRule="auto"/>
        <w:rPr>
          <w:sz w:val="20"/>
          <w:szCs w:val="20"/>
          <w:color w:val="auto"/>
        </w:rPr>
      </w:pPr>
      <w:r>
        <w:rPr>
          <w:rFonts w:ascii="Times New Roman" w:cs="Times New Roman" w:eastAsia="Times New Roman" w:hAnsi="Times New Roman"/>
          <w:sz w:val="16"/>
          <w:szCs w:val="16"/>
          <w:color w:val="auto"/>
        </w:rPr>
        <w:t>then, the Company shall pay to Parent, by wire transfer of immediately available funds, a termination fee equal to $3,570,000 (the “</w:t>
      </w:r>
      <w:r>
        <w:rPr>
          <w:rFonts w:ascii="Times New Roman" w:cs="Times New Roman" w:eastAsia="Times New Roman" w:hAnsi="Times New Roman"/>
          <w:sz w:val="16"/>
          <w:szCs w:val="16"/>
          <w:b w:val="1"/>
          <w:bCs w:val="1"/>
          <w:i w:val="1"/>
          <w:iCs w:val="1"/>
          <w:color w:val="auto"/>
        </w:rPr>
        <w:t>Termination Fee</w:t>
      </w:r>
      <w:r>
        <w:rPr>
          <w:rFonts w:ascii="Times New Roman" w:cs="Times New Roman" w:eastAsia="Times New Roman" w:hAnsi="Times New Roman"/>
          <w:sz w:val="16"/>
          <w:szCs w:val="16"/>
          <w:color w:val="auto"/>
        </w:rPr>
        <w:t xml:space="preserve">”) within two (2) Business Days following the date of such 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Termination Fee payable pursuant to </w:t>
      </w:r>
      <w:r>
        <w:rPr>
          <w:rFonts w:ascii="Times New Roman" w:cs="Times New Roman" w:eastAsia="Times New Roman" w:hAnsi="Times New Roman"/>
          <w:sz w:val="16"/>
          <w:szCs w:val="16"/>
          <w:u w:val="single" w:color="auto"/>
          <w:color w:val="auto"/>
        </w:rPr>
        <w:t>Section 8.3(a)(iii)</w:t>
      </w:r>
      <w:r>
        <w:rPr>
          <w:rFonts w:ascii="Times New Roman" w:cs="Times New Roman" w:eastAsia="Times New Roman" w:hAnsi="Times New Roman"/>
          <w:sz w:val="16"/>
          <w:szCs w:val="16"/>
          <w:color w:val="auto"/>
        </w:rPr>
        <w:t xml:space="preserve"> shall be paid on the earlier of the date such transaction is consummated or such definitive agreement is entered into.</w:t>
      </w:r>
    </w:p>
    <w:p>
      <w:pPr>
        <w:spacing w:after="0" w:line="102" w:lineRule="exact"/>
        <w:rPr>
          <w:sz w:val="20"/>
          <w:szCs w:val="20"/>
          <w:color w:val="auto"/>
        </w:rPr>
      </w:pPr>
    </w:p>
    <w:p>
      <w:pPr>
        <w:ind w:left="1100" w:right="939" w:firstLine="320"/>
        <w:spacing w:after="0" w:line="252" w:lineRule="auto"/>
        <w:tabs>
          <w:tab w:leader="none" w:pos="1741"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and the Company each agree that the agreements contained in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are an integral part of the transactions contemplated by this Agreement, and that, without these agreements, Parent would not enter into this Agreement. Accordingly, if the Company fails promptly to pay any amounts due under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and, in order to obtain such payment, Parent commences a suit that results in a judgment against the Company for such amounts, the Company shall pay interest on such amounts from the date payment of such amounts were due to the date of actual payment at the rate of interest equal to the sum of (i) the rate of interest published from time to time in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(or any reasonably similar successor publication thereto), designated therein as the “prime rate” on the date such payment was due, </w:t>
      </w:r>
      <w:r>
        <w:rPr>
          <w:rFonts w:ascii="Times New Roman" w:cs="Times New Roman" w:eastAsia="Times New Roman" w:hAnsi="Times New Roman"/>
          <w:sz w:val="16"/>
          <w:szCs w:val="16"/>
          <w:i w:val="1"/>
          <w:iCs w:val="1"/>
          <w:color w:val="auto"/>
        </w:rPr>
        <w:t xml:space="preserve">plus </w:t>
      </w:r>
      <w:r>
        <w:rPr>
          <w:rFonts w:ascii="Times New Roman" w:cs="Times New Roman" w:eastAsia="Times New Roman" w:hAnsi="Times New Roman"/>
          <w:sz w:val="16"/>
          <w:szCs w:val="16"/>
          <w:color w:val="auto"/>
        </w:rPr>
        <w:t>(ii) 100 basis points, together with the costs and expenses of Parent (including reasonable legal fees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expenses) in connection with such suit.</w:t>
      </w:r>
    </w:p>
    <w:p>
      <w:pPr>
        <w:spacing w:after="0" w:line="93" w:lineRule="exact"/>
        <w:rPr>
          <w:rFonts w:ascii="Times New Roman" w:cs="Times New Roman" w:eastAsia="Times New Roman" w:hAnsi="Times New Roman"/>
          <w:sz w:val="16"/>
          <w:szCs w:val="16"/>
          <w:color w:val="auto"/>
        </w:rPr>
      </w:pPr>
    </w:p>
    <w:p>
      <w:pPr>
        <w:ind w:left="1100" w:right="919" w:firstLine="320"/>
        <w:spacing w:after="0" w:line="254" w:lineRule="auto"/>
        <w:tabs>
          <w:tab w:leader="none" w:pos="1732"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set forth in this Agreement, the parties agree that if the Company pays or causes to be paid to Parent the Termination Fee in accordance with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the Company (or any successor in interest of the Company) will not have any further obligations or liabilities to Parent with respect to this Agreement or the transactions contemplated by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termination shall not relieve the Company for any and all liabilities and damages incurred or suffered by Parent as a result of the fraud or a willful and material breach of this Agreement by the Company.</w:t>
      </w:r>
    </w:p>
    <w:p>
      <w:pPr>
        <w:spacing w:after="0" w:line="16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ARTICLE 9</w:t>
      </w:r>
    </w:p>
    <w:p>
      <w:pPr>
        <w:spacing w:after="0" w:line="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9.1 Interpretation.</w:t>
      </w:r>
    </w:p>
    <w:p>
      <w:pPr>
        <w:spacing w:after="0" w:line="140" w:lineRule="exact"/>
        <w:rPr>
          <w:sz w:val="20"/>
          <w:szCs w:val="20"/>
          <w:color w:val="auto"/>
        </w:rPr>
      </w:pPr>
    </w:p>
    <w:p>
      <w:pPr>
        <w:ind w:left="1100" w:right="919" w:firstLine="320"/>
        <w:spacing w:after="0" w:line="250" w:lineRule="auto"/>
        <w:tabs>
          <w:tab w:leader="none" w:pos="1723"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singular term in this Agreement shall be deemed to include the plural, and any plural term the singular. Whenever the words “include,” “includes” or “including” are used in this Agreement, they shall be deemed followed by the words “without limitation,” and such terms shall not be limited by enumeration or example, unless otherwise expressly specified. Unless the context of this Agreement otherwise requires, any reference in this Agreement to a Law, including any reference to a particular statute, shall refer to any such Law, or particular statute, as amended, modified, codified or reenacted, in whole or in part, and in effect from time to time, including all rules and regulations promulgated thereunder. Any reference in this Agreement to “$” shall mean U.S. dollars. An item shall be considered “made available,” “delivered” or “provided” (or​ terms of similar import) to Parent, to the extent such phrases appear in this Agreement, only if the Company has made a true, correct and complete copy of such document (together with all amendments, supplements or other modifications thereto or waivers thereof) available to Parent in the electronic data room under the project name “TOUCHDOWN” run by Datasite to which Parent and its representatives have access (the “</w:t>
      </w:r>
      <w:r>
        <w:rPr>
          <w:rFonts w:ascii="Times New Roman" w:cs="Times New Roman" w:eastAsia="Times New Roman" w:hAnsi="Times New Roman"/>
          <w:sz w:val="16"/>
          <w:szCs w:val="16"/>
          <w:b w:val="1"/>
          <w:bCs w:val="1"/>
          <w:i w:val="1"/>
          <w:iCs w:val="1"/>
          <w:color w:val="auto"/>
        </w:rPr>
        <w:t>Data Room</w:t>
      </w:r>
      <w:r>
        <w:rPr>
          <w:rFonts w:ascii="Times New Roman" w:cs="Times New Roman" w:eastAsia="Times New Roman" w:hAnsi="Times New Roman"/>
          <w:sz w:val="16"/>
          <w:szCs w:val="16"/>
          <w:color w:val="auto"/>
        </w:rPr>
        <w:t>”) at least three (3) Business Days prior to the date of this Agreement and such document remains available in the Data Room through the Closing;</w:t>
      </w:r>
    </w:p>
    <w:p>
      <w:pPr>
        <w:spacing w:after="0" w:line="104" w:lineRule="exact"/>
        <w:rPr>
          <w:rFonts w:ascii="Times New Roman" w:cs="Times New Roman" w:eastAsia="Times New Roman" w:hAnsi="Times New Roman"/>
          <w:sz w:val="16"/>
          <w:szCs w:val="16"/>
          <w:color w:val="auto"/>
        </w:rPr>
      </w:pPr>
    </w:p>
    <w:p>
      <w:pPr>
        <w:ind w:left="1740" w:hanging="320"/>
        <w:spacing w:after="0"/>
        <w:tabs>
          <w:tab w:leader="none" w:pos="174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the following terms shall have the following respective meanings:</w:t>
      </w:r>
    </w:p>
    <w:p>
      <w:pPr>
        <w:spacing w:after="0" w:line="133" w:lineRule="exact"/>
        <w:rPr>
          <w:rFonts w:ascii="Times New Roman" w:cs="Times New Roman" w:eastAsia="Times New Roman" w:hAnsi="Times New Roman"/>
          <w:sz w:val="16"/>
          <w:szCs w:val="16"/>
          <w:color w:val="auto"/>
        </w:rPr>
      </w:pPr>
    </w:p>
    <w:p>
      <w:pPr>
        <w:ind w:left="1740" w:right="939" w:firstLine="316"/>
        <w:spacing w:after="0" w:line="284" w:lineRule="auto"/>
        <w:tabs>
          <w:tab w:leader="none" w:pos="2346"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Affiliate</w:t>
      </w:r>
      <w:r>
        <w:rPr>
          <w:rFonts w:ascii="Times New Roman" w:cs="Times New Roman" w:eastAsia="Times New Roman" w:hAnsi="Times New Roman"/>
          <w:sz w:val="16"/>
          <w:szCs w:val="16"/>
          <w:color w:val="auto"/>
        </w:rPr>
        <w:t>” means, with respect to a specified Person, any person that directly or indirectly controls, is controlled by, or is under common control with, such specified Person;</w:t>
      </w:r>
    </w:p>
    <w:p>
      <w:pPr>
        <w:spacing w:after="0" w:line="76" w:lineRule="exact"/>
        <w:rPr>
          <w:rFonts w:ascii="Times New Roman" w:cs="Times New Roman" w:eastAsia="Times New Roman" w:hAnsi="Times New Roman"/>
          <w:sz w:val="16"/>
          <w:szCs w:val="16"/>
          <w:color w:val="auto"/>
        </w:rPr>
      </w:pPr>
    </w:p>
    <w:p>
      <w:pPr>
        <w:ind w:left="1740" w:right="1019" w:firstLine="316"/>
        <w:spacing w:after="0" w:line="284" w:lineRule="auto"/>
        <w:tabs>
          <w:tab w:leader="none" w:pos="2393"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Business Day</w:t>
      </w:r>
      <w:r>
        <w:rPr>
          <w:rFonts w:ascii="Times New Roman" w:cs="Times New Roman" w:eastAsia="Times New Roman" w:hAnsi="Times New Roman"/>
          <w:sz w:val="16"/>
          <w:szCs w:val="16"/>
          <w:color w:val="auto"/>
        </w:rPr>
        <w:t>” means any day other than a Saturday, a Sunday or a day on which banks in New York, New York are authorized by law or executive order to be closed;</w:t>
      </w:r>
    </w:p>
    <w:p>
      <w:pPr>
        <w:spacing w:after="0" w:line="64" w:lineRule="exact"/>
        <w:rPr>
          <w:rFonts w:ascii="Times New Roman" w:cs="Times New Roman" w:eastAsia="Times New Roman" w:hAnsi="Times New Roman"/>
          <w:sz w:val="16"/>
          <w:szCs w:val="16"/>
          <w:color w:val="auto"/>
        </w:rPr>
      </w:pPr>
    </w:p>
    <w:p>
      <w:pPr>
        <w:ind w:left="1740" w:right="979" w:firstLine="316"/>
        <w:spacing w:after="0" w:line="266" w:lineRule="auto"/>
        <w:tabs>
          <w:tab w:leader="none" w:pos="2440"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Company’s Knowledge</w:t>
      </w:r>
      <w:r>
        <w:rPr>
          <w:rFonts w:ascii="Times New Roman" w:cs="Times New Roman" w:eastAsia="Times New Roman" w:hAnsi="Times New Roman"/>
          <w:sz w:val="16"/>
          <w:szCs w:val="16"/>
          <w:color w:val="auto"/>
        </w:rPr>
        <w:t xml:space="preserve">” means the actual knowledge of any of the officers set forth on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of the Company Disclosure Memorandum and the knowledge that such officers would have after due inquiry;</w:t>
      </w: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68" w:name="page169"/>
    <w:bookmarkEnd w:id="16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740" w:right="939" w:firstLine="316"/>
        <w:spacing w:after="0" w:line="250" w:lineRule="auto"/>
        <w:tabs>
          <w:tab w:leader="none" w:pos="2428"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Governmental Authority</w:t>
      </w:r>
      <w:r>
        <w:rPr>
          <w:rFonts w:ascii="Times New Roman" w:cs="Times New Roman" w:eastAsia="Times New Roman" w:hAnsi="Times New Roman"/>
          <w:sz w:val="16"/>
          <w:szCs w:val="16"/>
          <w:color w:val="auto"/>
        </w:rPr>
        <w:t>” means any governmental, regulatory or administrative body, agency, commission, board or authority, including any Regulatory Agency, or any court or judicial authority, to which a party, by the nature of its activities, is subject, whether international, national, federal, state or local;</w:t>
      </w:r>
    </w:p>
    <w:p>
      <w:pPr>
        <w:spacing w:after="0" w:line="91" w:lineRule="exact"/>
        <w:rPr>
          <w:rFonts w:ascii="Times New Roman" w:cs="Times New Roman" w:eastAsia="Times New Roman" w:hAnsi="Times New Roman"/>
          <w:sz w:val="16"/>
          <w:szCs w:val="16"/>
          <w:color w:val="auto"/>
        </w:rPr>
      </w:pPr>
    </w:p>
    <w:p>
      <w:pPr>
        <w:ind w:left="1740" w:right="999" w:firstLine="316"/>
        <w:spacing w:after="0" w:line="258" w:lineRule="auto"/>
        <w:tabs>
          <w:tab w:leader="none" w:pos="2381"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Law</w:t>
      </w:r>
      <w:r>
        <w:rPr>
          <w:rFonts w:ascii="Times New Roman" w:cs="Times New Roman" w:eastAsia="Times New Roman" w:hAnsi="Times New Roman"/>
          <w:sz w:val="16"/>
          <w:szCs w:val="16"/>
          <w:color w:val="auto"/>
        </w:rPr>
        <w:t>” means any federal, state, local or foreign law, statute, ordinance, rule, regulation, judgment, order, injunction, decree, arbitration award, agency requirement, license or permit of any Governmental Authority that is applicable to the referenced Person;</w:t>
      </w:r>
    </w:p>
    <w:p>
      <w:pPr>
        <w:spacing w:after="0" w:line="85" w:lineRule="exact"/>
        <w:rPr>
          <w:rFonts w:ascii="Times New Roman" w:cs="Times New Roman" w:eastAsia="Times New Roman" w:hAnsi="Times New Roman"/>
          <w:sz w:val="16"/>
          <w:szCs w:val="16"/>
          <w:color w:val="auto"/>
        </w:rPr>
      </w:pPr>
    </w:p>
    <w:p>
      <w:pPr>
        <w:ind w:left="1740" w:right="939" w:firstLine="316"/>
        <w:spacing w:after="0" w:line="242" w:lineRule="auto"/>
        <w:tabs>
          <w:tab w:leader="none" w:pos="2428"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Material Adverse Effect</w:t>
      </w:r>
      <w:r>
        <w:rPr>
          <w:rFonts w:ascii="Times New Roman" w:cs="Times New Roman" w:eastAsia="Times New Roman" w:hAnsi="Times New Roman"/>
          <w:sz w:val="16"/>
          <w:szCs w:val="16"/>
          <w:color w:val="auto"/>
        </w:rPr>
        <w:t>” means, with respect to the Company or Parent, as the case may be, any effect, change, event, circumstance, condition, occurrence or development that, either individually or in the aggregate, has had or would reasonably be expected to have a material adverse effect on (i) the business, assets, liabilities, properties, results of operations or financial condition of such party and its Subsidiaries taken as a whole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 respect to this clause (i), “Material Adverse Effect” shall not be deemed to include the impact of (A) changes, after the date hereof, in U.S. generally accepted accounting principles (“</w:t>
      </w:r>
      <w:r>
        <w:rPr>
          <w:rFonts w:ascii="Times New Roman" w:cs="Times New Roman" w:eastAsia="Times New Roman" w:hAnsi="Times New Roman"/>
          <w:sz w:val="16"/>
          <w:szCs w:val="16"/>
          <w:b w:val="1"/>
          <w:bCs w:val="1"/>
          <w:i w:val="1"/>
          <w:iCs w:val="1"/>
          <w:color w:val="auto"/>
        </w:rPr>
        <w:t>GAAP</w:t>
      </w:r>
      <w:r>
        <w:rPr>
          <w:rFonts w:ascii="Times New Roman" w:cs="Times New Roman" w:eastAsia="Times New Roman" w:hAnsi="Times New Roman"/>
          <w:sz w:val="16"/>
          <w:szCs w:val="16"/>
          <w:color w:val="auto"/>
        </w:rPr>
        <w:t>”) or applicable regulatory accounting requirements, (B) changes, after the date hereof, in Laws, rules or</w:t>
      </w:r>
    </w:p>
    <w:p>
      <w:pPr>
        <w:spacing w:after="0" w:line="2" w:lineRule="exact"/>
        <w:rPr>
          <w:sz w:val="20"/>
          <w:szCs w:val="20"/>
          <w:color w:val="auto"/>
        </w:rPr>
      </w:pPr>
    </w:p>
    <w:p>
      <w:pPr>
        <w:ind w:left="1740" w:right="1299"/>
        <w:spacing w:after="0" w:line="233" w:lineRule="auto"/>
        <w:rPr>
          <w:sz w:val="20"/>
          <w:szCs w:val="20"/>
          <w:color w:val="auto"/>
        </w:rPr>
      </w:pPr>
      <w:r>
        <w:rPr>
          <w:rFonts w:ascii="Times New Roman" w:cs="Times New Roman" w:eastAsia="Times New Roman" w:hAnsi="Times New Roman"/>
          <w:sz w:val="16"/>
          <w:szCs w:val="16"/>
          <w:color w:val="auto"/>
        </w:rPr>
        <w:t>regulations of general applicability to companies in the industries in which such party and its Subsidiaries operate, or interpretations thereof by courts or Governmental Authorities,</w:t>
      </w:r>
    </w:p>
    <w:p>
      <w:pPr>
        <w:spacing w:after="0" w:line="1" w:lineRule="exact"/>
        <w:rPr>
          <w:sz w:val="20"/>
          <w:szCs w:val="20"/>
          <w:color w:val="auto"/>
        </w:rPr>
      </w:pPr>
    </w:p>
    <w:p>
      <w:pPr>
        <w:ind w:left="1740" w:right="919" w:hanging="2"/>
        <w:spacing w:after="0" w:line="238" w:lineRule="auto"/>
        <w:tabs>
          <w:tab w:leader="none" w:pos="2004"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after the date hereof, in global, national or regional political conditions (including the outbreak of war or acts of terrorism) or in economic or market (including equity, credit and debt markets, as well as changes in interest rates) conditions affecting the financial services industry generally and not specifically relating to such party or its Subsidiaries, (D) public disclosure of the transactions contemplated hereby or actions expressly required by this Agreement or actions or omissions that are taken with the prior written consent of the other party, (E) a decline in the trading price of a party’s common stock or the failure, in and of itself, to meet earnings projections or internal financial forecasts (it being understood that the underlying cause of such decline or failure may be taken into account in determining whether a Material Adverse Effect has occurred),</w:t>
      </w:r>
    </w:p>
    <w:p>
      <w:pPr>
        <w:spacing w:after="0" w:line="1" w:lineRule="exact"/>
        <w:rPr>
          <w:rFonts w:ascii="Times New Roman" w:cs="Times New Roman" w:eastAsia="Times New Roman" w:hAnsi="Times New Roman"/>
          <w:sz w:val="16"/>
          <w:szCs w:val="16"/>
          <w:color w:val="auto"/>
        </w:rPr>
      </w:pPr>
    </w:p>
    <w:p>
      <w:pPr>
        <w:ind w:left="1740" w:right="899" w:hanging="2"/>
        <w:spacing w:after="0" w:line="239" w:lineRule="auto"/>
        <w:tabs>
          <w:tab w:leader="none" w:pos="1986"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public disclosure of this Agreement and the transactions contemplated hereby on relationships with customers or employees (including the loss of personnel subsequent to the date of this Agreement), or (G) the occurrence of any natural disaster or from any outbreak of any disease or other public health event; except, with respect to subclauses (A), (B), (C) and (G), to the extent that the effects of such change are materially disproportionately adverse to the business, properties, assets, liabilities, results of operations or financial condition of such party and its Subsidiaries, taken as a whole, as compared to other companies in the industry in which such party and its Subsidiaries operate) or (ii) the ability of such party to consummate the transactions contemplated by this Agreement by the Outside Date;</w:t>
      </w:r>
    </w:p>
    <w:p>
      <w:pPr>
        <w:spacing w:after="0" w:line="104" w:lineRule="exact"/>
        <w:rPr>
          <w:rFonts w:ascii="Times New Roman" w:cs="Times New Roman" w:eastAsia="Times New Roman" w:hAnsi="Times New Roman"/>
          <w:sz w:val="16"/>
          <w:szCs w:val="16"/>
          <w:color w:val="auto"/>
        </w:rPr>
      </w:pPr>
    </w:p>
    <w:p>
      <w:pPr>
        <w:jc w:val="both"/>
        <w:ind w:left="1740" w:right="1199" w:firstLine="316"/>
        <w:spacing w:after="0" w:line="266" w:lineRule="auto"/>
        <w:tabs>
          <w:tab w:leader="none" w:pos="2475"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Parent’s Knowledge</w:t>
      </w:r>
      <w:r>
        <w:rPr>
          <w:rFonts w:ascii="Times New Roman" w:cs="Times New Roman" w:eastAsia="Times New Roman" w:hAnsi="Times New Roman"/>
          <w:sz w:val="16"/>
          <w:szCs w:val="16"/>
          <w:color w:val="auto"/>
        </w:rPr>
        <w:t xml:space="preserve">” means the actual knowledge of any of the officers set forth on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of the Parent Disclosure Memorandum and the knowledge that such officers would have after due inquiry;</w:t>
      </w:r>
    </w:p>
    <w:p>
      <w:pPr>
        <w:spacing w:after="0" w:line="79" w:lineRule="exact"/>
        <w:rPr>
          <w:rFonts w:ascii="Times New Roman" w:cs="Times New Roman" w:eastAsia="Times New Roman" w:hAnsi="Times New Roman"/>
          <w:sz w:val="16"/>
          <w:szCs w:val="16"/>
          <w:color w:val="auto"/>
        </w:rPr>
      </w:pPr>
    </w:p>
    <w:p>
      <w:pPr>
        <w:ind w:left="1740" w:right="919" w:firstLine="316"/>
        <w:spacing w:after="0" w:line="266" w:lineRule="auto"/>
        <w:tabs>
          <w:tab w:leader="none" w:pos="2523"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Person</w:t>
      </w:r>
      <w:r>
        <w:rPr>
          <w:rFonts w:ascii="Times New Roman" w:cs="Times New Roman" w:eastAsia="Times New Roman" w:hAnsi="Times New Roman"/>
          <w:sz w:val="16"/>
          <w:szCs w:val="16"/>
          <w:color w:val="auto"/>
        </w:rPr>
        <w:t>” means any individual, corporation (including not-for-profit), general or limited partnership, limited liability company, joint venture, estate, trust, association, organization, Governmental Authority or other entity of any kind or nature; and</w:t>
      </w:r>
    </w:p>
    <w:p>
      <w:pPr>
        <w:spacing w:after="0" w:line="91" w:lineRule="exact"/>
        <w:rPr>
          <w:rFonts w:ascii="Times New Roman" w:cs="Times New Roman" w:eastAsia="Times New Roman" w:hAnsi="Times New Roman"/>
          <w:sz w:val="16"/>
          <w:szCs w:val="16"/>
          <w:color w:val="auto"/>
        </w:rPr>
      </w:pPr>
    </w:p>
    <w:p>
      <w:pPr>
        <w:ind w:left="2420" w:hanging="364"/>
        <w:spacing w:after="0"/>
        <w:tabs>
          <w:tab w:leader="none" w:pos="2420"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Subsidiary</w:t>
      </w:r>
      <w:r>
        <w:rPr>
          <w:rFonts w:ascii="Times New Roman" w:cs="Times New Roman" w:eastAsia="Times New Roman" w:hAnsi="Times New Roman"/>
          <w:sz w:val="16"/>
          <w:szCs w:val="16"/>
          <w:color w:val="auto"/>
        </w:rPr>
        <w:t xml:space="preserve">” shall have the meaning ascribed to it in </w:t>
      </w:r>
      <w:r>
        <w:rPr>
          <w:rFonts w:ascii="Times New Roman" w:cs="Times New Roman" w:eastAsia="Times New Roman" w:hAnsi="Times New Roman"/>
          <w:sz w:val="16"/>
          <w:szCs w:val="16"/>
          <w:u w:val="single" w:color="auto"/>
          <w:color w:val="auto"/>
        </w:rPr>
        <w:t>Section 2.2(d)</w:t>
      </w:r>
      <w:r>
        <w:rPr>
          <w:rFonts w:ascii="Times New Roman" w:cs="Times New Roman" w:eastAsia="Times New Roman" w:hAnsi="Times New Roman"/>
          <w:sz w:val="16"/>
          <w:szCs w:val="16"/>
          <w:color w:val="auto"/>
        </w:rPr>
        <w:t xml:space="preserve"> of the BHC Act.</w:t>
      </w:r>
    </w:p>
    <w:p>
      <w:pPr>
        <w:spacing w:after="0" w:line="140" w:lineRule="exact"/>
        <w:rPr>
          <w:sz w:val="20"/>
          <w:szCs w:val="20"/>
          <w:color w:val="auto"/>
        </w:rPr>
      </w:pPr>
    </w:p>
    <w:p>
      <w:pPr>
        <w:ind w:left="1100" w:right="979" w:firstLine="318"/>
        <w:spacing w:after="0" w:line="254" w:lineRule="auto"/>
        <w:rPr>
          <w:sz w:val="20"/>
          <w:szCs w:val="20"/>
          <w:color w:val="auto"/>
        </w:rPr>
      </w:pPr>
      <w:r>
        <w:rPr>
          <w:rFonts w:ascii="Times New Roman" w:cs="Times New Roman" w:eastAsia="Times New Roman" w:hAnsi="Times New Roman"/>
          <w:sz w:val="16"/>
          <w:szCs w:val="16"/>
          <w:b w:val="1"/>
          <w:bCs w:val="1"/>
          <w:color w:val="auto"/>
        </w:rPr>
        <w:t>9.2 Expenses</w:t>
      </w:r>
      <w:r>
        <w:rPr>
          <w:rFonts w:ascii="Times New Roman" w:cs="Times New Roman" w:eastAsia="Times New Roman" w:hAnsi="Times New Roman"/>
          <w:sz w:val="16"/>
          <w:szCs w:val="16"/>
          <w:color w:val="auto"/>
        </w:rPr>
        <w:t>. Each of the parties shall bear and pay all direct costs and expenses incurred by it or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its behalf in connection with the transactions contemplated by this Agreement, including filing, registration and application fees, printing fees and fees and expenses of its own financial or other consultants, investment bankers, accountants and counsel, and which in the case of the Company, shall be paid at Closing and prior to the Effective Time;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all registration, printing and mailing fees associated with the Registration Statement and the Proxy Statement/Prospectus shall be split equally between Parent and the Company.</w:t>
      </w:r>
    </w:p>
    <w:p>
      <w:pPr>
        <w:spacing w:after="0" w:line="285" w:lineRule="exact"/>
        <w:rPr>
          <w:sz w:val="20"/>
          <w:szCs w:val="20"/>
          <w:color w:val="auto"/>
        </w:rPr>
      </w:pPr>
    </w:p>
    <w:p>
      <w:pPr>
        <w:ind w:left="1100" w:right="1019" w:firstLine="318"/>
        <w:spacing w:after="0" w:line="281" w:lineRule="auto"/>
        <w:rPr>
          <w:sz w:val="20"/>
          <w:szCs w:val="20"/>
          <w:color w:val="auto"/>
        </w:rPr>
      </w:pPr>
      <w:r>
        <w:rPr>
          <w:rFonts w:ascii="Times New Roman" w:cs="Times New Roman" w:eastAsia="Times New Roman" w:hAnsi="Times New Roman"/>
          <w:sz w:val="16"/>
          <w:szCs w:val="16"/>
          <w:b w:val="1"/>
          <w:bCs w:val="1"/>
          <w:color w:val="auto"/>
        </w:rPr>
        <w:t>9.3 Entire Agreement</w:t>
      </w:r>
      <w:r>
        <w:rPr>
          <w:rFonts w:ascii="Times New Roman" w:cs="Times New Roman" w:eastAsia="Times New Roman" w:hAnsi="Times New Roman"/>
          <w:sz w:val="16"/>
          <w:szCs w:val="16"/>
          <w:color w:val="auto"/>
        </w:rPr>
        <w:t>. Except as otherwise expressly provided herein, this Agreement (including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instruments referred to herein), together with the Voting and Support Agreements and the</w:t>
      </w:r>
    </w:p>
    <w:p>
      <w:pPr>
        <w:spacing w:after="0" w:line="3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69" w:name="page170"/>
    <w:bookmarkEnd w:id="16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59"/>
        <w:spacing w:after="0" w:line="279" w:lineRule="auto"/>
        <w:rPr>
          <w:sz w:val="20"/>
          <w:szCs w:val="20"/>
          <w:color w:val="auto"/>
        </w:rPr>
      </w:pPr>
      <w:r>
        <w:rPr>
          <w:rFonts w:ascii="Times New Roman" w:cs="Times New Roman" w:eastAsia="Times New Roman" w:hAnsi="Times New Roman"/>
          <w:sz w:val="16"/>
          <w:szCs w:val="16"/>
          <w:color w:val="auto"/>
        </w:rPr>
        <w:t>other documents and agreements delivered at the Closing pursuant to the provisions hereof, constitute the entire agreement between the parties with respect to the transactions contemplated hereby and supersede all prior arrangements or understandings with respect thereto, written or oral.</w:t>
      </w:r>
    </w:p>
    <w:p>
      <w:pPr>
        <w:spacing w:after="0" w:line="83" w:lineRule="exact"/>
        <w:rPr>
          <w:sz w:val="20"/>
          <w:szCs w:val="20"/>
          <w:color w:val="auto"/>
        </w:rPr>
      </w:pPr>
    </w:p>
    <w:p>
      <w:pPr>
        <w:jc w:val="both"/>
        <w:ind w:left="1100" w:right="1099" w:firstLine="318"/>
        <w:spacing w:after="0" w:line="273" w:lineRule="auto"/>
        <w:rPr>
          <w:sz w:val="20"/>
          <w:szCs w:val="20"/>
          <w:color w:val="auto"/>
        </w:rPr>
      </w:pPr>
      <w:r>
        <w:rPr>
          <w:rFonts w:ascii="Times New Roman" w:cs="Times New Roman" w:eastAsia="Times New Roman" w:hAnsi="Times New Roman"/>
          <w:sz w:val="16"/>
          <w:szCs w:val="16"/>
          <w:b w:val="1"/>
          <w:bCs w:val="1"/>
          <w:color w:val="auto"/>
        </w:rPr>
        <w:t>9.4 Third Party Beneficiaries</w:t>
      </w:r>
      <w:r>
        <w:rPr>
          <w:rFonts w:ascii="Times New Roman" w:cs="Times New Roman" w:eastAsia="Times New Roman" w:hAnsi="Times New Roman"/>
          <w:sz w:val="16"/>
          <w:szCs w:val="16"/>
          <w:color w:val="auto"/>
        </w:rPr>
        <w:t>. Nothing in this Agreement expressed or implied is intended to confer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upon any Person, other than the parties or their respective successors, any rights, remedies, obligations or liabilities under or by reason of this Agreement, other than as provided in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ind w:left="1100" w:right="959" w:firstLine="318"/>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9.5 Amendments. </w:t>
      </w:r>
      <w:r>
        <w:rPr>
          <w:rFonts w:ascii="Times New Roman" w:cs="Times New Roman" w:eastAsia="Times New Roman" w:hAnsi="Times New Roman"/>
          <w:sz w:val="16"/>
          <w:szCs w:val="16"/>
          <w:color w:val="auto"/>
        </w:rPr>
        <w:t>This Agreement may be amended only by a subsequent writing signed by each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Parent and the Company, whether before or after the Requisite Company Shareholder Vote of this Agreement has been obtained;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after any such approval by the Company Shareholders, there shall be made no amendment that requires further approval of Company Shareholders under applicable Law without obtaining such further approval.</w:t>
      </w:r>
    </w:p>
    <w:p>
      <w:pPr>
        <w:spacing w:after="0" w:line="1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9.6 Waiver.</w:t>
      </w:r>
    </w:p>
    <w:p>
      <w:pPr>
        <w:spacing w:after="0" w:line="128" w:lineRule="exact"/>
        <w:rPr>
          <w:sz w:val="20"/>
          <w:szCs w:val="20"/>
          <w:color w:val="auto"/>
        </w:rPr>
      </w:pPr>
    </w:p>
    <w:p>
      <w:pPr>
        <w:ind w:left="1100" w:right="919" w:firstLine="320"/>
        <w:spacing w:after="0" w:line="264" w:lineRule="auto"/>
        <w:tabs>
          <w:tab w:leader="none" w:pos="1732"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or at the Effective Time, Parent shall have the right to waive any default in the performance of any term of this Agreement by the Company, to waive or extend the time for the compliance or fulfillment by the Company of any or all of its obligations under this Agreement and to waive any or all of the conditions precedent to the obligations of Parent under this Agreement, except any condition which, if not satisfied, would result in the violation of any Law. No such waiver shall be effective unless in writing signed by a duly authorized officer of Parent.</w:t>
      </w:r>
    </w:p>
    <w:p>
      <w:pPr>
        <w:spacing w:after="0" w:line="107" w:lineRule="exact"/>
        <w:rPr>
          <w:rFonts w:ascii="Times New Roman" w:cs="Times New Roman" w:eastAsia="Times New Roman" w:hAnsi="Times New Roman"/>
          <w:sz w:val="16"/>
          <w:szCs w:val="16"/>
          <w:color w:val="auto"/>
        </w:rPr>
      </w:pPr>
    </w:p>
    <w:p>
      <w:pPr>
        <w:ind w:left="1100" w:right="959" w:firstLine="320"/>
        <w:spacing w:after="0" w:line="264" w:lineRule="auto"/>
        <w:tabs>
          <w:tab w:leader="none" w:pos="1741"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or at the Effective Time, the Company shall have the right to waive any default in the performance of any term of this Agreement by Parent, to waive or extend the time for the compliance or fulfillment by Parent of any or all of its obligations under this Agreement and to waive any or all of the conditions precedent to the obligations of the Company under this Agreement, except any condition which, if not satisfied, would result in the violation of any Law. No such waiver shall be effective unless in writing signed by a duly authorized officer of the Company.</w:t>
      </w:r>
    </w:p>
    <w:p>
      <w:pPr>
        <w:spacing w:after="0" w:line="96" w:lineRule="exact"/>
        <w:rPr>
          <w:rFonts w:ascii="Times New Roman" w:cs="Times New Roman" w:eastAsia="Times New Roman" w:hAnsi="Times New Roman"/>
          <w:sz w:val="16"/>
          <w:szCs w:val="16"/>
          <w:color w:val="auto"/>
        </w:rPr>
      </w:pPr>
    </w:p>
    <w:p>
      <w:pPr>
        <w:ind w:left="1100" w:right="1019" w:firstLine="320"/>
        <w:spacing w:after="0" w:line="267" w:lineRule="auto"/>
        <w:tabs>
          <w:tab w:leader="none" w:pos="1729"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any party at any time or times to require performance of any provision hereof shall in no manner affect the right of such party at a later time to enforce the same or any other provision of this Agreement. No waiver of any condition or of the breach of any term contained in this Agreement in one or more instances shall be deemed to be or construed as a further or continuing waiver of such condition or breach or a waiver of any other condition or of the breach of any other term of this Agreement.</w:t>
      </w:r>
    </w:p>
    <w:p>
      <w:pPr>
        <w:spacing w:after="0" w:line="9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9.7 Assignment</w:t>
      </w:r>
    </w:p>
    <w:p>
      <w:pPr>
        <w:spacing w:after="0" w:line="140" w:lineRule="exact"/>
        <w:rPr>
          <w:sz w:val="20"/>
          <w:szCs w:val="20"/>
          <w:color w:val="auto"/>
        </w:rPr>
      </w:pPr>
    </w:p>
    <w:p>
      <w:pPr>
        <w:ind w:left="1100" w:right="979" w:firstLine="318"/>
        <w:spacing w:after="0" w:line="264" w:lineRule="auto"/>
        <w:rPr>
          <w:sz w:val="20"/>
          <w:szCs w:val="20"/>
          <w:color w:val="auto"/>
        </w:rPr>
      </w:pPr>
      <w:r>
        <w:rPr>
          <w:rFonts w:ascii="Times New Roman" w:cs="Times New Roman" w:eastAsia="Times New Roman" w:hAnsi="Times New Roman"/>
          <w:sz w:val="16"/>
          <w:szCs w:val="16"/>
          <w:color w:val="auto"/>
        </w:rPr>
        <w:t xml:space="preserve">Except as expressly contemplated hereby, neither this Agreement nor any of the rights, interests or obligations hereunder shall be assigned by any party hereto (whether by operation of Law, including by merger or consolidation, or otherwise) without the prior written consent of the other party. Subject to the preceding sentence, this Agreement will be binding upon, inure to the benefit of and be enforceable by the parties and their respective successors and assigns. Any purported direct or indirect assignment in violation of this </w:t>
      </w:r>
      <w:r>
        <w:rPr>
          <w:rFonts w:ascii="Times New Roman" w:cs="Times New Roman" w:eastAsia="Times New Roman" w:hAnsi="Times New Roman"/>
          <w:sz w:val="16"/>
          <w:szCs w:val="16"/>
          <w:u w:val="single" w:color="auto"/>
          <w:color w:val="auto"/>
        </w:rPr>
        <w:t>Section 9.7</w:t>
      </w:r>
      <w:r>
        <w:rPr>
          <w:rFonts w:ascii="Times New Roman" w:cs="Times New Roman" w:eastAsia="Times New Roman" w:hAnsi="Times New Roman"/>
          <w:sz w:val="16"/>
          <w:szCs w:val="16"/>
          <w:color w:val="auto"/>
        </w:rPr>
        <w:t xml:space="preserve"> shall be null and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1100" w:right="939" w:firstLine="318"/>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9.8 Notices. </w:t>
      </w:r>
      <w:r>
        <w:rPr>
          <w:rFonts w:ascii="Times New Roman" w:cs="Times New Roman" w:eastAsia="Times New Roman" w:hAnsi="Times New Roman"/>
          <w:sz w:val="16"/>
          <w:szCs w:val="16"/>
          <w:color w:val="auto"/>
        </w:rPr>
        <w:t>All notices or other communications which are required or permitted hereunder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writing and sufficient if delivered by hand, by registered or certified mail, postage pre-paid, by courier or overnight carrier, or by email (with, in the case of email, confirmation of date and time by the transmitting equipment) to the Persons at the addresses set forth below (or at such other addresses as may be provided hereunder), and shall be deemed to have been delivered as of the date so delivered or refused: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70" w:name="page171"/>
    <w:bookmarkEnd w:id="170"/>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ectPr>
          <w:pgSz w:w="11900" w:h="16838" w:orient="portrait"/>
          <w:cols w:equalWidth="0" w:num="1">
            <w:col w:w="9239"/>
          </w:cols>
          <w:pgMar w:left="122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Parent:​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i w:val="1"/>
          <w:iCs w:val="1"/>
          <w:color w:val="auto"/>
        </w:rPr>
        <w:t>with copies to</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i w:val="1"/>
          <w:iCs w:val="1"/>
          <w:color w:val="auto"/>
        </w:rPr>
        <w:t>with a copy to</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 ​ United Community Banks, Inc.</w:t>
            </w:r>
          </w:p>
        </w:tc>
        <w:tc>
          <w:tcPr>
            <w:tcW w:w="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200 East Camperdown Way</w:t>
            </w:r>
          </w:p>
        </w:tc>
        <w:tc>
          <w:tcPr>
            <w:tcW w:w="400" w:type="dxa"/>
            <w:vAlign w:val="bottom"/>
          </w:tcPr>
          <w:p>
            <w:pPr>
              <w:spacing w:after="0"/>
              <w:rPr>
                <w:sz w:val="16"/>
                <w:szCs w:val="16"/>
                <w:color w:val="auto"/>
              </w:rPr>
            </w:pPr>
          </w:p>
        </w:tc>
      </w:tr>
      <w:tr>
        <w:trPr>
          <w:trHeight w:val="191"/>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Greenville, South Carolina 29601</w:t>
            </w:r>
          </w:p>
        </w:tc>
        <w:tc>
          <w:tcPr>
            <w:tcW w:w="400" w:type="dxa"/>
            <w:vAlign w:val="bottom"/>
          </w:tcPr>
          <w:p>
            <w:pPr>
              <w:spacing w:after="0"/>
              <w:rPr>
                <w:sz w:val="16"/>
                <w:szCs w:val="16"/>
                <w:color w:val="auto"/>
              </w:rPr>
            </w:pPr>
          </w:p>
        </w:tc>
      </w:tr>
      <w:tr>
        <w:trPr>
          <w:trHeight w:val="189"/>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Attention: H. Lynn Harton</w:t>
            </w:r>
          </w:p>
        </w:tc>
        <w:tc>
          <w:tcPr>
            <w:tcW w:w="400" w:type="dxa"/>
            <w:vAlign w:val="bottom"/>
          </w:tcPr>
          <w:p>
            <w:pPr>
              <w:spacing w:after="0"/>
              <w:rPr>
                <w:sz w:val="16"/>
                <w:szCs w:val="16"/>
                <w:color w:val="auto"/>
              </w:rPr>
            </w:pPr>
          </w:p>
        </w:tc>
      </w:tr>
      <w:tr>
        <w:trPr>
          <w:trHeight w:val="205"/>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Email: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r>
      <w:tr>
        <w:trPr>
          <w:trHeight w:val="250"/>
        </w:trPr>
        <w:tc>
          <w:tcPr>
            <w:tcW w:w="3180" w:type="dxa"/>
            <w:vAlign w:val="bottom"/>
          </w:tcPr>
          <w:p>
            <w:pPr>
              <w:spacing w:after="0" w:line="251"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United Community Banks, Inc.</w:t>
            </w:r>
          </w:p>
        </w:tc>
        <w:tc>
          <w:tcPr>
            <w:tcW w:w="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200 East Camperdown Way</w:t>
            </w:r>
          </w:p>
        </w:tc>
        <w:tc>
          <w:tcPr>
            <w:tcW w:w="400" w:type="dxa"/>
            <w:vAlign w:val="bottom"/>
          </w:tcPr>
          <w:p>
            <w:pPr>
              <w:spacing w:after="0"/>
              <w:rPr>
                <w:sz w:val="16"/>
                <w:szCs w:val="16"/>
                <w:color w:val="auto"/>
              </w:rPr>
            </w:pPr>
          </w:p>
        </w:tc>
      </w:tr>
      <w:tr>
        <w:trPr>
          <w:trHeight w:val="191"/>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Greenville, South Carolina 29601</w:t>
            </w:r>
          </w:p>
        </w:tc>
        <w:tc>
          <w:tcPr>
            <w:tcW w:w="400" w:type="dxa"/>
            <w:vAlign w:val="bottom"/>
          </w:tcPr>
          <w:p>
            <w:pPr>
              <w:spacing w:after="0"/>
              <w:rPr>
                <w:sz w:val="16"/>
                <w:szCs w:val="16"/>
                <w:color w:val="auto"/>
              </w:rPr>
            </w:pPr>
          </w:p>
        </w:tc>
      </w:tr>
      <w:tr>
        <w:trPr>
          <w:trHeight w:val="189"/>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Attention: Melinda Davis Lux</w:t>
            </w:r>
          </w:p>
        </w:tc>
        <w:tc>
          <w:tcPr>
            <w:tcW w:w="400" w:type="dxa"/>
            <w:vAlign w:val="bottom"/>
          </w:tcPr>
          <w:p>
            <w:pPr>
              <w:spacing w:after="0"/>
              <w:rPr>
                <w:sz w:val="16"/>
                <w:szCs w:val="16"/>
                <w:color w:val="auto"/>
              </w:rPr>
            </w:pPr>
          </w:p>
        </w:tc>
      </w:tr>
      <w:tr>
        <w:trPr>
          <w:trHeight w:val="209"/>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Email: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r>
      <w:tr>
        <w:trPr>
          <w:trHeight w:val="269"/>
        </w:trPr>
        <w:tc>
          <w:tcPr>
            <w:tcW w:w="31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xml:space="preserve"> Wachtell, Lipton, Rosen &amp; Katz</w:t>
            </w:r>
          </w:p>
        </w:tc>
        <w:tc>
          <w:tcPr>
            <w:tcW w:w="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51 West 52nd Street</w:t>
            </w:r>
          </w:p>
        </w:tc>
        <w:tc>
          <w:tcPr>
            <w:tcW w:w="400" w:type="dxa"/>
            <w:vAlign w:val="bottom"/>
          </w:tcPr>
          <w:p>
            <w:pPr>
              <w:spacing w:after="0"/>
              <w:rPr>
                <w:sz w:val="16"/>
                <w:szCs w:val="16"/>
                <w:color w:val="auto"/>
              </w:rPr>
            </w:pPr>
          </w:p>
        </w:tc>
      </w:tr>
      <w:tr>
        <w:trPr>
          <w:trHeight w:val="191"/>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New York 10019</w:t>
            </w:r>
          </w:p>
        </w:tc>
        <w:tc>
          <w:tcPr>
            <w:tcW w:w="400" w:type="dxa"/>
            <w:vAlign w:val="bottom"/>
          </w:tcPr>
          <w:p>
            <w:pPr>
              <w:spacing w:after="0"/>
              <w:rPr>
                <w:sz w:val="16"/>
                <w:szCs w:val="16"/>
                <w:color w:val="auto"/>
              </w:rPr>
            </w:pPr>
          </w:p>
        </w:tc>
      </w:tr>
      <w:tr>
        <w:trPr>
          <w:trHeight w:val="189"/>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Attention: Brandon C. Price</w:t>
            </w:r>
          </w:p>
        </w:tc>
        <w:tc>
          <w:tcPr>
            <w:tcW w:w="400" w:type="dxa"/>
            <w:vAlign w:val="bottom"/>
          </w:tcPr>
          <w:p>
            <w:pPr>
              <w:spacing w:after="0"/>
              <w:rPr>
                <w:sz w:val="16"/>
                <w:szCs w:val="16"/>
                <w:color w:val="auto"/>
              </w:rPr>
            </w:pPr>
          </w:p>
        </w:tc>
      </w:tr>
      <w:tr>
        <w:trPr>
          <w:trHeight w:val="209"/>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Email: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r>
      <w:tr>
        <w:trPr>
          <w:trHeight w:val="269"/>
        </w:trPr>
        <w:tc>
          <w:tcPr>
            <w:tcW w:w="31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xml:space="preserve"> Peach State Bancshares, Inc.</w:t>
            </w:r>
          </w:p>
        </w:tc>
        <w:tc>
          <w:tcPr>
            <w:tcW w:w="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121 E Butler Parkway</w:t>
            </w:r>
          </w:p>
        </w:tc>
        <w:tc>
          <w:tcPr>
            <w:tcW w:w="400" w:type="dxa"/>
            <w:vAlign w:val="bottom"/>
          </w:tcPr>
          <w:p>
            <w:pPr>
              <w:spacing w:after="0"/>
              <w:rPr>
                <w:sz w:val="16"/>
                <w:szCs w:val="16"/>
                <w:color w:val="auto"/>
              </w:rPr>
            </w:pPr>
          </w:p>
        </w:tc>
      </w:tr>
      <w:tr>
        <w:trPr>
          <w:trHeight w:val="191"/>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Gainesville, Georgia 30501</w:t>
            </w:r>
          </w:p>
        </w:tc>
        <w:tc>
          <w:tcPr>
            <w:tcW w:w="400" w:type="dxa"/>
            <w:vAlign w:val="bottom"/>
          </w:tcPr>
          <w:p>
            <w:pPr>
              <w:spacing w:after="0"/>
              <w:rPr>
                <w:sz w:val="16"/>
                <w:szCs w:val="16"/>
                <w:color w:val="auto"/>
              </w:rPr>
            </w:pPr>
          </w:p>
        </w:tc>
      </w:tr>
      <w:tr>
        <w:trPr>
          <w:trHeight w:val="189"/>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Attention: Ronald G. Quinn</w:t>
            </w:r>
          </w:p>
        </w:tc>
        <w:tc>
          <w:tcPr>
            <w:tcW w:w="400" w:type="dxa"/>
            <w:vAlign w:val="bottom"/>
          </w:tcPr>
          <w:p>
            <w:pPr>
              <w:spacing w:after="0"/>
              <w:rPr>
                <w:sz w:val="16"/>
                <w:szCs w:val="16"/>
                <w:color w:val="auto"/>
              </w:rPr>
            </w:pPr>
          </w:p>
        </w:tc>
      </w:tr>
      <w:tr>
        <w:trPr>
          <w:trHeight w:val="209"/>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Email: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r>
      <w:tr>
        <w:trPr>
          <w:trHeight w:val="269"/>
        </w:trPr>
        <w:tc>
          <w:tcPr>
            <w:tcW w:w="31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xml:space="preserve"> Alston &amp; Bird LLP</w:t>
            </w:r>
          </w:p>
        </w:tc>
        <w:tc>
          <w:tcPr>
            <w:tcW w:w="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1201 West Peachtree St NE, Suite 4900</w:t>
            </w:r>
          </w:p>
        </w:tc>
        <w:tc>
          <w:tcPr>
            <w:tcW w:w="400" w:type="dxa"/>
            <w:vAlign w:val="bottom"/>
          </w:tcPr>
          <w:p>
            <w:pPr>
              <w:spacing w:after="0"/>
              <w:rPr>
                <w:sz w:val="16"/>
                <w:szCs w:val="16"/>
                <w:color w:val="auto"/>
              </w:rPr>
            </w:pPr>
          </w:p>
        </w:tc>
      </w:tr>
      <w:tr>
        <w:trPr>
          <w:trHeight w:val="191"/>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Atlanta, Georgia 30309</w:t>
            </w:r>
          </w:p>
        </w:tc>
        <w:tc>
          <w:tcPr>
            <w:tcW w:w="400" w:type="dxa"/>
            <w:vAlign w:val="bottom"/>
          </w:tcPr>
          <w:p>
            <w:pPr>
              <w:spacing w:after="0"/>
              <w:rPr>
                <w:sz w:val="16"/>
                <w:szCs w:val="16"/>
                <w:color w:val="auto"/>
              </w:rPr>
            </w:pPr>
          </w:p>
        </w:tc>
      </w:tr>
      <w:tr>
        <w:trPr>
          <w:trHeight w:val="189"/>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Attention: Mark Kanaly</w:t>
            </w:r>
          </w:p>
        </w:tc>
        <w:tc>
          <w:tcPr>
            <w:tcW w:w="400" w:type="dxa"/>
            <w:vAlign w:val="bottom"/>
          </w:tcPr>
          <w:p>
            <w:pPr>
              <w:spacing w:after="0"/>
              <w:rPr>
                <w:sz w:val="16"/>
                <w:szCs w:val="16"/>
                <w:color w:val="auto"/>
              </w:rPr>
            </w:pPr>
          </w:p>
        </w:tc>
      </w:tr>
      <w:tr>
        <w:trPr>
          <w:trHeight w:val="209"/>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Email: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r>
    </w:tbl>
    <w:p>
      <w:pPr>
        <w:spacing w:after="0" w:line="148" w:lineRule="exact"/>
        <w:rPr>
          <w:sz w:val="20"/>
          <w:szCs w:val="20"/>
          <w:color w:val="auto"/>
        </w:rPr>
      </w:pPr>
    </w:p>
    <w:p>
      <w:pPr>
        <w:sectPr>
          <w:pgSz w:w="11900" w:h="16838" w:orient="portrait"/>
          <w:cols w:equalWidth="0" w:num="2">
            <w:col w:w="4060" w:space="720"/>
            <w:col w:w="4459"/>
          </w:cols>
          <w:pgMar w:left="1220" w:top="104" w:right="1440" w:bottom="1440" w:gutter="0" w:footer="0" w:header="0"/>
          <w:type w:val="continuous"/>
        </w:sectPr>
      </w:pPr>
    </w:p>
    <w:p>
      <w:pPr>
        <w:ind w:left="1100" w:right="979" w:firstLine="318"/>
        <w:spacing w:after="0" w:line="252" w:lineRule="auto"/>
        <w:rPr>
          <w:sz w:val="20"/>
          <w:szCs w:val="20"/>
          <w:color w:val="auto"/>
        </w:rPr>
      </w:pPr>
      <w:r>
        <w:rPr>
          <w:rFonts w:ascii="Times New Roman" w:cs="Times New Roman" w:eastAsia="Times New Roman" w:hAnsi="Times New Roman"/>
          <w:sz w:val="16"/>
          <w:szCs w:val="16"/>
          <w:b w:val="1"/>
          <w:bCs w:val="1"/>
          <w:color w:val="auto"/>
        </w:rPr>
        <w:t>9.9 Governing Law; Jurisdiction</w:t>
      </w:r>
      <w:r>
        <w:rPr>
          <w:rFonts w:ascii="Times New Roman" w:cs="Times New Roman" w:eastAsia="Times New Roman" w:hAnsi="Times New Roman"/>
          <w:sz w:val="16"/>
          <w:szCs w:val="16"/>
          <w:color w:val="auto"/>
        </w:rPr>
        <w:t>. Regardless of any conflict of law or choice of law principles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might otherwise apply, the parties agree that this Agreement shall be governed by and construed in all respects in accordance with the laws of the State of Georgia. Each party agrees that it will bring any action or proceeding in respect of any claim arising out of or related to this Agreement or the transactions contemplated hereby exclusively in any federal or state court located in the State of Georgia (the “</w:t>
      </w:r>
      <w:r>
        <w:rPr>
          <w:rFonts w:ascii="Times New Roman" w:cs="Times New Roman" w:eastAsia="Times New Roman" w:hAnsi="Times New Roman"/>
          <w:sz w:val="16"/>
          <w:szCs w:val="16"/>
          <w:b w:val="1"/>
          <w:bCs w:val="1"/>
          <w:i w:val="1"/>
          <w:iCs w:val="1"/>
          <w:color w:val="auto"/>
        </w:rPr>
        <w:t>Chosen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Courts</w:t>
      </w:r>
      <w:r>
        <w:rPr>
          <w:rFonts w:ascii="Times New Roman" w:cs="Times New Roman" w:eastAsia="Times New Roman" w:hAnsi="Times New Roman"/>
          <w:sz w:val="16"/>
          <w:szCs w:val="16"/>
          <w:color w:val="auto"/>
        </w:rPr>
        <w:t>”), and, solely in connection with claims arising under this Agreement or the transactions that are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subject of this Agreement, (a) irrevocably submits to the exclusive jurisdiction of the Chosen Courts,</w:t>
      </w:r>
    </w:p>
    <w:p>
      <w:pPr>
        <w:spacing w:after="0" w:line="1" w:lineRule="exact"/>
        <w:rPr>
          <w:sz w:val="20"/>
          <w:szCs w:val="20"/>
          <w:color w:val="auto"/>
        </w:rPr>
      </w:pPr>
    </w:p>
    <w:p>
      <w:pPr>
        <w:jc w:val="both"/>
        <w:ind w:left="1100" w:right="999" w:firstLine="3"/>
        <w:spacing w:after="0" w:line="251" w:lineRule="auto"/>
        <w:tabs>
          <w:tab w:leader="none" w:pos="1337"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waives any objection to laying venue in any such action or proceeding in the Chosen Courts, (c) waives any objection that the Chosen Courts are an inconvenient forum or do not have jurisdiction over any party, and (d) agrees that service of process upon such party in any such action or proceeding will be effective if notice is given in accordance with </w:t>
      </w:r>
      <w:r>
        <w:rPr>
          <w:rFonts w:ascii="Times New Roman" w:cs="Times New Roman" w:eastAsia="Times New Roman" w:hAnsi="Times New Roman"/>
          <w:sz w:val="16"/>
          <w:szCs w:val="16"/>
          <w:u w:val="single" w:color="auto"/>
          <w:color w:val="auto"/>
        </w:rPr>
        <w:t>Section 9.8</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ind w:left="1100" w:right="1019" w:firstLine="318"/>
        <w:spacing w:after="0" w:line="251" w:lineRule="auto"/>
        <w:rPr>
          <w:sz w:val="20"/>
          <w:szCs w:val="20"/>
          <w:color w:val="auto"/>
        </w:rPr>
      </w:pPr>
      <w:r>
        <w:rPr>
          <w:rFonts w:ascii="Times New Roman" w:cs="Times New Roman" w:eastAsia="Times New Roman" w:hAnsi="Times New Roman"/>
          <w:sz w:val="16"/>
          <w:szCs w:val="16"/>
          <w:b w:val="1"/>
          <w:bCs w:val="1"/>
          <w:color w:val="auto"/>
        </w:rPr>
        <w:t>9.10 Waiver of Jury Trial</w:t>
      </w:r>
      <w:r>
        <w:rPr>
          <w:rFonts w:ascii="Times New Roman" w:cs="Times New Roman" w:eastAsia="Times New Roman" w:hAnsi="Times New Roman"/>
          <w:sz w:val="16"/>
          <w:szCs w:val="16"/>
          <w:color w:val="auto"/>
        </w:rPr>
        <w:t>. EACH PARTY ACKNOWLEDGES AND AGREES THAT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6"/>
          <w:szCs w:val="16"/>
          <w:u w:val="single" w:color="auto"/>
          <w:color w:val="auto"/>
        </w:rPr>
        <w:t>SECTION 9.10</w:t>
      </w:r>
      <w:r>
        <w:rPr>
          <w:rFonts w:ascii="Times New Roman" w:cs="Times New Roman" w:eastAsia="Times New Roman" w:hAnsi="Times New Roman"/>
          <w:sz w:val="16"/>
          <w:szCs w:val="16"/>
          <w:color w:val="auto"/>
        </w:rPr>
        <w:t>.</w:t>
      </w:r>
    </w:p>
    <w:p>
      <w:pPr>
        <w:spacing w:after="0" w:line="3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104"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right="919" w:firstLine="318"/>
        <w:spacing w:after="0" w:line="254" w:lineRule="auto"/>
        <w:rPr>
          <w:sz w:val="20"/>
          <w:szCs w:val="20"/>
          <w:color w:val="auto"/>
        </w:rPr>
      </w:pPr>
      <w:r>
        <w:rPr>
          <w:rFonts w:ascii="Times New Roman" w:cs="Times New Roman" w:eastAsia="Times New Roman" w:hAnsi="Times New Roman"/>
          <w:sz w:val="16"/>
          <w:szCs w:val="16"/>
          <w:b w:val="1"/>
          <w:bCs w:val="1"/>
          <w:color w:val="auto"/>
        </w:rPr>
        <w:t>9.11 Counterparts</w:t>
      </w:r>
      <w:r>
        <w:rPr>
          <w:rFonts w:ascii="Times New Roman" w:cs="Times New Roman" w:eastAsia="Times New Roman" w:hAnsi="Times New Roman"/>
          <w:sz w:val="16"/>
          <w:szCs w:val="16"/>
          <w:color w:val="auto"/>
        </w:rPr>
        <w:t>. This Agreement may be executed in counterparts, each of which shall be deemed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constitute an original, but all of which together shall constitute one and the same instrument. This Agreement and any other agreement or instrument entered into in connection with this Agreement, as well as any amendments, modifications, supplements or waivers hereto or thereto or hereunder or thereunder, if signed and delivered by means of a facsimile machine or by email delivery of a “.pdf” format data file, shall be treated for all purposes as an original agreement or instrument and shall be considered to have the same binding legal force and effect as if it were the original signed version thereof delivered in person.</w:t>
      </w:r>
    </w:p>
    <w:p>
      <w:pPr>
        <w:spacing w:after="0" w:line="102" w:lineRule="exact"/>
        <w:rPr>
          <w:sz w:val="20"/>
          <w:szCs w:val="20"/>
          <w:color w:val="auto"/>
        </w:rPr>
      </w:pPr>
    </w:p>
    <w:p>
      <w:pPr>
        <w:ind w:left="1100" w:right="939" w:firstLine="318"/>
        <w:spacing w:after="0" w:line="252" w:lineRule="auto"/>
        <w:rPr>
          <w:sz w:val="20"/>
          <w:szCs w:val="20"/>
          <w:color w:val="auto"/>
        </w:rPr>
      </w:pPr>
      <w:r>
        <w:rPr>
          <w:rFonts w:ascii="Times New Roman" w:cs="Times New Roman" w:eastAsia="Times New Roman" w:hAnsi="Times New Roman"/>
          <w:sz w:val="16"/>
          <w:szCs w:val="16"/>
          <w:b w:val="1"/>
          <w:bCs w:val="1"/>
          <w:color w:val="auto"/>
        </w:rPr>
        <w:t>9.12 Injunctive Relief; Specific Performance</w:t>
      </w:r>
      <w:r>
        <w:rPr>
          <w:rFonts w:ascii="Times New Roman" w:cs="Times New Roman" w:eastAsia="Times New Roman" w:hAnsi="Times New Roman"/>
          <w:sz w:val="16"/>
          <w:szCs w:val="16"/>
          <w:color w:val="auto"/>
        </w:rPr>
        <w:t>. The parties acknowledge and agree that irreparable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damage would occur in the event that any of the provisions of this Agreement were not performed in accordance with their specific terms or were otherwise breached, and that monetary damages, even if available, would not be an adequate remedy therefor. Accordingly, the parties hereto agree that the parties shall be entitled to an injunction or injunctions to prevent breaches of this Agreement and to enforce specific performance of the terms and provisions hereof in the Chosen Courts, this being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08" w:lineRule="exact"/>
        <w:rPr>
          <w:sz w:val="20"/>
          <w:szCs w:val="20"/>
          <w:color w:val="auto"/>
        </w:rPr>
      </w:pPr>
    </w:p>
    <w:p>
      <w:pPr>
        <w:ind w:left="1100" w:right="979" w:firstLine="318"/>
        <w:spacing w:after="0" w:line="252" w:lineRule="auto"/>
        <w:rPr>
          <w:sz w:val="20"/>
          <w:szCs w:val="20"/>
          <w:color w:val="auto"/>
        </w:rPr>
      </w:pPr>
      <w:r>
        <w:rPr>
          <w:rFonts w:ascii="Times New Roman" w:cs="Times New Roman" w:eastAsia="Times New Roman" w:hAnsi="Times New Roman"/>
          <w:sz w:val="16"/>
          <w:szCs w:val="16"/>
          <w:b w:val="1"/>
          <w:bCs w:val="1"/>
          <w:color w:val="auto"/>
        </w:rPr>
        <w:t>9.13 Severability</w:t>
      </w:r>
      <w:r>
        <w:rPr>
          <w:rFonts w:ascii="Times New Roman" w:cs="Times New Roman" w:eastAsia="Times New Roman" w:hAnsi="Times New Roman"/>
          <w:sz w:val="16"/>
          <w:szCs w:val="16"/>
          <w:color w:val="auto"/>
        </w:rPr>
        <w:t>. Any term or provision of this Agreement, which is invalid or unenforceable in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 Upon a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286" w:lineRule="exact"/>
        <w:rPr>
          <w:sz w:val="20"/>
          <w:szCs w:val="20"/>
          <w:color w:val="auto"/>
        </w:rPr>
      </w:pPr>
    </w:p>
    <w:p>
      <w:pPr>
        <w:ind w:left="1100" w:right="919" w:firstLine="318"/>
        <w:spacing w:after="0" w:line="254" w:lineRule="auto"/>
        <w:rPr>
          <w:sz w:val="20"/>
          <w:szCs w:val="20"/>
          <w:color w:val="auto"/>
        </w:rPr>
      </w:pPr>
      <w:r>
        <w:rPr>
          <w:rFonts w:ascii="Times New Roman" w:cs="Times New Roman" w:eastAsia="Times New Roman" w:hAnsi="Times New Roman"/>
          <w:sz w:val="16"/>
          <w:szCs w:val="16"/>
          <w:b w:val="1"/>
          <w:bCs w:val="1"/>
          <w:color w:val="auto"/>
        </w:rPr>
        <w:t>9.14 Confidential Supervisory Information</w:t>
      </w:r>
      <w:r>
        <w:rPr>
          <w:rFonts w:ascii="Times New Roman" w:cs="Times New Roman" w:eastAsia="Times New Roman" w:hAnsi="Times New Roman"/>
          <w:sz w:val="16"/>
          <w:szCs w:val="16"/>
          <w:color w:val="auto"/>
        </w:rPr>
        <w:t>. Notwithstanding any other provision of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 disclosure, representation or warranty shall be made (or other action taken) pursuant to this Agreement, if the same would involve the disclosure of confidential supervisory information (including confidential supervisory information as defined in 12 C.F.R. 261.2(c) and as identified in 12 C.F.R. 309.5(g)(8)) of a Governmental Authority by any party to this Agreement where such disclosure is prohibited by applicable Law. To the extent legally permissible, appropriate substitute disclosures, representations, warranties or actions shall be made or taken under circumstances in which the limitations of the preceding sentence apply.</w:t>
      </w:r>
    </w:p>
    <w:p>
      <w:pPr>
        <w:spacing w:after="0" w:line="102" w:lineRule="exact"/>
        <w:rPr>
          <w:sz w:val="20"/>
          <w:szCs w:val="20"/>
          <w:color w:val="auto"/>
        </w:rPr>
      </w:pPr>
    </w:p>
    <w:p>
      <w:pPr>
        <w:ind w:left="1100" w:right="899" w:firstLine="318"/>
        <w:spacing w:after="0" w:line="259" w:lineRule="auto"/>
        <w:rPr>
          <w:sz w:val="20"/>
          <w:szCs w:val="20"/>
          <w:color w:val="auto"/>
        </w:rPr>
      </w:pPr>
      <w:r>
        <w:rPr>
          <w:rFonts w:ascii="Times New Roman" w:cs="Times New Roman" w:eastAsia="Times New Roman" w:hAnsi="Times New Roman"/>
          <w:sz w:val="16"/>
          <w:szCs w:val="16"/>
          <w:b w:val="1"/>
          <w:bCs w:val="1"/>
          <w:color w:val="auto"/>
        </w:rPr>
        <w:t>9.15 No Survival of Representations and Warranties</w:t>
      </w:r>
      <w:r>
        <w:rPr>
          <w:rFonts w:ascii="Times New Roman" w:cs="Times New Roman" w:eastAsia="Times New Roman" w:hAnsi="Times New Roman"/>
          <w:sz w:val="16"/>
          <w:szCs w:val="16"/>
          <w:color w:val="auto"/>
        </w:rPr>
        <w:t>. None of the representations and warranties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this Agreement or in any schedule or other document delivered pursuant to this Agreement shall survive the Effective Time. This </w:t>
      </w:r>
      <w:r>
        <w:rPr>
          <w:rFonts w:ascii="Times New Roman" w:cs="Times New Roman" w:eastAsia="Times New Roman" w:hAnsi="Times New Roman"/>
          <w:sz w:val="16"/>
          <w:szCs w:val="16"/>
          <w:u w:val="single" w:color="auto"/>
          <w:color w:val="auto"/>
        </w:rPr>
        <w:t>Section 9.15</w:t>
      </w:r>
      <w:r>
        <w:rPr>
          <w:rFonts w:ascii="Times New Roman" w:cs="Times New Roman" w:eastAsia="Times New Roman" w:hAnsi="Times New Roman"/>
          <w:sz w:val="16"/>
          <w:szCs w:val="16"/>
          <w:color w:val="auto"/>
        </w:rPr>
        <w:t xml:space="preserve"> shall not limit any covenant or agreement of the parties which by its terms contemplates performance after the Effective Time or following termination of this Agreement.</w:t>
      </w:r>
    </w:p>
    <w:p>
      <w:pPr>
        <w:spacing w:after="0" w:line="9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Signatures on following page(s)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72" w:name="page173"/>
    <w:bookmarkEnd w:id="17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right="1079" w:firstLine="318"/>
        <w:spacing w:after="0" w:line="281"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each of the parties has caused this Agreement to be executed on its behalf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its duly authorized officer as of the day and year first above written.</w:t>
      </w:r>
    </w:p>
    <w:p>
      <w:pPr>
        <w:spacing w:after="0" w:line="14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14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45085</wp:posOffset>
            </wp:positionV>
            <wp:extent cx="217868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tabs>
          <w:tab w:leader="none" w:pos="5460" w:val="left"/>
        </w:tabs>
        <w:rPr>
          <w:sz w:val="20"/>
          <w:szCs w:val="20"/>
          <w:color w:val="auto"/>
        </w:rPr>
      </w:pPr>
      <w:r>
        <w:rPr>
          <w:rFonts w:ascii="Times New Roman" w:cs="Times New Roman" w:eastAsia="Times New Roman" w:hAnsi="Times New Roman"/>
          <w:sz w:val="16"/>
          <w:szCs w:val="16"/>
          <w:color w:val="auto"/>
        </w:rPr>
        <w:t>Name:</w:t>
        <w:tab/>
        <w:t>H. Lynn Harton</w:t>
      </w:r>
    </w:p>
    <w:p>
      <w:pPr>
        <w:spacing w:after="0" w:line="24" w:lineRule="exact"/>
        <w:rPr>
          <w:sz w:val="20"/>
          <w:szCs w:val="20"/>
          <w:color w:val="auto"/>
        </w:rPr>
      </w:pPr>
    </w:p>
    <w:p>
      <w:pPr>
        <w:ind w:left="4920"/>
        <w:spacing w:after="0"/>
        <w:tabs>
          <w:tab w:leader="none" w:pos="5460" w:val="left"/>
        </w:tabs>
        <w:rPr>
          <w:sz w:val="20"/>
          <w:szCs w:val="20"/>
          <w:color w:val="auto"/>
        </w:rPr>
      </w:pPr>
      <w:r>
        <w:rPr>
          <w:rFonts w:ascii="Times New Roman" w:cs="Times New Roman" w:eastAsia="Times New Roman" w:hAnsi="Times New Roman"/>
          <w:sz w:val="16"/>
          <w:szCs w:val="16"/>
          <w:color w:val="auto"/>
        </w:rPr>
        <w:t>Title:</w:t>
        <w:tab/>
        <w:t>Chairman, Chief Executive Officer, and</w:t>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i w:val="1"/>
          <w:iCs w:val="1"/>
          <w:color w:val="auto"/>
        </w:rPr>
        <w:t>[Signature Page to Agreement and Plan of Merger]</w:t>
      </w:r>
    </w:p>
    <w:p>
      <w:pPr>
        <w:spacing w:after="0" w:line="36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5" w:right="1440" w:bottom="1440" w:gutter="0" w:footer="0" w:header="0"/>
        </w:sectPr>
      </w:pPr>
    </w:p>
    <w:bookmarkStart w:id="173" w:name="page174"/>
    <w:bookmarkEnd w:id="17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PEACH STATE BANCSHARES, INC.</w:t>
      </w:r>
    </w:p>
    <w:p>
      <w:pPr>
        <w:spacing w:after="0" w:line="14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Ronald G.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45085</wp:posOffset>
            </wp:positionV>
            <wp:extent cx="2178685"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tabs>
          <w:tab w:leader="none" w:pos="5460" w:val="left"/>
        </w:tabs>
        <w:rPr>
          <w:sz w:val="20"/>
          <w:szCs w:val="20"/>
          <w:color w:val="auto"/>
        </w:rPr>
      </w:pPr>
      <w:r>
        <w:rPr>
          <w:rFonts w:ascii="Times New Roman" w:cs="Times New Roman" w:eastAsia="Times New Roman" w:hAnsi="Times New Roman"/>
          <w:sz w:val="16"/>
          <w:szCs w:val="16"/>
          <w:color w:val="auto"/>
        </w:rPr>
        <w:t>Name:</w:t>
        <w:tab/>
        <w:t>Ron G. Quinn</w:t>
      </w:r>
    </w:p>
    <w:p>
      <w:pPr>
        <w:spacing w:after="0" w:line="24" w:lineRule="exact"/>
        <w:rPr>
          <w:sz w:val="20"/>
          <w:szCs w:val="20"/>
          <w:color w:val="auto"/>
        </w:rPr>
      </w:pPr>
    </w:p>
    <w:p>
      <w:pPr>
        <w:ind w:left="4920"/>
        <w:spacing w:after="0"/>
        <w:tabs>
          <w:tab w:leader="none" w:pos="5460" w:val="left"/>
        </w:tabs>
        <w:rPr>
          <w:sz w:val="20"/>
          <w:szCs w:val="20"/>
          <w:color w:val="auto"/>
        </w:rPr>
      </w:pPr>
      <w:r>
        <w:rPr>
          <w:rFonts w:ascii="Times New Roman" w:cs="Times New Roman" w:eastAsia="Times New Roman" w:hAnsi="Times New Roman"/>
          <w:sz w:val="16"/>
          <w:szCs w:val="16"/>
          <w:color w:val="auto"/>
        </w:rPr>
        <w:t>Title:</w:t>
        <w:tab/>
        <w:t>President /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[Signature Page to Agreement and Plan of Merger]</w:t>
      </w:r>
    </w:p>
    <w:p>
      <w:pPr>
        <w:spacing w:after="0" w:line="36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74" w:name="page175"/>
    <w:bookmarkEnd w:id="17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Annex B — Voting and Support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75" w:name="page176"/>
    <w:bookmarkEnd w:id="17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u w:val="single" w:color="auto"/>
          <w:color w:val="auto"/>
        </w:rPr>
        <w:t>VOTING AND SUPPORT AGREEMENT</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 xml:space="preserve">THIS VOTING AND SUPPORT AGREEMENT </w:t>
      </w:r>
      <w:r>
        <w:rPr>
          <w:rFonts w:ascii="Times New Roman" w:cs="Times New Roman" w:eastAsia="Times New Roman" w:hAnsi="Times New Roman"/>
          <w:sz w:val="16"/>
          <w:szCs w:val="16"/>
          <w:color w:val="auto"/>
        </w:rPr>
        <w:t>(this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dated as of April 20, 2026 (the</w:t>
      </w:r>
    </w:p>
    <w:p>
      <w:pPr>
        <w:spacing w:after="0" w:line="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Agreement Date</w:t>
      </w:r>
      <w:r>
        <w:rPr>
          <w:rFonts w:ascii="Times New Roman" w:cs="Times New Roman" w:eastAsia="Times New Roman" w:hAnsi="Times New Roman"/>
          <w:sz w:val="16"/>
          <w:szCs w:val="16"/>
          <w:color w:val="auto"/>
        </w:rPr>
        <w:t>”), is entered into by and among (i) United Community Banks, Inc., a Georgia corporation</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Parent</w:t>
      </w:r>
      <w:r>
        <w:rPr>
          <w:rFonts w:ascii="Times New Roman" w:cs="Times New Roman" w:eastAsia="Times New Roman" w:hAnsi="Times New Roman"/>
          <w:sz w:val="16"/>
          <w:szCs w:val="16"/>
          <w:color w:val="auto"/>
        </w:rPr>
        <w:t>”) and (ii) each shareholder of Peach State Bancshares, Inc., a Georgia corporation (the</w:t>
      </w:r>
    </w:p>
    <w:p>
      <w:pPr>
        <w:ind w:left="11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listed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(collectively, the “</w:t>
      </w:r>
      <w:r>
        <w:rPr>
          <w:rFonts w:ascii="Times New Roman" w:cs="Times New Roman" w:eastAsia="Times New Roman" w:hAnsi="Times New Roman"/>
          <w:sz w:val="16"/>
          <w:szCs w:val="16"/>
          <w:b w:val="1"/>
          <w:bCs w:val="1"/>
          <w:i w:val="1"/>
          <w:iCs w:val="1"/>
          <w:color w:val="auto"/>
        </w:rPr>
        <w:t>Shareholders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b w:val="1"/>
          <w:bCs w:val="1"/>
          <w:i w:val="1"/>
          <w:iCs w:val="1"/>
          <w:color w:val="auto"/>
        </w:rPr>
        <w:t>Shareholder</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WITNESSETH</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ind w:left="1100" w:right="959" w:firstLine="318"/>
        <w:spacing w:after="0" w:line="24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pursuant to the terms of the Agreement and Plan of Merger (as the same may be amended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supplemented from time to time, the “</w:t>
      </w:r>
      <w:r>
        <w:rPr>
          <w:rFonts w:ascii="Times New Roman" w:cs="Times New Roman" w:eastAsia="Times New Roman" w:hAnsi="Times New Roman"/>
          <w:sz w:val="16"/>
          <w:szCs w:val="16"/>
          <w:b w:val="1"/>
          <w:bCs w:val="1"/>
          <w:i w:val="1"/>
          <w:iCs w:val="1"/>
          <w:color w:val="auto"/>
        </w:rPr>
        <w:t>Merger Agreement</w:t>
      </w:r>
      <w:r>
        <w:rPr>
          <w:rFonts w:ascii="Times New Roman" w:cs="Times New Roman" w:eastAsia="Times New Roman" w:hAnsi="Times New Roman"/>
          <w:sz w:val="16"/>
          <w:szCs w:val="16"/>
          <w:color w:val="auto"/>
        </w:rPr>
        <w:t>”), dated as of the date hereof and to be executed by the Company and Parent concurrently with the execution of this Agreement by the parties hereto, among other things and subject to the terms and conditions set forth therein, the Company will be merged with and into Parent (the “</w:t>
      </w:r>
      <w:r>
        <w:rPr>
          <w:rFonts w:ascii="Times New Roman" w:cs="Times New Roman" w:eastAsia="Times New Roman" w:hAnsi="Times New Roman"/>
          <w:sz w:val="16"/>
          <w:szCs w:val="16"/>
          <w:b w:val="1"/>
          <w:bCs w:val="1"/>
          <w:i w:val="1"/>
          <w:iCs w:val="1"/>
          <w:color w:val="auto"/>
        </w:rPr>
        <w:t>Merger</w:t>
      </w:r>
      <w:r>
        <w:rPr>
          <w:rFonts w:ascii="Times New Roman" w:cs="Times New Roman" w:eastAsia="Times New Roman" w:hAnsi="Times New Roman"/>
          <w:sz w:val="16"/>
          <w:szCs w:val="16"/>
          <w:color w:val="auto"/>
        </w:rPr>
        <w:t>”), with Parent surviving the Merger as the surviving corporation; and</w:t>
      </w:r>
    </w:p>
    <w:p>
      <w:pPr>
        <w:spacing w:after="0" w:line="97" w:lineRule="exact"/>
        <w:rPr>
          <w:sz w:val="20"/>
          <w:szCs w:val="20"/>
          <w:color w:val="auto"/>
        </w:rPr>
      </w:pPr>
    </w:p>
    <w:p>
      <w:pPr>
        <w:ind w:left="1100" w:right="979" w:firstLine="318"/>
        <w:spacing w:after="0" w:line="257"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a material inducement to and condition of Parent’s willingness to enter into the Merger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Parent has required that each Shareholder enter into this Agreement, and each Shareholder desires to enter into this Agreement to induce Parent to enter into the Merger Agreement.</w:t>
      </w:r>
    </w:p>
    <w:p>
      <w:pPr>
        <w:spacing w:after="0" w:line="88" w:lineRule="exact"/>
        <w:rPr>
          <w:sz w:val="20"/>
          <w:szCs w:val="20"/>
          <w:color w:val="auto"/>
        </w:rPr>
      </w:pPr>
    </w:p>
    <w:p>
      <w:pPr>
        <w:ind w:left="1100" w:right="1059" w:firstLine="318"/>
        <w:spacing w:after="0" w:line="249"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and as a material inducement to Parent entering into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Merger Agreement and proceeding with the transactions contemplated thereby, and in consideration of the expenses incurred and to be incurred by the parties to the Merger Agreement in connection therewith, the parties hereto agree as follows:</w:t>
      </w:r>
    </w:p>
    <w:p>
      <w:pPr>
        <w:spacing w:after="0" w:line="96" w:lineRule="exact"/>
        <w:rPr>
          <w:sz w:val="20"/>
          <w:szCs w:val="20"/>
          <w:color w:val="auto"/>
        </w:rPr>
      </w:pPr>
    </w:p>
    <w:p>
      <w:pPr>
        <w:ind w:left="1420" w:right="1139" w:firstLine="318"/>
        <w:spacing w:after="0" w:line="263" w:lineRule="auto"/>
        <w:tabs>
          <w:tab w:leader="none" w:pos="1991"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Capitalized terms not defined in this Agreement have the respective meanings assigned to them in the Merger Agreement.</w:t>
      </w:r>
    </w:p>
    <w:p>
      <w:pPr>
        <w:spacing w:after="0" w:line="85" w:lineRule="exact"/>
        <w:rPr>
          <w:rFonts w:ascii="Times New Roman" w:cs="Times New Roman" w:eastAsia="Times New Roman" w:hAnsi="Times New Roman"/>
          <w:sz w:val="16"/>
          <w:szCs w:val="16"/>
          <w:color w:val="auto"/>
        </w:rPr>
      </w:pPr>
    </w:p>
    <w:p>
      <w:pPr>
        <w:ind w:left="1420" w:right="959" w:firstLine="318"/>
        <w:spacing w:after="0" w:line="241" w:lineRule="auto"/>
        <w:tabs>
          <w:tab w:leader="none" w:pos="1991"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Effectiveness and Termination</w:t>
      </w:r>
      <w:r>
        <w:rPr>
          <w:rFonts w:ascii="Times New Roman" w:cs="Times New Roman" w:eastAsia="Times New Roman" w:hAnsi="Times New Roman"/>
          <w:sz w:val="16"/>
          <w:szCs w:val="16"/>
          <w:color w:val="auto"/>
        </w:rPr>
        <w:t>. The effectiveness of this Agreement is conditioned upon the execution and delivery of the Merger Agreement by the parties thereto. This Agreement may be terminated at any time prior to the consummation of the transactions contemplated by the Merger Agreement by the mutual written agreement of the parties hereto. This Agreement shall become effective on the date hereof and automatically terminate upon the earlier to occur of (a) the termination of the Merger Agreement, in accordance with its terms, (b) the Effective Time, or (c) any amendment of the Merger Agreement that decreases the Merger Consideration) ((a) — (c), collectively, the “</w:t>
      </w:r>
      <w:r>
        <w:rPr>
          <w:rFonts w:ascii="Times New Roman" w:cs="Times New Roman" w:eastAsia="Times New Roman" w:hAnsi="Times New Roman"/>
          <w:sz w:val="16"/>
          <w:szCs w:val="16"/>
          <w:b w:val="1"/>
          <w:bCs w:val="1"/>
          <w:i w:val="1"/>
          <w:iCs w:val="1"/>
          <w:color w:val="auto"/>
        </w:rPr>
        <w:t>Support Period</w:t>
      </w:r>
      <w:r>
        <w:rPr>
          <w:rFonts w:ascii="Times New Roman" w:cs="Times New Roman" w:eastAsia="Times New Roman" w:hAnsi="Times New Roman"/>
          <w:sz w:val="16"/>
          <w:szCs w:val="16"/>
          <w:color w:val="auto"/>
        </w:rPr>
        <w:t xml:space="preserve">”). Upon such termination, no party shall have any further obligations or liabilities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termination shall not relieve any party from liability for any willful or other breach of this Agreement prior to such termination.</w:t>
      </w:r>
    </w:p>
    <w:p>
      <w:pPr>
        <w:spacing w:after="0" w:line="106" w:lineRule="exact"/>
        <w:rPr>
          <w:rFonts w:ascii="Times New Roman" w:cs="Times New Roman" w:eastAsia="Times New Roman" w:hAnsi="Times New Roman"/>
          <w:sz w:val="16"/>
          <w:szCs w:val="16"/>
          <w:color w:val="auto"/>
        </w:rPr>
      </w:pPr>
    </w:p>
    <w:p>
      <w:pPr>
        <w:ind w:left="2000" w:hanging="262"/>
        <w:spacing w:after="0"/>
        <w:tabs>
          <w:tab w:leader="none" w:pos="200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w:t>
      </w:r>
    </w:p>
    <w:p>
      <w:pPr>
        <w:spacing w:after="0" w:line="125" w:lineRule="exact"/>
        <w:rPr>
          <w:rFonts w:ascii="Times New Roman" w:cs="Times New Roman" w:eastAsia="Times New Roman" w:hAnsi="Times New Roman"/>
          <w:sz w:val="16"/>
          <w:szCs w:val="16"/>
          <w:color w:val="auto"/>
        </w:rPr>
      </w:pPr>
    </w:p>
    <w:p>
      <w:pPr>
        <w:ind w:left="1740" w:right="939" w:firstLine="316"/>
        <w:spacing w:after="0" w:line="251" w:lineRule="auto"/>
        <w:tabs>
          <w:tab w:leader="none" w:pos="2372"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expressly set forth in </w:t>
      </w:r>
      <w:r>
        <w:rPr>
          <w:rFonts w:ascii="Times New Roman" w:cs="Times New Roman" w:eastAsia="Times New Roman" w:hAnsi="Times New Roman"/>
          <w:sz w:val="16"/>
          <w:szCs w:val="16"/>
          <w:u w:val="single" w:color="auto"/>
          <w:color w:val="auto"/>
        </w:rPr>
        <w:t>Section 3(d)</w:t>
      </w:r>
      <w:r>
        <w:rPr>
          <w:rFonts w:ascii="Times New Roman" w:cs="Times New Roman" w:eastAsia="Times New Roman" w:hAnsi="Times New Roman"/>
          <w:sz w:val="16"/>
          <w:szCs w:val="16"/>
          <w:color w:val="auto"/>
        </w:rPr>
        <w:t>, during the Support Period, each Shareholder irrevocably and unconditionally agrees that at any shareholder meeting of the Company to adopt and approve the Merger Agreement or at any adjournment or postponement thereof, or in any action proposed to be taken by written consent of the shareholders of the Company, such Shareholder shall be present (in person or by proxy) and shall vote (or cause to be voted or acted upon by written consent with respect to) all shares of common stock of the Company, $5.00 par value per share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owned of record or beneficially owned by such Shareholder as of the date hereof, together with any and all shares of Common Stock as to which such Shareholder acquires record or beneficial ownership from time to time after the date hereof (collectively, the “</w:t>
      </w:r>
      <w:r>
        <w:rPr>
          <w:rFonts w:ascii="Times New Roman" w:cs="Times New Roman" w:eastAsia="Times New Roman" w:hAnsi="Times New Roman"/>
          <w:sz w:val="16"/>
          <w:szCs w:val="16"/>
          <w:b w:val="1"/>
          <w:bCs w:val="1"/>
          <w:i w:val="1"/>
          <w:iCs w:val="1"/>
          <w:color w:val="auto"/>
        </w:rPr>
        <w:t>Owned Shares</w:t>
      </w:r>
      <w:r>
        <w:rPr>
          <w:rFonts w:ascii="Times New Roman" w:cs="Times New Roman" w:eastAsia="Times New Roman" w:hAnsi="Times New Roman"/>
          <w:sz w:val="16"/>
          <w:szCs w:val="16"/>
          <w:color w:val="auto"/>
        </w:rPr>
        <w:t>”), in each case that are entitled to vote at such meeting (or be voted or acted upon by written consent), as follows:</w:t>
      </w:r>
    </w:p>
    <w:p>
      <w:pPr>
        <w:spacing w:after="0" w:line="111" w:lineRule="exact"/>
        <w:rPr>
          <w:rFonts w:ascii="Times New Roman" w:cs="Times New Roman" w:eastAsia="Times New Roman" w:hAnsi="Times New Roman"/>
          <w:sz w:val="16"/>
          <w:szCs w:val="16"/>
          <w:color w:val="auto"/>
        </w:rPr>
      </w:pPr>
    </w:p>
    <w:p>
      <w:pPr>
        <w:ind w:left="2060" w:right="1039" w:firstLine="313"/>
        <w:spacing w:after="0" w:line="254" w:lineRule="auto"/>
        <w:tabs>
          <w:tab w:leader="none" w:pos="2666" w:val="left"/>
        </w:tabs>
        <w:numPr>
          <w:ilvl w:val="2"/>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favor of (A) the adoption and approval of the Merger Agreement and the Merger (including any amendments or modifications of the terms thereof approved by the Board of Directors of the Company and adopted in accordance with the terms of the Merger Agreement), and (B) the approval of any proposal to adjourn or postpone such meeting to a later date if there are not sufficient votes to adopt and approve the Merger Agreement and such adjournment or postponement is in accordance with the Merger Agreement; and</w:t>
      </w: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5" w:right="1440" w:bottom="1440" w:gutter="0" w:footer="0" w:header="0"/>
        </w:sectPr>
      </w:pPr>
    </w:p>
    <w:bookmarkStart w:id="176" w:name="page177"/>
    <w:bookmarkEnd w:id="17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60" w:right="979" w:firstLine="313"/>
        <w:spacing w:after="0" w:line="248" w:lineRule="auto"/>
        <w:tabs>
          <w:tab w:leader="none" w:pos="2713" w:val="left"/>
        </w:tabs>
        <w:numPr>
          <w:ilvl w:val="2"/>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 any action or agreement proposed by the Company or any shareholder of the Company that would prevent, materially impede or materially delay the consummation of the Merger, and (B) other than the Merger, any proposal that relates to an Acquisition Proposal, without regard to the terms of such proposal.</w:t>
      </w:r>
    </w:p>
    <w:p>
      <w:pPr>
        <w:spacing w:after="0" w:line="97" w:lineRule="exact"/>
        <w:rPr>
          <w:rFonts w:ascii="Times New Roman" w:cs="Times New Roman" w:eastAsia="Times New Roman" w:hAnsi="Times New Roman"/>
          <w:sz w:val="16"/>
          <w:szCs w:val="16"/>
          <w:color w:val="auto"/>
        </w:rPr>
      </w:pPr>
    </w:p>
    <w:p>
      <w:pPr>
        <w:jc w:val="both"/>
        <w:ind w:left="1740" w:right="919" w:firstLine="316"/>
        <w:spacing w:after="0" w:line="248" w:lineRule="auto"/>
        <w:tabs>
          <w:tab w:leader="none" w:pos="2381" w:val="left"/>
        </w:tabs>
        <w:numPr>
          <w:ilvl w:val="1"/>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expressly permitted pursuant to </w:t>
      </w:r>
      <w:r>
        <w:rPr>
          <w:rFonts w:ascii="Times New Roman" w:cs="Times New Roman" w:eastAsia="Times New Roman" w:hAnsi="Times New Roman"/>
          <w:sz w:val="16"/>
          <w:szCs w:val="16"/>
          <w:u w:val="single" w:color="auto"/>
          <w:color w:val="auto"/>
        </w:rPr>
        <w:t>Section 3(d)</w:t>
      </w:r>
      <w:r>
        <w:rPr>
          <w:rFonts w:ascii="Times New Roman" w:cs="Times New Roman" w:eastAsia="Times New Roman" w:hAnsi="Times New Roman"/>
          <w:sz w:val="16"/>
          <w:szCs w:val="16"/>
          <w:color w:val="auto"/>
        </w:rPr>
        <w:t>, each Shareholder further agrees not to vote to rescind or amend in any manner any prior vote or revoke any prior consent, in each case in its capacity as a shareholder of the Company, to adopt or approve the Merger Agreement or the Merger, unless this Agreement shall have been terminated in accordance with its terms.</w:t>
      </w:r>
    </w:p>
    <w:p>
      <w:pPr>
        <w:spacing w:after="0" w:line="97" w:lineRule="exact"/>
        <w:rPr>
          <w:rFonts w:ascii="Times New Roman" w:cs="Times New Roman" w:eastAsia="Times New Roman" w:hAnsi="Times New Roman"/>
          <w:sz w:val="16"/>
          <w:szCs w:val="16"/>
          <w:color w:val="auto"/>
        </w:rPr>
      </w:pPr>
    </w:p>
    <w:p>
      <w:pPr>
        <w:ind w:left="1740" w:right="1019" w:firstLine="316"/>
        <w:spacing w:after="0" w:line="246" w:lineRule="auto"/>
        <w:tabs>
          <w:tab w:leader="none" w:pos="2372" w:val="left"/>
        </w:tabs>
        <w:numPr>
          <w:ilvl w:val="1"/>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Shareholder represents and warrants and covenants and agrees that, except for this Agreement, such Shareholder (i) has not entered into, and shall not enter into during the Support Period, any voting or support agreement or voting trust with respect to its Owned Shares and</w:t>
      </w:r>
    </w:p>
    <w:p>
      <w:pPr>
        <w:ind w:left="1980" w:hanging="242"/>
        <w:spacing w:after="0"/>
        <w:tabs>
          <w:tab w:leader="none" w:pos="198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has not granted, and, except as expressly permitted pursuant to </w:t>
      </w:r>
      <w:r>
        <w:rPr>
          <w:rFonts w:ascii="Times New Roman" w:cs="Times New Roman" w:eastAsia="Times New Roman" w:hAnsi="Times New Roman"/>
          <w:sz w:val="16"/>
          <w:szCs w:val="16"/>
          <w:u w:val="single" w:color="auto"/>
          <w:color w:val="auto"/>
        </w:rPr>
        <w:t>Section 3(d)</w:t>
      </w:r>
      <w:r>
        <w:rPr>
          <w:rFonts w:ascii="Times New Roman" w:cs="Times New Roman" w:eastAsia="Times New Roman" w:hAnsi="Times New Roman"/>
          <w:sz w:val="16"/>
          <w:szCs w:val="16"/>
          <w:color w:val="auto"/>
        </w:rPr>
        <w:t>, shall not grant</w:t>
      </w:r>
    </w:p>
    <w:p>
      <w:pPr>
        <w:spacing w:after="0" w:line="6" w:lineRule="exact"/>
        <w:rPr>
          <w:sz w:val="20"/>
          <w:szCs w:val="20"/>
          <w:color w:val="auto"/>
        </w:rPr>
      </w:pPr>
    </w:p>
    <w:p>
      <w:pPr>
        <w:ind w:left="1740" w:right="919"/>
        <w:spacing w:after="0" w:line="241" w:lineRule="auto"/>
        <w:rPr>
          <w:sz w:val="20"/>
          <w:szCs w:val="20"/>
          <w:color w:val="auto"/>
        </w:rPr>
      </w:pPr>
      <w:r>
        <w:rPr>
          <w:rFonts w:ascii="Times New Roman" w:cs="Times New Roman" w:eastAsia="Times New Roman" w:hAnsi="Times New Roman"/>
          <w:sz w:val="16"/>
          <w:szCs w:val="16"/>
          <w:color w:val="auto"/>
        </w:rPr>
        <w:t>during the Support Period, a proxy, consent or power of attorney with respect to its Owned Shares, except any proxy to carry out the intent of this Agreement.</w:t>
      </w:r>
    </w:p>
    <w:p>
      <w:pPr>
        <w:spacing w:after="0" w:line="102" w:lineRule="exact"/>
        <w:rPr>
          <w:sz w:val="20"/>
          <w:szCs w:val="20"/>
          <w:color w:val="auto"/>
        </w:rPr>
      </w:pPr>
    </w:p>
    <w:p>
      <w:pPr>
        <w:ind w:left="1740" w:right="1059" w:firstLine="316"/>
        <w:spacing w:after="0" w:line="251" w:lineRule="auto"/>
        <w:tabs>
          <w:tab w:leader="none" w:pos="2381" w:val="left"/>
        </w:tabs>
        <w:numPr>
          <w:ilvl w:val="3"/>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in this Agreement to the contrary, in the event of an Adverse Recommendation Change in accordance with and to the extent expressly permitted by</w:t>
      </w:r>
    </w:p>
    <w:p>
      <w:pPr>
        <w:spacing w:after="0" w:line="1" w:lineRule="exact"/>
        <w:rPr>
          <w:rFonts w:ascii="Times New Roman" w:cs="Times New Roman" w:eastAsia="Times New Roman" w:hAnsi="Times New Roman"/>
          <w:sz w:val="16"/>
          <w:szCs w:val="16"/>
          <w:color w:val="auto"/>
        </w:rPr>
      </w:pPr>
    </w:p>
    <w:p>
      <w:pPr>
        <w:ind w:left="1740" w:right="1019"/>
        <w:spacing w:after="0" w:line="23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Section 6.3(b) of the Merger Agreement, the obligations of the Shareholders set forth in </w:t>
      </w:r>
      <w:r>
        <w:rPr>
          <w:rFonts w:ascii="Times New Roman" w:cs="Times New Roman" w:eastAsia="Times New Roman" w:hAnsi="Times New Roman"/>
          <w:sz w:val="16"/>
          <w:szCs w:val="16"/>
          <w:u w:val="single" w:color="auto"/>
          <w:color w:val="auto"/>
        </w:rPr>
        <w:t>Sections 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3(b)</w:t>
      </w:r>
      <w:r>
        <w:rPr>
          <w:rFonts w:ascii="Times New Roman" w:cs="Times New Roman" w:eastAsia="Times New Roman" w:hAnsi="Times New Roman"/>
          <w:sz w:val="16"/>
          <w:szCs w:val="16"/>
          <w:color w:val="auto"/>
        </w:rPr>
        <w:t xml:space="preserve"> of this Agreement shall not apply with respect to the portion of the Owned Shares that are Released Shares. Each Shareholder shall be entitled to vote any of its Released Shares in any manner such Shareholder chooses in its sole discretion. “</w:t>
      </w:r>
      <w:r>
        <w:rPr>
          <w:rFonts w:ascii="Times New Roman" w:cs="Times New Roman" w:eastAsia="Times New Roman" w:hAnsi="Times New Roman"/>
          <w:sz w:val="16"/>
          <w:szCs w:val="16"/>
          <w:b w:val="1"/>
          <w:bCs w:val="1"/>
          <w:i w:val="1"/>
          <w:iCs w:val="1"/>
          <w:color w:val="auto"/>
        </w:rPr>
        <w:t>Released Shares</w:t>
      </w:r>
      <w:r>
        <w:rPr>
          <w:rFonts w:ascii="Times New Roman" w:cs="Times New Roman" w:eastAsia="Times New Roman" w:hAnsi="Times New Roman"/>
          <w:sz w:val="16"/>
          <w:szCs w:val="16"/>
          <w:color w:val="auto"/>
        </w:rPr>
        <w:t>” means,</w:t>
      </w:r>
    </w:p>
    <w:p>
      <w:pPr>
        <w:spacing w:after="0" w:line="1" w:lineRule="exact"/>
        <w:rPr>
          <w:rFonts w:ascii="Times New Roman" w:cs="Times New Roman" w:eastAsia="Times New Roman" w:hAnsi="Times New Roman"/>
          <w:sz w:val="16"/>
          <w:szCs w:val="16"/>
          <w:color w:val="auto"/>
        </w:rPr>
      </w:pPr>
    </w:p>
    <w:p>
      <w:pPr>
        <w:ind w:left="1740" w:right="979" w:hanging="2"/>
        <w:spacing w:after="0" w:line="238" w:lineRule="auto"/>
        <w:tabs>
          <w:tab w:leader="none" w:pos="1942" w:val="left"/>
        </w:tabs>
        <w:numPr>
          <w:ilvl w:val="2"/>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aggregate, if the aggregate number of Owned Shares owned by the Shareholders collectively represents more than thirty-five percent (35%) of the total voting power of the Common Stock issued and outstanding as of any applicable record date for a meeting of the Company’s shareholders or for any action proposed to be taken by written consent of the Company’s shareholders, the Owned Shares of the Shareholders, collectively, to the extent exceeding such threshold, and (ii) with respect to each Shareholder, the Released Shares allocable to such Shareholder individually on a pro rata basis (based on the percentage of the aggregate number of Owned Shares owned by each Shareholder as of the applicable record date) out of the aggregate number of Released Shares determined pursuant to clause (i) of this definition. For illustrative purposes only, calculations of the potential Released Shares for each Shareholder, based on the aggregate issued and outstanding shares of Common Stock, aggregate number of Owned Shares and number of Owned Shares owned by each Shareholder, each as of the Agreement Date, are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w:t>
      </w:r>
    </w:p>
    <w:p>
      <w:pPr>
        <w:spacing w:after="0" w:line="111" w:lineRule="exact"/>
        <w:rPr>
          <w:rFonts w:ascii="Times New Roman" w:cs="Times New Roman" w:eastAsia="Times New Roman" w:hAnsi="Times New Roman"/>
          <w:sz w:val="16"/>
          <w:szCs w:val="16"/>
          <w:color w:val="auto"/>
        </w:rPr>
      </w:pPr>
    </w:p>
    <w:p>
      <w:pPr>
        <w:ind w:left="1420" w:right="899" w:firstLine="318"/>
        <w:spacing w:after="0"/>
        <w:tabs>
          <w:tab w:leader="none" w:pos="1991" w:val="left"/>
        </w:tabs>
        <w:numPr>
          <w:ilvl w:val="1"/>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Solicitation</w:t>
      </w:r>
      <w:r>
        <w:rPr>
          <w:rFonts w:ascii="Times New Roman" w:cs="Times New Roman" w:eastAsia="Times New Roman" w:hAnsi="Times New Roman"/>
          <w:sz w:val="16"/>
          <w:szCs w:val="16"/>
          <w:color w:val="auto"/>
        </w:rPr>
        <w:t>. Each Shareholder agrees (a) that it shall not, and it shall direct and use its reasonable best efforts to cause its agents and representatives not to, initiate, solicit or knowingly encourage or facilitate inquiries or proposals that relate to any Acquisition Proposal; provided, however, that nothing herein shall prohibit any Shareholder from taking actions in its capacity as a director or officer of the Company, to the extent and under the circumstances such actions are permitted for the Company under the Merger Agreement; and (b) that it shall not initiate any proxy solicitation (other than in favor of the Merger Agreement and the transactions contemplated thereby) or undertake any other efforts against the Merger Agreement, the Merger or the other transactions contemplated by the Merger Agreement.</w:t>
      </w:r>
    </w:p>
    <w:p>
      <w:pPr>
        <w:spacing w:after="0" w:line="291" w:lineRule="exact"/>
        <w:rPr>
          <w:rFonts w:ascii="Times New Roman" w:cs="Times New Roman" w:eastAsia="Times New Roman" w:hAnsi="Times New Roman"/>
          <w:sz w:val="16"/>
          <w:szCs w:val="16"/>
          <w:color w:val="auto"/>
        </w:rPr>
      </w:pPr>
    </w:p>
    <w:p>
      <w:pPr>
        <w:ind w:left="1420" w:right="939" w:firstLine="318"/>
        <w:spacing w:after="0" w:line="252" w:lineRule="auto"/>
        <w:tabs>
          <w:tab w:leader="none" w:pos="1991" w:val="left"/>
        </w:tabs>
        <w:numPr>
          <w:ilvl w:val="1"/>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 Prior to Merger</w:t>
      </w:r>
      <w:r>
        <w:rPr>
          <w:rFonts w:ascii="Times New Roman" w:cs="Times New Roman" w:eastAsia="Times New Roman" w:hAnsi="Times New Roman"/>
          <w:sz w:val="16"/>
          <w:szCs w:val="16"/>
          <w:color w:val="auto"/>
        </w:rPr>
        <w:t>. Each Shareholder agrees that, until the earlier of (i) the end of the Support Period, (ii) the termination of this Agreement in accordance with its terms or</w:t>
      </w:r>
    </w:p>
    <w:p>
      <w:pPr>
        <w:ind w:left="1420" w:right="899"/>
        <w:spacing w:after="0" w:line="239" w:lineRule="auto"/>
        <w:tabs>
          <w:tab w:leader="none" w:pos="1717"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receipt of the Requisite Company Shareholder Approval, absent the prior written consent of Parent, it will not, sell, transfer, assign, tender in any tender or exchange offer, pledge, encumber, hypothecate or similarly dispose of (by merger, by testamentary disposition, by operation of Law or otherwise), either voluntarily or involuntarily, enter into any swap or other arrangements that transfers to another, in whole or in part, any of the economic consequences of ownership of, deposit into a voting trust, enter into a voting or support agreement or arrangement (other than this Agreement) with respect to, or grant (except as expressly permitted pursuant to </w:t>
      </w:r>
      <w:r>
        <w:rPr>
          <w:rFonts w:ascii="Times New Roman" w:cs="Times New Roman" w:eastAsia="Times New Roman" w:hAnsi="Times New Roman"/>
          <w:sz w:val="16"/>
          <w:szCs w:val="16"/>
          <w:u w:val="single" w:color="auto"/>
          <w:color w:val="auto"/>
        </w:rPr>
        <w:t>Section 3(d)</w:t>
      </w:r>
      <w:r>
        <w:rPr>
          <w:rFonts w:ascii="Times New Roman" w:cs="Times New Roman" w:eastAsia="Times New Roman" w:hAnsi="Times New Roman"/>
          <w:sz w:val="16"/>
          <w:szCs w:val="16"/>
          <w:color w:val="auto"/>
        </w:rPr>
        <w:t>) any proxy, consent or power of attorney (other than this Agreement) with respect to, enter into any contract, option or other arrangement or understanding with respect to the sale, transfer, assignment, pledge, lien, hypothecation or other disposition of (by merger, by testamentary disposition, by operation of Law or otherwise) or</w:t>
      </w:r>
    </w:p>
    <w:p>
      <w:pPr>
        <w:spacing w:after="0" w:line="33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77" w:name="page178"/>
    <w:bookmarkEnd w:id="17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39"/>
        <w:spacing w:after="0"/>
        <w:rPr>
          <w:sz w:val="20"/>
          <w:szCs w:val="20"/>
          <w:color w:val="auto"/>
        </w:rPr>
      </w:pPr>
      <w:r>
        <w:rPr>
          <w:rFonts w:ascii="Times New Roman" w:cs="Times New Roman" w:eastAsia="Times New Roman" w:hAnsi="Times New Roman"/>
          <w:sz w:val="16"/>
          <w:szCs w:val="16"/>
          <w:color w:val="auto"/>
        </w:rPr>
        <w:t>otherwise convey or dispose of, any of such Shareholder’s Owned Shares, or any interest therein, including the right to vote any Owned Shares, as applicable (“</w:t>
      </w:r>
      <w:r>
        <w:rPr>
          <w:rFonts w:ascii="Times New Roman" w:cs="Times New Roman" w:eastAsia="Times New Roman" w:hAnsi="Times New Roman"/>
          <w:sz w:val="16"/>
          <w:szCs w:val="16"/>
          <w:b w:val="1"/>
          <w:bCs w:val="1"/>
          <w:i w:val="1"/>
          <w:iCs w:val="1"/>
          <w:color w:val="auto"/>
        </w:rPr>
        <w:t>Transfer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Shareholder may Transfer Owned Shares: (i) for estate or tax planning purposes; (ii) to a charitable institution for philanthropic purposes; (iii) pursuant to any trust or will of such Shareholder, or by the Laws of intestate succession; (iv) pursuant to a qualified domestic order or as required by a divorce settlement; or (v) pursuant to any pledge agreement in existence as of the date of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a Transfer referred to in clauses (i) through (v) of this sentence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permitted only if (as applicable) (x) all of the representations and warranties made by such Shareholder in this Agreement would be true and correct in all material respects upon such Transfer, subject to necessary adjustment as a result of such Transfer and (y) the transferee, prior to the date of Transfer, agrees in a signed writing reasonably satisfactory in form and substance to Parent, to be bound by and comply with the provisions of this Agreement applicable to a Shareholder with respect to such Owned Shares. Following any Transfer of Owned Shares by a Shareholder in accordance with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the Owned Shares subject to such Transfer shall no longer constitute Owned Shares of such Shareholder for purposes of this Agreement and shall constitute Owned Shares of such transferee in its capacity as a Shareholder. During the term of this Agreement, the Company shall not register or otherwise recognize the Transfer (book -entry or otherwise) of any Owned Shares or any certificate or uncertificated interest representing any Owned Shares, except as permitted by, and in accordance with,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Any Transfer or attempted Transfer in violation of this Section 5 shall be null and void </w:t>
      </w:r>
      <w:r>
        <w:rPr>
          <w:rFonts w:ascii="Times New Roman" w:cs="Times New Roman" w:eastAsia="Times New Roman" w:hAnsi="Times New Roman"/>
          <w:sz w:val="16"/>
          <w:szCs w:val="16"/>
          <w:i w:val="1"/>
          <w:iCs w:val="1"/>
          <w:color w:val="auto"/>
        </w:rPr>
        <w:t xml:space="preserve">ab initio </w:t>
      </w:r>
      <w:r>
        <w:rPr>
          <w:rFonts w:ascii="Times New Roman" w:cs="Times New Roman" w:eastAsia="Times New Roman" w:hAnsi="Times New Roman"/>
          <w:sz w:val="16"/>
          <w:szCs w:val="16"/>
          <w:color w:val="auto"/>
        </w:rPr>
        <w:t>and of no effect whatsoever.</w:t>
      </w:r>
    </w:p>
    <w:p>
      <w:pPr>
        <w:spacing w:after="0" w:line="292" w:lineRule="exact"/>
        <w:rPr>
          <w:sz w:val="20"/>
          <w:szCs w:val="20"/>
          <w:color w:val="auto"/>
        </w:rPr>
      </w:pPr>
    </w:p>
    <w:p>
      <w:pPr>
        <w:ind w:left="2000" w:hanging="262"/>
        <w:spacing w:after="0"/>
        <w:tabs>
          <w:tab w:leader="none" w:pos="200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Cooperation</w:t>
      </w:r>
      <w:r>
        <w:rPr>
          <w:rFonts w:ascii="Times New Roman" w:cs="Times New Roman" w:eastAsia="Times New Roman" w:hAnsi="Times New Roman"/>
          <w:sz w:val="16"/>
          <w:szCs w:val="16"/>
          <w:color w:val="auto"/>
        </w:rPr>
        <w:t>.</w:t>
      </w:r>
    </w:p>
    <w:p>
      <w:pPr>
        <w:spacing w:after="0" w:line="125" w:lineRule="exact"/>
        <w:rPr>
          <w:rFonts w:ascii="Times New Roman" w:cs="Times New Roman" w:eastAsia="Times New Roman" w:hAnsi="Times New Roman"/>
          <w:sz w:val="16"/>
          <w:szCs w:val="16"/>
          <w:color w:val="auto"/>
        </w:rPr>
      </w:pPr>
    </w:p>
    <w:p>
      <w:pPr>
        <w:ind w:left="1740" w:right="899" w:firstLine="316"/>
        <w:spacing w:after="0"/>
        <w:tabs>
          <w:tab w:leader="none" w:pos="2372"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Shareholder hereby: (i) authorizes the Company and Parent to publish and disclose in any public announcement or disclosure required by the SEC or by applicable Laws and/or the Proxy Statement/Prospectus (and, if applicable, the Registration Statement), such Shareholder’s identity and ownership of the Owned Shares, the nature of such Shareholder’s obligations under this Agreement and any other information that the Company or Parent reasonably determines is required to be disclosed by the SEC or by applicable Laws in connection with the Merger or the Merger Agreement; (ii) agrees to promptly provide to the Company and Parent any information that the Company or Parent may reasonably require for the preparation of any such disclosure documents; and (iii) agrees to promptly notify the Company and Parent of any required corrections with respect to any information supplied by such Shareholder, if and to the extent that such information shall have become false or misleading in any material respect.</w:t>
      </w:r>
    </w:p>
    <w:p>
      <w:pPr>
        <w:spacing w:after="0" w:line="108" w:lineRule="exact"/>
        <w:rPr>
          <w:rFonts w:ascii="Times New Roman" w:cs="Times New Roman" w:eastAsia="Times New Roman" w:hAnsi="Times New Roman"/>
          <w:sz w:val="16"/>
          <w:szCs w:val="16"/>
          <w:color w:val="auto"/>
        </w:rPr>
      </w:pPr>
    </w:p>
    <w:p>
      <w:pPr>
        <w:ind w:left="1740" w:right="1059" w:firstLine="316"/>
        <w:spacing w:after="0" w:line="245" w:lineRule="auto"/>
        <w:tabs>
          <w:tab w:leader="none" w:pos="2381"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Shareholder agrees to take all reasonable actions and make all reasonable efforts, and will execute and deliver all such further agreements, documents, certificates, instruments, proxies and voting instructions, in order to fulfill such Shareholder’s agreements and obligations contemplated hereby and by the Merger Agreement, including, without limitation, the agreement of such Shareholder to vote such Shareholder’s Owned Shares in accordance with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hereof.</w:t>
      </w:r>
    </w:p>
    <w:p>
      <w:pPr>
        <w:spacing w:after="0" w:line="287" w:lineRule="exact"/>
        <w:rPr>
          <w:rFonts w:ascii="Times New Roman" w:cs="Times New Roman" w:eastAsia="Times New Roman" w:hAnsi="Times New Roman"/>
          <w:sz w:val="16"/>
          <w:szCs w:val="16"/>
          <w:color w:val="auto"/>
        </w:rPr>
      </w:pPr>
    </w:p>
    <w:p>
      <w:pPr>
        <w:ind w:left="1420" w:right="1179" w:firstLine="318"/>
        <w:spacing w:after="0" w:line="263" w:lineRule="auto"/>
        <w:tabs>
          <w:tab w:leader="none" w:pos="1991"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Shareholder Representations and Warranties</w:t>
      </w:r>
      <w:r>
        <w:rPr>
          <w:rFonts w:ascii="Times New Roman" w:cs="Times New Roman" w:eastAsia="Times New Roman" w:hAnsi="Times New Roman"/>
          <w:sz w:val="16"/>
          <w:szCs w:val="16"/>
          <w:color w:val="auto"/>
        </w:rPr>
        <w:t>. Each Shareholder represents and warrants to Parent and the Company that:</w:t>
      </w:r>
    </w:p>
    <w:p>
      <w:pPr>
        <w:spacing w:after="0" w:line="85" w:lineRule="exact"/>
        <w:rPr>
          <w:rFonts w:ascii="Times New Roman" w:cs="Times New Roman" w:eastAsia="Times New Roman" w:hAnsi="Times New Roman"/>
          <w:sz w:val="16"/>
          <w:szCs w:val="16"/>
          <w:color w:val="auto"/>
        </w:rPr>
      </w:pPr>
    </w:p>
    <w:p>
      <w:pPr>
        <w:ind w:left="1740" w:right="899" w:firstLine="316"/>
        <w:spacing w:after="0" w:line="248" w:lineRule="auto"/>
        <w:tabs>
          <w:tab w:leader="none" w:pos="2372"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Shareholder has all requisite capacity and authority to enter into and perform its obligations under this Agreement; such Shareholder is duly organized, validly existing and in good standing in accordance with the Laws of its jurisdiction of formation; and the trustee of such Shareholder is the duly appointed and acting trustee of such Shareholder and has authority to act on behalf of such Shareholder;</w:t>
      </w:r>
    </w:p>
    <w:p>
      <w:pPr>
        <w:spacing w:after="0" w:line="97" w:lineRule="exact"/>
        <w:rPr>
          <w:rFonts w:ascii="Times New Roman" w:cs="Times New Roman" w:eastAsia="Times New Roman" w:hAnsi="Times New Roman"/>
          <w:sz w:val="16"/>
          <w:szCs w:val="16"/>
          <w:color w:val="auto"/>
        </w:rPr>
      </w:pPr>
    </w:p>
    <w:p>
      <w:pPr>
        <w:ind w:left="1740" w:right="919" w:firstLine="316"/>
        <w:spacing w:after="0" w:line="243" w:lineRule="auto"/>
        <w:tabs>
          <w:tab w:leader="none" w:pos="2381"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and validly executed and delivered by the trustee of such Shareholder and, assuming the due authorization, execution and delivery of this Agreement by the Company and Parent, constitutes a valid and legally binding agreement of such Shareholder, enforceable against such Shareholder in accordance with its terms, except to the extent that enforceability may be limited by the Enforceability Exceptions, and no other action is necessary to authorize the execution and delivery by the trustee of such Shareholder or the performance of such Shareholder’s obligations hereunder;</w:t>
      </w:r>
    </w:p>
    <w:p>
      <w:pPr>
        <w:spacing w:after="0" w:line="101" w:lineRule="exact"/>
        <w:rPr>
          <w:rFonts w:ascii="Times New Roman" w:cs="Times New Roman" w:eastAsia="Times New Roman" w:hAnsi="Times New Roman"/>
          <w:sz w:val="16"/>
          <w:szCs w:val="16"/>
          <w:color w:val="auto"/>
        </w:rPr>
      </w:pPr>
    </w:p>
    <w:p>
      <w:pPr>
        <w:ind w:left="1740" w:right="899" w:firstLine="316"/>
        <w:spacing w:after="0" w:line="263" w:lineRule="auto"/>
        <w:tabs>
          <w:tab w:leader="none" w:pos="2372"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of this Agreement by the trustee of such Shareholder does not, and the performance by such Shareholder of its obligations hereunder and the consummation</w:t>
      </w:r>
    </w:p>
    <w:p>
      <w:pPr>
        <w:spacing w:after="0" w:line="3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78" w:name="page179"/>
    <w:bookmarkEnd w:id="17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740" w:right="959"/>
        <w:spacing w:after="0" w:line="256" w:lineRule="auto"/>
        <w:rPr>
          <w:sz w:val="20"/>
          <w:szCs w:val="20"/>
          <w:color w:val="auto"/>
        </w:rPr>
      </w:pPr>
      <w:r>
        <w:rPr>
          <w:rFonts w:ascii="Times New Roman" w:cs="Times New Roman" w:eastAsia="Times New Roman" w:hAnsi="Times New Roman"/>
          <w:sz w:val="16"/>
          <w:szCs w:val="16"/>
          <w:color w:val="auto"/>
        </w:rPr>
        <w:t>by such Shareholder of the transactions contemplated hereby will not, violate or conflict with, or constitute a default under, any agreement, instrument, contract or other obligation or any order, arbitration award, judgment or decree to which such Shareholder is a party or by which such Shareholder is bound, or any statute, rule or regulation to which such Shareholder is subject or the charter, bylaws or other organizational documents of such Shareholder;</w:t>
      </w:r>
    </w:p>
    <w:p>
      <w:pPr>
        <w:spacing w:after="0" w:line="103" w:lineRule="exact"/>
        <w:rPr>
          <w:sz w:val="20"/>
          <w:szCs w:val="20"/>
          <w:color w:val="auto"/>
        </w:rPr>
      </w:pPr>
    </w:p>
    <w:p>
      <w:pPr>
        <w:ind w:left="1740" w:right="959" w:firstLine="316"/>
        <w:spacing w:after="0" w:line="279" w:lineRule="auto"/>
        <w:tabs>
          <w:tab w:leader="none" w:pos="2381" w:val="left"/>
        </w:tabs>
        <w:numPr>
          <w:ilvl w:val="2"/>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Agreement Date, such Shareholder owns the number of Owned Shares set forth next to such Shareholder’s name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w:t>
      </w:r>
    </w:p>
    <w:p>
      <w:pPr>
        <w:spacing w:after="0" w:line="84" w:lineRule="exact"/>
        <w:rPr>
          <w:rFonts w:ascii="Times New Roman" w:cs="Times New Roman" w:eastAsia="Times New Roman" w:hAnsi="Times New Roman"/>
          <w:sz w:val="16"/>
          <w:szCs w:val="16"/>
          <w:color w:val="auto"/>
        </w:rPr>
      </w:pPr>
    </w:p>
    <w:p>
      <w:pPr>
        <w:ind w:left="1740" w:right="939" w:firstLine="316"/>
        <w:spacing w:after="0" w:line="253" w:lineRule="auto"/>
        <w:tabs>
          <w:tab w:leader="none" w:pos="2372" w:val="left"/>
        </w:tabs>
        <w:numPr>
          <w:ilvl w:val="2"/>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Shareholder has, and at all times during the term of this Agreement shall have, beneficial ownership of, good and valid title to and full and exclusive power to vote, without restriction or limitation, clear of any and all Liens, claims, proxies, voting trusts, voting or support agreements, options, rights, understandings or arrangements or any other encumbrances or restrictions whatsoever on title, transfer, voting or exercise of any rights of a shareholder in respect of, such Shareholder’s Owned Shares (other than any such shares that are Transferred in the manner permitted by this Agreement) or as expressly permitted pursuant to the terms of </w:t>
      </w:r>
      <w:r>
        <w:rPr>
          <w:rFonts w:ascii="Times New Roman" w:cs="Times New Roman" w:eastAsia="Times New Roman" w:hAnsi="Times New Roman"/>
          <w:sz w:val="16"/>
          <w:szCs w:val="16"/>
          <w:u w:val="single" w:color="auto"/>
          <w:color w:val="auto"/>
        </w:rPr>
        <w:t>Section 3(d)</w:t>
      </w:r>
      <w:r>
        <w:rPr>
          <w:rFonts w:ascii="Times New Roman" w:cs="Times New Roman" w:eastAsia="Times New Roman" w:hAnsi="Times New Roman"/>
          <w:sz w:val="16"/>
          <w:szCs w:val="16"/>
          <w:color w:val="auto"/>
        </w:rPr>
        <w:t>);</w:t>
      </w:r>
    </w:p>
    <w:p>
      <w:pPr>
        <w:spacing w:after="0" w:line="286" w:lineRule="exact"/>
        <w:rPr>
          <w:rFonts w:ascii="Times New Roman" w:cs="Times New Roman" w:eastAsia="Times New Roman" w:hAnsi="Times New Roman"/>
          <w:sz w:val="16"/>
          <w:szCs w:val="16"/>
          <w:color w:val="auto"/>
        </w:rPr>
      </w:pPr>
    </w:p>
    <w:p>
      <w:pPr>
        <w:ind w:left="1740" w:right="979" w:firstLine="316"/>
        <w:spacing w:after="0" w:line="254" w:lineRule="auto"/>
        <w:tabs>
          <w:tab w:leader="none" w:pos="2354" w:val="left"/>
        </w:tabs>
        <w:numPr>
          <w:ilvl w:val="2"/>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Agreement Date, there is no material legal action pending against, or, to the knowledge of such Shareholder, threatened against or affecting such Shareholder that would reasonably be expected to impair the ability of such Shareholder to perform its obligations hereunder or to consummate the transactions contemplated hereby on a timely basis, or that questions the validity of this Agreement or any action taken or to be taken by such Shareholder in connection with this Agreement; and</w:t>
      </w:r>
    </w:p>
    <w:p>
      <w:pPr>
        <w:spacing w:after="0" w:line="106" w:lineRule="exact"/>
        <w:rPr>
          <w:rFonts w:ascii="Times New Roman" w:cs="Times New Roman" w:eastAsia="Times New Roman" w:hAnsi="Times New Roman"/>
          <w:sz w:val="16"/>
          <w:szCs w:val="16"/>
          <w:color w:val="auto"/>
        </w:rPr>
      </w:pPr>
    </w:p>
    <w:p>
      <w:pPr>
        <w:ind w:left="1740" w:right="1139" w:firstLine="316"/>
        <w:spacing w:after="0" w:line="259" w:lineRule="auto"/>
        <w:tabs>
          <w:tab w:leader="none" w:pos="2381" w:val="left"/>
        </w:tabs>
        <w:numPr>
          <w:ilvl w:val="2"/>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as set forth in the Merger Agreement, such Shareholder does not have any agreements, arrangements or understandings of any kind with the Company or any other Person</w:t>
      </w:r>
    </w:p>
    <w:p>
      <w:pPr>
        <w:ind w:left="1740" w:right="1059" w:hanging="2"/>
        <w:spacing w:after="0" w:line="252" w:lineRule="auto"/>
        <w:tabs>
          <w:tab w:leader="none" w:pos="1942"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Transfer or voting of the Owned Shares or the transactions contemplated hereby or (ii) that would conflict with, restrict, limit, violate or interfere with the performance of any of such Shareholder’s covenants and obligations hereunder.</w:t>
      </w:r>
    </w:p>
    <w:p>
      <w:pPr>
        <w:spacing w:after="0" w:line="106" w:lineRule="exact"/>
        <w:rPr>
          <w:rFonts w:ascii="Times New Roman" w:cs="Times New Roman" w:eastAsia="Times New Roman" w:hAnsi="Times New Roman"/>
          <w:sz w:val="16"/>
          <w:szCs w:val="16"/>
          <w:color w:val="auto"/>
        </w:rPr>
      </w:pPr>
    </w:p>
    <w:p>
      <w:pPr>
        <w:ind w:left="1420" w:right="979" w:firstLine="318"/>
        <w:spacing w:after="0" w:line="256" w:lineRule="auto"/>
        <w:tabs>
          <w:tab w:leader="none" w:pos="1991"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Except as otherwise expressly provided herein, this Agreement (including any documents and instruments referred to herein), together with the Merger Agreement and the other documents and agreements to be delivered pursuant to the provisions of the Merger Agreement, constitute the entire agreement among the parties with respect to the subject matter of this Agreement and supersede all prior arrangements or understandings with respect thereto, written or oral.</w:t>
      </w:r>
    </w:p>
    <w:p>
      <w:pPr>
        <w:spacing w:after="0" w:line="90" w:lineRule="exact"/>
        <w:rPr>
          <w:rFonts w:ascii="Times New Roman" w:cs="Times New Roman" w:eastAsia="Times New Roman" w:hAnsi="Times New Roman"/>
          <w:sz w:val="16"/>
          <w:szCs w:val="16"/>
          <w:color w:val="auto"/>
        </w:rPr>
      </w:pPr>
    </w:p>
    <w:p>
      <w:pPr>
        <w:ind w:left="1420" w:right="1239" w:firstLine="318"/>
        <w:spacing w:after="0" w:line="263" w:lineRule="auto"/>
        <w:tabs>
          <w:tab w:leader="none" w:pos="1991"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Third Party Beneficiaries</w:t>
      </w:r>
      <w:r>
        <w:rPr>
          <w:rFonts w:ascii="Times New Roman" w:cs="Times New Roman" w:eastAsia="Times New Roman" w:hAnsi="Times New Roman"/>
          <w:sz w:val="16"/>
          <w:szCs w:val="16"/>
          <w:color w:val="auto"/>
        </w:rPr>
        <w:t>. Nothing in this Agreement expressed or implied is intended to confer upon any Person, other than the parties hereto or their respective successors, any rights, remedies, obligations or liabilities under or by reason of this Agreement.</w:t>
      </w:r>
    </w:p>
    <w:p>
      <w:pPr>
        <w:spacing w:after="0" w:line="97" w:lineRule="exact"/>
        <w:rPr>
          <w:rFonts w:ascii="Times New Roman" w:cs="Times New Roman" w:eastAsia="Times New Roman" w:hAnsi="Times New Roman"/>
          <w:sz w:val="16"/>
          <w:szCs w:val="16"/>
          <w:color w:val="auto"/>
        </w:rPr>
      </w:pPr>
    </w:p>
    <w:p>
      <w:pPr>
        <w:ind w:left="1420" w:right="939" w:firstLine="318"/>
        <w:spacing w:after="0" w:line="254" w:lineRule="auto"/>
        <w:tabs>
          <w:tab w:leader="none" w:pos="2074"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Except as expressly contemplated hereby, neither this Agreement nor any of the rights, interests or obligations hereunder shall be assigned by any party hereto (whether by operation of Law, including by merger or consolidation, or otherwise) without the prior written consent of the other parties. Subject to the preceding sentence, this Agreement will be binding upon, inure to the benefit of and be enforceable by the parties and their respective successors and assigns. Any purported direct or indirect assignment in violation of this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shall be null and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06" w:lineRule="exact"/>
        <w:rPr>
          <w:rFonts w:ascii="Times New Roman" w:cs="Times New Roman" w:eastAsia="Times New Roman" w:hAnsi="Times New Roman"/>
          <w:sz w:val="16"/>
          <w:szCs w:val="16"/>
          <w:color w:val="auto"/>
        </w:rPr>
      </w:pPr>
    </w:p>
    <w:p>
      <w:pPr>
        <w:ind w:left="1420" w:right="939" w:firstLine="318"/>
        <w:spacing w:after="0" w:line="252" w:lineRule="auto"/>
        <w:tabs>
          <w:tab w:leader="none" w:pos="2068"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Injunctive Relief; Specific Performance</w:t>
      </w:r>
      <w:r>
        <w:rPr>
          <w:rFonts w:ascii="Times New Roman" w:cs="Times New Roman" w:eastAsia="Times New Roman" w:hAnsi="Times New Roman"/>
          <w:sz w:val="16"/>
          <w:szCs w:val="16"/>
          <w:color w:val="auto"/>
        </w:rPr>
        <w:t>. The parties acknowledge and agree that irreparable damage would occur in the event that any of the provisions of this Agreement were not performed in accordance with their specific terms or were otherwise breached, and that monetary damages, even if available, would not be an adequate remedy therefor. Accordingly, the parties hereto agree that the parties shall be entitled to an injunction or injunctions to prevent breaches of this Agreement and to enforce specific performance of the terms and provisions hereof in any federal or state court located in the State of Georgia (the “</w:t>
      </w:r>
      <w:r>
        <w:rPr>
          <w:rFonts w:ascii="Times New Roman" w:cs="Times New Roman" w:eastAsia="Times New Roman" w:hAnsi="Times New Roman"/>
          <w:sz w:val="16"/>
          <w:szCs w:val="16"/>
          <w:b w:val="1"/>
          <w:bCs w:val="1"/>
          <w:i w:val="1"/>
          <w:iCs w:val="1"/>
          <w:color w:val="auto"/>
        </w:rPr>
        <w:t>Chosen Courts</w:t>
      </w:r>
      <w:r>
        <w:rPr>
          <w:rFonts w:ascii="Times New Roman" w:cs="Times New Roman" w:eastAsia="Times New Roman" w:hAnsi="Times New Roman"/>
          <w:sz w:val="16"/>
          <w:szCs w:val="16"/>
          <w:color w:val="auto"/>
        </w:rPr>
        <w:t>”), this being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3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5" w:right="1440" w:bottom="1440" w:gutter="0" w:footer="0" w:header="0"/>
        </w:sectPr>
      </w:pPr>
    </w:p>
    <w:bookmarkStart w:id="179" w:name="page180"/>
    <w:bookmarkEnd w:id="17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39" w:firstLine="318"/>
        <w:spacing w:after="0" w:line="242" w:lineRule="auto"/>
        <w:tabs>
          <w:tab w:leader="none" w:pos="2074"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Jurisdiction</w:t>
      </w:r>
      <w:r>
        <w:rPr>
          <w:rFonts w:ascii="Times New Roman" w:cs="Times New Roman" w:eastAsia="Times New Roman" w:hAnsi="Times New Roman"/>
          <w:sz w:val="16"/>
          <w:szCs w:val="16"/>
          <w:color w:val="auto"/>
        </w:rPr>
        <w:t>. Regardless of any conflict of law or choice of law principles that might otherwise apply, the parties agree that this Agreement shall be governed by and construed in all respects in accordance with the Laws of the State of Georgia. Each party agrees that it will bring any action or proceeding in respect of any claim arising out of or related to this Agreement or the transactions contemplated hereby exclusively in the Chosen Courts, and, solely in connection with claims arising under this Agreement or the transactions that are the subject of this Agreement,</w:t>
      </w:r>
    </w:p>
    <w:p>
      <w:pPr>
        <w:ind w:left="1640" w:hanging="220"/>
        <w:spacing w:after="0"/>
        <w:tabs>
          <w:tab w:leader="none" w:pos="164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irrevocably submits to the exclusive jurisdiction of the Chosen Courts, (b) waives any objection to</w:t>
      </w:r>
    </w:p>
    <w:p>
      <w:pPr>
        <w:spacing w:after="0" w:line="6" w:lineRule="exact"/>
        <w:rPr>
          <w:sz w:val="20"/>
          <w:szCs w:val="20"/>
          <w:color w:val="auto"/>
        </w:rPr>
      </w:pPr>
    </w:p>
    <w:p>
      <w:pPr>
        <w:ind w:left="1420" w:right="919"/>
        <w:spacing w:after="0" w:line="238" w:lineRule="auto"/>
        <w:rPr>
          <w:sz w:val="20"/>
          <w:szCs w:val="20"/>
          <w:color w:val="auto"/>
        </w:rPr>
      </w:pPr>
      <w:r>
        <w:rPr>
          <w:rFonts w:ascii="Times New Roman" w:cs="Times New Roman" w:eastAsia="Times New Roman" w:hAnsi="Times New Roman"/>
          <w:sz w:val="16"/>
          <w:szCs w:val="16"/>
          <w:color w:val="auto"/>
        </w:rPr>
        <w:t xml:space="preserve">laying venue in any such action or proceeding in the Chosen Courts, (c) waives any objection that the Chosen Courts are an inconvenient forum or do not have jurisdiction over any party, and (d) agrees that service of process upon such party in any such action or proceeding will be effective if notice is given in accordance with Section 9.8 of the Merger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such service of process is to be made upon a Shareholder, such notice shall be delivered to the address set forth next to such Shareholder’s name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w:t>
      </w:r>
    </w:p>
    <w:p>
      <w:pPr>
        <w:spacing w:after="0" w:line="103" w:lineRule="exact"/>
        <w:rPr>
          <w:sz w:val="20"/>
          <w:szCs w:val="20"/>
          <w:color w:val="auto"/>
        </w:rPr>
      </w:pPr>
    </w:p>
    <w:p>
      <w:pPr>
        <w:ind w:left="1420" w:right="939" w:firstLine="318"/>
        <w:spacing w:after="0"/>
        <w:tabs>
          <w:tab w:leader="none" w:pos="2074"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xml:space="preserve">.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w:t>
      </w:r>
    </w:p>
    <w:p>
      <w:pPr>
        <w:spacing w:after="0" w:line="111" w:lineRule="exact"/>
        <w:rPr>
          <w:rFonts w:ascii="Times New Roman" w:cs="Times New Roman" w:eastAsia="Times New Roman" w:hAnsi="Times New Roman"/>
          <w:sz w:val="16"/>
          <w:szCs w:val="16"/>
          <w:color w:val="auto"/>
        </w:rPr>
      </w:pPr>
    </w:p>
    <w:p>
      <w:pPr>
        <w:ind w:left="1420" w:right="979" w:firstLine="318"/>
        <w:spacing w:after="0" w:line="242" w:lineRule="auto"/>
        <w:tabs>
          <w:tab w:leader="none" w:pos="2074"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Individual Obligations</w:t>
      </w:r>
      <w:r>
        <w:rPr>
          <w:rFonts w:ascii="Times New Roman" w:cs="Times New Roman" w:eastAsia="Times New Roman" w:hAnsi="Times New Roman"/>
          <w:sz w:val="16"/>
          <w:szCs w:val="16"/>
          <w:color w:val="auto"/>
        </w:rPr>
        <w:t>. This Agreement is binding on each Shareholder that executes this Agreement regardless of whether any other Shareholder(s) also executed this Agreement. The obligations of each Shareholder under this Agreement are several and not joint, and all references to actions to be taken by the Shareholders, or representations and warranties to be made by the Shareholders, under this Agreement refer to actions to be taken or representations and warranties to be made by the Shareholders acting severally and not jointly.</w:t>
      </w:r>
    </w:p>
    <w:p>
      <w:pPr>
        <w:spacing w:after="0" w:line="101" w:lineRule="exact"/>
        <w:rPr>
          <w:rFonts w:ascii="Times New Roman" w:cs="Times New Roman" w:eastAsia="Times New Roman" w:hAnsi="Times New Roman"/>
          <w:sz w:val="16"/>
          <w:szCs w:val="16"/>
          <w:color w:val="auto"/>
        </w:rPr>
      </w:pPr>
    </w:p>
    <w:p>
      <w:pPr>
        <w:ind w:left="1420" w:right="899" w:firstLine="318"/>
        <w:spacing w:after="0" w:line="245" w:lineRule="auto"/>
        <w:tabs>
          <w:tab w:leader="none" w:pos="2074"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Waivers</w:t>
      </w:r>
      <w:r>
        <w:rPr>
          <w:rFonts w:ascii="Times New Roman" w:cs="Times New Roman" w:eastAsia="Times New Roman" w:hAnsi="Times New Roman"/>
          <w:sz w:val="16"/>
          <w:szCs w:val="16"/>
          <w:color w:val="auto"/>
        </w:rPr>
        <w:t>. Any provision of this Agreement may be amended or waived if, and only if, such amendment or waiver is in writing and signed (a) in the case of an amendment, by Parent and the applicable Shareholder(s), and (b)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00" w:lineRule="exact"/>
        <w:rPr>
          <w:rFonts w:ascii="Times New Roman" w:cs="Times New Roman" w:eastAsia="Times New Roman" w:hAnsi="Times New Roman"/>
          <w:sz w:val="16"/>
          <w:szCs w:val="16"/>
          <w:color w:val="auto"/>
        </w:rPr>
      </w:pPr>
    </w:p>
    <w:p>
      <w:pPr>
        <w:ind w:left="1420" w:right="959" w:firstLine="318"/>
        <w:spacing w:after="0" w:line="241" w:lineRule="auto"/>
        <w:tabs>
          <w:tab w:leader="none" w:pos="2074"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Any singular term in this Agreement shall be deemed to include the plural, and any plural term the singular. Whenever the words “include,” “includes” or “including” are used in this Agreement, they shall be deemed followed by the words “without limitation,” and such terms shall not be limited by enumeration or example, unless otherwise expressly specified. Unless the context of this Agreement otherwise requires, any reference in this Agreement to a Law shall refer to any such Law as amended, modified, codified or reenacted, in whole or in part, and in effect from time to time, including all rules and regulations promulgated thereunder. Any reference in this Agreement to “$” shall mean U.S. dollars.</w:t>
      </w:r>
    </w:p>
    <w:p>
      <w:pPr>
        <w:spacing w:after="0" w:line="106" w:lineRule="exact"/>
        <w:rPr>
          <w:rFonts w:ascii="Times New Roman" w:cs="Times New Roman" w:eastAsia="Times New Roman" w:hAnsi="Times New Roman"/>
          <w:sz w:val="16"/>
          <w:szCs w:val="16"/>
          <w:color w:val="auto"/>
        </w:rPr>
      </w:pPr>
    </w:p>
    <w:p>
      <w:pPr>
        <w:ind w:left="1420" w:right="919" w:firstLine="318"/>
        <w:spacing w:after="0" w:line="248" w:lineRule="auto"/>
        <w:tabs>
          <w:tab w:leader="none" w:pos="2074"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Capacity as Shareholder</w:t>
      </w:r>
      <w:r>
        <w:rPr>
          <w:rFonts w:ascii="Times New Roman" w:cs="Times New Roman" w:eastAsia="Times New Roman" w:hAnsi="Times New Roman"/>
          <w:sz w:val="16"/>
          <w:szCs w:val="16"/>
          <w:color w:val="auto"/>
        </w:rPr>
        <w:t>. This Agreement shall apply to each Shareholder solely in such Shareholder’s capacity as a shareholder of the Company and shall not apply in any manner to any Shareholder or the trustee of any Shareholder in any capacity as a director or officer of the Company or the Company Subsidiaries or in any other capacity (including, for the avoidance of doubt, any</w:t>
      </w:r>
    </w:p>
    <w:p>
      <w:pPr>
        <w:spacing w:after="0" w:line="3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5" w:right="1440" w:bottom="1440" w:gutter="0" w:footer="0" w:header="0"/>
        </w:sectPr>
      </w:pPr>
    </w:p>
    <w:bookmarkStart w:id="180" w:name="page181"/>
    <w:bookmarkEnd w:id="18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79"/>
        <w:spacing w:after="0" w:line="252" w:lineRule="auto"/>
        <w:rPr>
          <w:sz w:val="20"/>
          <w:szCs w:val="20"/>
          <w:color w:val="auto"/>
        </w:rPr>
      </w:pPr>
      <w:r>
        <w:rPr>
          <w:rFonts w:ascii="Times New Roman" w:cs="Times New Roman" w:eastAsia="Times New Roman" w:hAnsi="Times New Roman"/>
          <w:sz w:val="16"/>
          <w:szCs w:val="16"/>
          <w:color w:val="auto"/>
        </w:rPr>
        <w:t>obligations owed by such Shareholder in his, her or its capacity as a director or officer). Nothing contained in this Agreement shall be deemed to apply to, conflict with or limit in any manner the obligations of any Shareholder, or the trustee of any Shareholder in such Shareholder’s capacity as a director or officer of the Company or any Company Subsidiary, to comply with his, her or its fiduciary duties as a director or officer of the Company or any Company Subsidiary, if applicable. Accordingly, no action taken (or omitted to be taken) by any Shareholder, or the trustee of any Shareholder, in such individual’s or entity’s capacity as a director or officer of the Company or any Company Subsidiary shall be deemed to constitute a breach of this Agreement, and this Agreement shall not limit or affect any such actions.</w:t>
      </w:r>
    </w:p>
    <w:p>
      <w:pPr>
        <w:spacing w:after="0" w:line="301" w:lineRule="exact"/>
        <w:rPr>
          <w:sz w:val="20"/>
          <w:szCs w:val="20"/>
          <w:color w:val="auto"/>
        </w:rPr>
      </w:pPr>
    </w:p>
    <w:p>
      <w:pPr>
        <w:ind w:left="1420" w:right="919" w:firstLine="318"/>
        <w:spacing w:after="0" w:line="254" w:lineRule="auto"/>
        <w:tabs>
          <w:tab w:leader="none" w:pos="2074"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Prevailing Party</w:t>
      </w:r>
      <w:r>
        <w:rPr>
          <w:rFonts w:ascii="Times New Roman" w:cs="Times New Roman" w:eastAsia="Times New Roman" w:hAnsi="Times New Roman"/>
          <w:sz w:val="16"/>
          <w:szCs w:val="16"/>
          <w:color w:val="auto"/>
        </w:rPr>
        <w:t>. In any action between or among any of the parties hereto brought pursuant to the terms of this Agreement and seeking enforcement of any of the terms and provisions of this Agreement, the prevailing party(ies) in such action shall be awarded, in addition to damages, injunctive or other relief as determined by the Chosen Court, its reasonable and documented costs and expenses incurred in connection with such action, including reasonable attorneys’ fees and expenses as determined by the Chosen Court.</w:t>
      </w:r>
    </w:p>
    <w:p>
      <w:pPr>
        <w:spacing w:after="0" w:line="106" w:lineRule="exact"/>
        <w:rPr>
          <w:rFonts w:ascii="Times New Roman" w:cs="Times New Roman" w:eastAsia="Times New Roman" w:hAnsi="Times New Roman"/>
          <w:sz w:val="16"/>
          <w:szCs w:val="16"/>
          <w:color w:val="auto"/>
        </w:rPr>
      </w:pPr>
    </w:p>
    <w:p>
      <w:pPr>
        <w:ind w:left="1420" w:right="939" w:firstLine="318"/>
        <w:spacing w:after="0" w:line="263" w:lineRule="auto"/>
        <w:tabs>
          <w:tab w:leader="none" w:pos="2074"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appearing in this Agreement have been inserted for purposes of convenience of reference only and shall not affect the meaning of, or be given any force or effect in the construction or interpretation of, this Agreement.</w:t>
      </w:r>
    </w:p>
    <w:p>
      <w:pPr>
        <w:spacing w:after="0" w:line="86" w:lineRule="exact"/>
        <w:rPr>
          <w:rFonts w:ascii="Times New Roman" w:cs="Times New Roman" w:eastAsia="Times New Roman" w:hAnsi="Times New Roman"/>
          <w:sz w:val="16"/>
          <w:szCs w:val="16"/>
          <w:color w:val="auto"/>
        </w:rPr>
      </w:pPr>
    </w:p>
    <w:p>
      <w:pPr>
        <w:ind w:left="1420" w:right="919" w:firstLine="318"/>
        <w:spacing w:after="0" w:line="253" w:lineRule="auto"/>
        <w:tabs>
          <w:tab w:leader="none" w:pos="2074"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counterparts, each of which shall be deemed to constitute an original, but all of which together shall constitute one and the same instrument. This Agreement and any other agreement or instrument entered into in connection with this Agreement, as well as any amendments, modifications, supplements or waivers hereto or thereto or hereunder or thereunder, if signed and delivered by means of a facsimile machine or by email delivery of a “.pdf” format data file, shall be treated for all purposes as an original agreement or instrument and shall be considered to have the same binding legal force and effect as if it were the original signed version thereof delivered in person.</w:t>
      </w:r>
    </w:p>
    <w:p>
      <w:pPr>
        <w:spacing w:after="0" w:line="29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Signatures on following page(s)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81" w:name="page182"/>
    <w:bookmarkEnd w:id="18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right="1019" w:firstLine="318"/>
        <w:spacing w:after="0" w:line="281"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have executed this Voting and Support Agreement as of the day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year first above written.</w:t>
      </w:r>
    </w:p>
    <w:p>
      <w:pPr>
        <w:spacing w:after="0" w:line="1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14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37465</wp:posOffset>
            </wp:positionV>
            <wp:extent cx="217868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5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H. Lynn Harton</w:t>
      </w:r>
    </w:p>
    <w:p>
      <w:pPr>
        <w:spacing w:after="0" w:line="24"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Chairman, Chief Executive Officer, and</w:t>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and Support Agreement</w:t>
      </w:r>
      <w:r>
        <w:rPr>
          <w:rFonts w:ascii="Times New Roman" w:cs="Times New Roman" w:eastAsia="Times New Roman" w:hAnsi="Times New Roman"/>
          <w:sz w:val="16"/>
          <w:szCs w:val="16"/>
          <w:color w:val="auto"/>
        </w:rPr>
        <w:t>]</w:t>
      </w:r>
    </w:p>
    <w:p>
      <w:pPr>
        <w:spacing w:after="0" w:line="35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5" w:right="1440" w:bottom="1440" w:gutter="0" w:footer="0" w:header="0"/>
        </w:sectPr>
      </w:pPr>
    </w:p>
    <w:bookmarkStart w:id="182" w:name="page183"/>
    <w:bookmarkEnd w:id="18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Charles W. Blair,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45085</wp:posOffset>
            </wp:positionV>
            <wp:extent cx="2178685"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Charles W. Blair, Jr.</w:t>
      </w:r>
    </w:p>
    <w:p>
      <w:pPr>
        <w:spacing w:after="0" w:line="24"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Executive Vice President and Chief</w:t>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Financial Officer</w:t>
      </w:r>
    </w:p>
    <w:p>
      <w:pPr>
        <w:spacing w:after="0" w:line="1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C. Andrew Fuller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45085</wp:posOffset>
            </wp:positionV>
            <wp:extent cx="2178685"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C. Andrew Fuller</w:t>
      </w:r>
    </w:p>
    <w:p>
      <w:pPr>
        <w:spacing w:after="0" w:line="24"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5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Clifton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37465</wp:posOffset>
            </wp:positionV>
            <wp:extent cx="2178685"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Clifton Hastings</w:t>
      </w:r>
    </w:p>
    <w:p>
      <w:pPr>
        <w:spacing w:after="0" w:line="24"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Joe M.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37465</wp:posOffset>
            </wp:positionV>
            <wp:extent cx="2178685"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Joe M. Hatfield</w:t>
      </w:r>
    </w:p>
    <w:p>
      <w:pPr>
        <w:spacing w:after="0" w:line="24"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Wesley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45085</wp:posOffset>
            </wp:positionV>
            <wp:extent cx="2178685"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Wesley E. Martin</w:t>
      </w:r>
    </w:p>
    <w:p>
      <w:pPr>
        <w:spacing w:after="0" w:line="24"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5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Steve McKibbon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37465</wp:posOffset>
            </wp:positionV>
            <wp:extent cx="2178685"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Steve McKibbon</w:t>
      </w:r>
    </w:p>
    <w:p>
      <w:pPr>
        <w:spacing w:after="0" w:line="24"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Nancy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45085</wp:posOffset>
            </wp:positionV>
            <wp:extent cx="2178685"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Nancy Norton</w:t>
      </w:r>
    </w:p>
    <w:p>
      <w:pPr>
        <w:spacing w:after="0" w:line="24"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Ricky Presley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45085</wp:posOffset>
            </wp:positionV>
            <wp:extent cx="2178685"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Ricky Presley</w:t>
      </w:r>
    </w:p>
    <w:p>
      <w:pPr>
        <w:spacing w:after="0" w:line="24"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5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Ronald G.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37465</wp:posOffset>
            </wp:positionV>
            <wp:extent cx="2178685"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Ron G. Quinn</w:t>
      </w:r>
    </w:p>
    <w:p>
      <w:pPr>
        <w:spacing w:after="0" w:line="24" w:lineRule="exact"/>
        <w:rPr>
          <w:sz w:val="20"/>
          <w:szCs w:val="20"/>
          <w:color w:val="auto"/>
        </w:rPr>
      </w:pPr>
    </w:p>
    <w:p>
      <w:pPr>
        <w:ind w:left="3040" w:right="1279" w:firstLine="1884"/>
        <w:spacing w:after="0" w:line="412" w:lineRule="auto"/>
        <w:rPr>
          <w:sz w:val="20"/>
          <w:szCs w:val="20"/>
          <w:color w:val="auto"/>
        </w:rPr>
      </w:pPr>
      <w:r>
        <w:rPr>
          <w:rFonts w:ascii="Times New Roman" w:cs="Times New Roman" w:eastAsia="Times New Roman" w:hAnsi="Times New Roman"/>
          <w:sz w:val="16"/>
          <w:szCs w:val="16"/>
          <w:color w:val="auto"/>
        </w:rPr>
        <w:t>Title: President and Chief Executive Officer [</w:t>
      </w:r>
      <w:r>
        <w:rPr>
          <w:rFonts w:ascii="Times New Roman" w:cs="Times New Roman" w:eastAsia="Times New Roman" w:hAnsi="Times New Roman"/>
          <w:sz w:val="16"/>
          <w:szCs w:val="16"/>
          <w:i w:val="1"/>
          <w:iCs w:val="1"/>
          <w:color w:val="auto"/>
        </w:rPr>
        <w:t>Signature Page to Voting and Support Agreement</w:t>
      </w:r>
      <w:r>
        <w:rPr>
          <w:rFonts w:ascii="Times New Roman" w:cs="Times New Roman" w:eastAsia="Times New Roman" w:hAnsi="Times New Roman"/>
          <w:sz w:val="16"/>
          <w:szCs w:val="16"/>
          <w:color w:val="auto"/>
        </w:rPr>
        <w:t>]</w:t>
      </w:r>
    </w:p>
    <w:p>
      <w:pPr>
        <w:spacing w:after="0" w:line="20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5" w:right="1440" w:bottom="1440" w:gutter="0" w:footer="0" w:header="0"/>
        </w:sectPr>
      </w:pPr>
    </w:p>
    <w:bookmarkStart w:id="183" w:name="page184"/>
    <w:bookmarkEnd w:id="18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Stewart Teaver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45085</wp:posOffset>
            </wp:positionV>
            <wp:extent cx="217868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Stewart Teaver</w:t>
      </w:r>
    </w:p>
    <w:p>
      <w:pPr>
        <w:spacing w:after="0" w:line="24"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Tracy Vardeman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45085</wp:posOffset>
            </wp:positionV>
            <wp:extent cx="2178685"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Tracy Vardeman</w:t>
      </w:r>
    </w:p>
    <w:p>
      <w:pPr>
        <w:spacing w:after="0" w:line="24"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Gina Rider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37465</wp:posOffset>
            </wp:positionV>
            <wp:extent cx="2178685"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Gina Rider</w:t>
      </w:r>
    </w:p>
    <w:p>
      <w:pPr>
        <w:spacing w:after="0" w:line="24"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Executive Vice President</w:t>
      </w:r>
    </w:p>
    <w:p>
      <w:pPr>
        <w:spacing w:after="0" w:line="1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Terry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37465</wp:posOffset>
            </wp:positionV>
            <wp:extent cx="2178685"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Terry Baker</w:t>
      </w:r>
    </w:p>
    <w:p>
      <w:pPr>
        <w:spacing w:after="0" w:line="13" w:lineRule="exact"/>
        <w:rPr>
          <w:sz w:val="20"/>
          <w:szCs w:val="20"/>
          <w:color w:val="auto"/>
        </w:rPr>
      </w:pPr>
    </w:p>
    <w:p>
      <w:pPr>
        <w:ind w:left="4920"/>
        <w:spacing w:after="0"/>
        <w:tabs>
          <w:tab w:leader="none" w:pos="5400" w:val="left"/>
        </w:tabs>
        <w:rPr>
          <w:sz w:val="20"/>
          <w:szCs w:val="20"/>
          <w:color w:val="auto"/>
        </w:rPr>
      </w:pPr>
      <w:r>
        <w:rPr>
          <w:rFonts w:ascii="Times New Roman" w:cs="Times New Roman" w:eastAsia="Times New Roman" w:hAnsi="Times New Roman"/>
          <w:sz w:val="16"/>
          <w:szCs w:val="16"/>
          <w:color w:val="auto"/>
        </w:rPr>
        <w:t>Title:</w:t>
        <w:tab/>
        <w:t>Executive Vice President</w:t>
      </w:r>
    </w:p>
    <w:p>
      <w:pPr>
        <w:spacing w:after="0" w:line="15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u w:val="single" w:color="auto"/>
          <w:color w:val="auto"/>
        </w:rPr>
        <w:t>SHAREHOLDER</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Andy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37465</wp:posOffset>
            </wp:positionV>
            <wp:extent cx="2178685"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5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Name: Andy Stewart</w:t>
      </w:r>
    </w:p>
    <w:p>
      <w:pPr>
        <w:spacing w:after="0" w:line="24" w:lineRule="exact"/>
        <w:rPr>
          <w:sz w:val="20"/>
          <w:szCs w:val="20"/>
          <w:color w:val="auto"/>
        </w:rPr>
      </w:pPr>
    </w:p>
    <w:p>
      <w:pPr>
        <w:jc w:val="right"/>
        <w:ind w:right="2139"/>
        <w:spacing w:after="0"/>
        <w:tabs>
          <w:tab w:leader="none" w:pos="1660" w:val="left"/>
        </w:tabs>
        <w:rPr>
          <w:sz w:val="20"/>
          <w:szCs w:val="20"/>
          <w:color w:val="auto"/>
        </w:rPr>
      </w:pPr>
      <w:r>
        <w:rPr>
          <w:rFonts w:ascii="Times New Roman" w:cs="Times New Roman" w:eastAsia="Times New Roman" w:hAnsi="Times New Roman"/>
          <w:sz w:val="16"/>
          <w:szCs w:val="16"/>
          <w:color w:val="auto"/>
        </w:rPr>
        <w:t>Title:</w:t>
        <w:tab/>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and Support Agreement</w:t>
      </w:r>
      <w:r>
        <w:rPr>
          <w:rFonts w:ascii="Times New Roman" w:cs="Times New Roman" w:eastAsia="Times New Roman" w:hAnsi="Times New Roman"/>
          <w:sz w:val="16"/>
          <w:szCs w:val="16"/>
          <w:color w:val="auto"/>
        </w:rPr>
        <w:t>]</w:t>
      </w:r>
    </w:p>
    <w:p>
      <w:pPr>
        <w:spacing w:after="0" w:line="3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84" w:name="page185"/>
    <w:bookmarkEnd w:id="18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1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Shareholders</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87"/>
              </w:rPr>
              <w:t>Illustrative</w:t>
            </w:r>
          </w:p>
        </w:tc>
        <w:tc>
          <w:tcPr>
            <w:tcW w:w="60" w:type="dxa"/>
            <w:vAlign w:val="bottom"/>
          </w:tcPr>
          <w:p>
            <w:pPr>
              <w:spacing w:after="0"/>
              <w:rPr>
                <w:sz w:val="12"/>
                <w:szCs w:val="12"/>
                <w:color w:val="auto"/>
              </w:rPr>
            </w:pPr>
          </w:p>
        </w:tc>
      </w:tr>
      <w:tr>
        <w:trPr>
          <w:trHeight w:val="132"/>
        </w:trPr>
        <w:tc>
          <w:tcPr>
            <w:tcW w:w="4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ind w:left="220"/>
              <w:spacing w:after="0" w:line="132" w:lineRule="exact"/>
              <w:rPr>
                <w:sz w:val="20"/>
                <w:szCs w:val="20"/>
                <w:color w:val="auto"/>
              </w:rPr>
            </w:pPr>
            <w:r>
              <w:rPr>
                <w:rFonts w:ascii="Times New Roman" w:cs="Times New Roman" w:eastAsia="Times New Roman" w:hAnsi="Times New Roman"/>
                <w:sz w:val="13"/>
                <w:szCs w:val="13"/>
                <w:b w:val="1"/>
                <w:bCs w:val="1"/>
                <w:color w:val="auto"/>
              </w:rPr>
              <w:t>Address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b w:val="1"/>
                <w:bCs w:val="1"/>
                <w:color w:val="auto"/>
                <w:w w:val="90"/>
              </w:rPr>
              <w:t>Owned</w:t>
            </w:r>
          </w:p>
        </w:tc>
        <w:tc>
          <w:tcPr>
            <w:tcW w:w="80" w:type="dxa"/>
            <w:vAlign w:val="bottom"/>
          </w:tcPr>
          <w:p>
            <w:pPr>
              <w:spacing w:after="0"/>
              <w:rPr>
                <w:sz w:val="11"/>
                <w:szCs w:val="11"/>
                <w:color w:val="auto"/>
              </w:rPr>
            </w:pPr>
          </w:p>
        </w:tc>
        <w:tc>
          <w:tcPr>
            <w:tcW w:w="5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b w:val="1"/>
                <w:bCs w:val="1"/>
                <w:color w:val="auto"/>
                <w:w w:val="97"/>
              </w:rPr>
              <w:t>Released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0"/>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380" w:type="dxa"/>
            <w:vAlign w:val="bottom"/>
            <w:gridSpan w:val="4"/>
          </w:tcPr>
          <w:p>
            <w:pPr>
              <w:ind w:left="4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(Including Email) </w:t>
            </w:r>
            <w:r>
              <w:rPr>
                <w:rFonts w:ascii="Times New Roman" w:cs="Times New Roman" w:eastAsia="Times New Roman" w:hAnsi="Times New Roman"/>
                <w:sz w:val="23"/>
                <w:szCs w:val="23"/>
                <w:b w:val="1"/>
                <w:bCs w:val="1"/>
                <w:color w:val="auto"/>
                <w:vertAlign w:val="subscript"/>
              </w:rPr>
              <w:t>​ ​</w:t>
            </w:r>
          </w:p>
        </w:tc>
        <w:tc>
          <w:tcPr>
            <w:tcW w:w="58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2"/>
                <w:szCs w:val="12"/>
                <w:b w:val="1"/>
                <w:bCs w:val="1"/>
                <w:color w:val="auto"/>
              </w:rPr>
              <w:t xml:space="preserve">Shares  </w:t>
            </w:r>
            <w:r>
              <w:rPr>
                <w:rFonts w:ascii="Times New Roman" w:cs="Times New Roman" w:eastAsia="Times New Roman" w:hAnsi="Times New Roman"/>
                <w:sz w:val="23"/>
                <w:szCs w:val="23"/>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5"/>
                <w:szCs w:val="15"/>
                <w:b w:val="1"/>
                <w:bCs w:val="1"/>
                <w:color w:val="auto"/>
                <w:vertAlign w:val="superscript"/>
              </w:rPr>
              <w:t>15</w:t>
            </w:r>
          </w:p>
        </w:tc>
        <w:tc>
          <w:tcPr>
            <w:tcW w:w="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4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1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 Andrew Fuller</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58,182​​</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8,363</w:t>
            </w: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Clifton Hastings</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73,300​​</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10,536</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Joe M. Hatfield</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116,182​​</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16,700</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Wesley E. Martin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124,432​​</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17,886 ​</w:t>
            </w:r>
          </w:p>
        </w:tc>
      </w:tr>
      <w:tr>
        <w:trPr>
          <w:trHeight w:val="22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Steve McKibbon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313,456​​</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45,058 ​</w:t>
            </w:r>
          </w:p>
        </w:tc>
      </w:tr>
      <w:tr>
        <w:trPr>
          <w:trHeight w:val="22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Ron G. Quinn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37,681​​</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5,416</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Stewart Teaver</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425,115​​</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61,109</w:t>
            </w:r>
          </w:p>
        </w:tc>
        <w:tc>
          <w:tcPr>
            <w:tcW w:w="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Ricky Presley</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33,000​​</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4,743</w:t>
            </w:r>
          </w:p>
        </w:tc>
        <w:tc>
          <w:tcPr>
            <w:tcW w:w="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Nancy Norton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6,200​​</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Tracy Vardeman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3,200​​</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Charles W. Blair, Jr.</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11,000​​</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1,581</w:t>
            </w:r>
          </w:p>
        </w:tc>
        <w:tc>
          <w:tcPr>
            <w:tcW w:w="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Terry Baker</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19,548​​</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2,809</w:t>
            </w:r>
          </w:p>
        </w:tc>
        <w:tc>
          <w:tcPr>
            <w:tcW w:w="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Gina Rider</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1,100​​</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2"/>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Andy Stewart</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redacted</w:t>
            </w:r>
            <w:r>
              <w:rPr>
                <w:rFonts w:ascii="Times New Roman" w:cs="Times New Roman" w:eastAsia="Times New Roman" w:hAnsi="Times New Roman"/>
                <w:sz w:val="16"/>
                <w:szCs w:val="16"/>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4,100​​</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-1800225</wp:posOffset>
            </wp:positionV>
            <wp:extent cx="4599305" cy="1435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-1512570</wp:posOffset>
            </wp:positionV>
            <wp:extent cx="4599305" cy="1435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4599305" cy="14351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-1224915</wp:posOffset>
            </wp:positionV>
            <wp:extent cx="4599305" cy="1511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-922655</wp:posOffset>
            </wp:positionV>
            <wp:extent cx="4599305" cy="1511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-619760</wp:posOffset>
            </wp:positionV>
            <wp:extent cx="4599305" cy="1511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-317500</wp:posOffset>
            </wp:positionV>
            <wp:extent cx="4599305" cy="1511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-2094865</wp:posOffset>
            </wp:positionV>
            <wp:extent cx="4599305" cy="1511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4599305" cy="151130"/>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3138805</wp:posOffset>
            </wp:positionV>
            <wp:extent cx="108902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20" w:right="1119" w:hanging="317"/>
        <w:spacing w:after="0" w:line="225" w:lineRule="auto"/>
        <w:tabs>
          <w:tab w:leader="none" w:pos="1420" w:val="left"/>
        </w:tabs>
        <w:numPr>
          <w:ilvl w:val="0"/>
          <w:numId w:val="2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This column is for illustrative purposes only and assumes 3,000,542 shares of Common Stock issued and outstanding. The number of potential Released Shares for each Shareholder may change in the event the number of Owned Shares owned by any Shareholder and/or the total number of issued and outstanding shares of Common Stock changes following the Agreement Date.</w:t>
      </w:r>
    </w:p>
    <w:p>
      <w:pPr>
        <w:spacing w:after="0" w:line="3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85" w:name="page186"/>
    <w:bookmarkEnd w:id="18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Annex C — Opinion of Piper Sandler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86" w:name="page187"/>
    <w:bookmarkEnd w:id="18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100"/>
        <w:spacing w:after="0"/>
        <w:tabs>
          <w:tab w:leader="none" w:pos="4600" w:val="left"/>
          <w:tab w:leader="none" w:pos="83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-105410</wp:posOffset>
            </wp:positionV>
            <wp:extent cx="1656715" cy="2495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1656715" cy="24955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-105410</wp:posOffset>
            </wp:positionV>
            <wp:extent cx="1603375" cy="3930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1603375" cy="39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6"/>
          <w:szCs w:val="16"/>
          <w:color w:val="auto"/>
        </w:rPr>
        <w:t>April 20, 2026​</w:t>
      </w:r>
    </w:p>
    <w:p>
      <w:pPr>
        <w:spacing w:after="0" w:line="12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Board of Directors</w:t>
      </w:r>
    </w:p>
    <w:p>
      <w:pPr>
        <w:spacing w:after="0" w:line="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Peach State Bancshares, Inc.</w:t>
      </w:r>
    </w:p>
    <w:p>
      <w:pPr>
        <w:ind w:left="1100"/>
        <w:spacing w:after="0" w:line="233" w:lineRule="auto"/>
        <w:rPr>
          <w:sz w:val="20"/>
          <w:szCs w:val="20"/>
          <w:color w:val="auto"/>
        </w:rPr>
      </w:pPr>
      <w:r>
        <w:rPr>
          <w:rFonts w:ascii="Times New Roman" w:cs="Times New Roman" w:eastAsia="Times New Roman" w:hAnsi="Times New Roman"/>
          <w:sz w:val="16"/>
          <w:szCs w:val="16"/>
          <w:color w:val="auto"/>
        </w:rPr>
        <w:t>121 E E Butler Parkway</w:t>
      </w:r>
    </w:p>
    <w:p>
      <w:pPr>
        <w:ind w:left="1100"/>
        <w:spacing w:after="0"/>
        <w:rPr>
          <w:sz w:val="20"/>
          <w:szCs w:val="20"/>
          <w:color w:val="auto"/>
        </w:rPr>
      </w:pPr>
      <w:r>
        <w:rPr>
          <w:rFonts w:ascii="Times New Roman" w:cs="Times New Roman" w:eastAsia="Times New Roman" w:hAnsi="Times New Roman"/>
          <w:sz w:val="16"/>
          <w:szCs w:val="16"/>
          <w:color w:val="auto"/>
        </w:rPr>
        <w:t>Gainesville, GA 30501</w:t>
      </w:r>
    </w:p>
    <w:p>
      <w:pPr>
        <w:spacing w:after="0" w:line="10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38" w:lineRule="exact"/>
        <w:rPr>
          <w:sz w:val="20"/>
          <w:szCs w:val="20"/>
          <w:color w:val="auto"/>
        </w:rPr>
      </w:pPr>
    </w:p>
    <w:p>
      <w:pPr>
        <w:ind w:left="1100" w:right="899" w:firstLine="318"/>
        <w:spacing w:after="0"/>
        <w:rPr>
          <w:sz w:val="20"/>
          <w:szCs w:val="20"/>
          <w:color w:val="auto"/>
        </w:rPr>
      </w:pPr>
      <w:r>
        <w:rPr>
          <w:rFonts w:ascii="Times New Roman" w:cs="Times New Roman" w:eastAsia="Times New Roman" w:hAnsi="Times New Roman"/>
          <w:sz w:val="16"/>
          <w:szCs w:val="16"/>
          <w:color w:val="auto"/>
        </w:rPr>
        <w:t>Peach State Bancshares,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United Community Banks, Inc.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are proposing to enter into an Agreement and Plan of Merger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pursuant to which the Company will, on the terms and subject to the conditions set forth in the Agreement, merge with and into Parent with Parent as the surviving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As set forth in the Agreement, at the Effective Time, each share of Company Common Stock (except for certain shares excluded in the Agreement) shall be converted into, as provided in and subject to the limitations set forth in the Agreement, the right to receive, at the election of the holder thereof, either (i) $31.75 in cash (the “</w:t>
      </w:r>
      <w:r>
        <w:rPr>
          <w:rFonts w:ascii="Times New Roman" w:cs="Times New Roman" w:eastAsia="Times New Roman" w:hAnsi="Times New Roman"/>
          <w:sz w:val="16"/>
          <w:szCs w:val="16"/>
          <w:u w:val="single" w:color="auto"/>
          <w:color w:val="auto"/>
        </w:rPr>
        <w:t>Cash Consideration</w:t>
      </w:r>
      <w:r>
        <w:rPr>
          <w:rFonts w:ascii="Times New Roman" w:cs="Times New Roman" w:eastAsia="Times New Roman" w:hAnsi="Times New Roman"/>
          <w:sz w:val="16"/>
          <w:szCs w:val="16"/>
          <w:color w:val="auto"/>
        </w:rPr>
        <w:t>”), or (ii) 0.8978 shares of Parent Common Stock (the “</w:t>
      </w:r>
      <w:r>
        <w:rPr>
          <w:rFonts w:ascii="Times New Roman" w:cs="Times New Roman" w:eastAsia="Times New Roman" w:hAnsi="Times New Roman"/>
          <w:sz w:val="16"/>
          <w:szCs w:val="16"/>
          <w:u w:val="single" w:color="auto"/>
          <w:color w:val="auto"/>
        </w:rPr>
        <w:t>Stock Consideration</w:t>
      </w:r>
      <w:r>
        <w:rPr>
          <w:rFonts w:ascii="Times New Roman" w:cs="Times New Roman" w:eastAsia="Times New Roman" w:hAnsi="Times New Roman"/>
          <w:sz w:val="16"/>
          <w:szCs w:val="16"/>
          <w:color w:val="auto"/>
        </w:rPr>
        <w:t>”). The Agreement provides, generally, that fifty percent (50%) of the shares of Company Common Stock issued and outstanding immediately prior to Effective Date shall be converted into the Cash Consideration and the remaining shares of Company Common Stock shall be converted into the Stock Consideration. The Cash Consideration and the Stock Consideration are collectively referred to herein as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 Capitalized terms used herein without definition shall have the meanings ascribed thereto in the Agreement. You have requested our opinion as to the fairness, from a financial point of view, of the Merger Consideration to the holders of Company Common Stock.</w:t>
      </w:r>
    </w:p>
    <w:p>
      <w:pPr>
        <w:spacing w:after="0" w:line="283" w:lineRule="exact"/>
        <w:rPr>
          <w:sz w:val="20"/>
          <w:szCs w:val="20"/>
          <w:color w:val="auto"/>
        </w:rPr>
      </w:pPr>
    </w:p>
    <w:p>
      <w:pPr>
        <w:ind w:left="1100" w:right="1099" w:firstLine="318"/>
        <w:spacing w:after="0" w:line="241" w:lineRule="auto"/>
        <w:rPr>
          <w:sz w:val="20"/>
          <w:szCs w:val="20"/>
          <w:color w:val="auto"/>
        </w:rPr>
      </w:pPr>
      <w:r>
        <w:rPr>
          <w:rFonts w:ascii="Times New Roman" w:cs="Times New Roman" w:eastAsia="Times New Roman" w:hAnsi="Times New Roman"/>
          <w:sz w:val="16"/>
          <w:szCs w:val="16"/>
          <w:color w:val="auto"/>
        </w:rPr>
        <w:t>Piper Sandler &amp; Co. (“</w:t>
      </w:r>
      <w:r>
        <w:rPr>
          <w:rFonts w:ascii="Times New Roman" w:cs="Times New Roman" w:eastAsia="Times New Roman" w:hAnsi="Times New Roman"/>
          <w:sz w:val="16"/>
          <w:szCs w:val="16"/>
          <w:u w:val="single" w:color="auto"/>
          <w:color w:val="auto"/>
        </w:rPr>
        <w:t>Piper Sandler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we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our</w:t>
      </w:r>
      <w:r>
        <w:rPr>
          <w:rFonts w:ascii="Times New Roman" w:cs="Times New Roman" w:eastAsia="Times New Roman" w:hAnsi="Times New Roman"/>
          <w:sz w:val="16"/>
          <w:szCs w:val="16"/>
          <w:color w:val="auto"/>
        </w:rPr>
        <w:t>”), as part of its investment banking business, is regularly engaged in the valuation of financial institutions and their securities in connection with mergers and acquisitions and other corporate transactions. In connection with this opinion, we have reviewed and considered, among other things: (i) a draft of the Agreement, dated April 18, 2026; (ii) certain publicly available financial statements and other historical financial information of the Company and its banking subsidiary, Peach State Bank &amp; Trust, that we deemed relevant; (iii) certain publicly available financial statements and other historical financial information of Parent that we deemed relevant; (iv) preliminary financial information for Parent for the quarter ended March 31, 2026, as provided by the senior management of Parent; (v) certain internal financial projections for the Company for the years ending December 31, 2026 through December 31, 2030, as provided by the senior management of the Company;</w:t>
      </w:r>
    </w:p>
    <w:p>
      <w:pPr>
        <w:spacing w:after="0" w:line="4" w:lineRule="exact"/>
        <w:rPr>
          <w:sz w:val="20"/>
          <w:szCs w:val="20"/>
          <w:color w:val="auto"/>
        </w:rPr>
      </w:pPr>
    </w:p>
    <w:p>
      <w:pPr>
        <w:ind w:left="1100" w:right="919" w:firstLine="3"/>
        <w:spacing w:after="0"/>
        <w:tabs>
          <w:tab w:leader="none" w:pos="1385"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publicly available mean analyst estimates for Parent for the years ending December 31, 2026 and December 31, 2027, as adjusted by the senior management of Parent, as well as estimated long-term annual balance sheet and net income growth rates for the years ending December 31, 2028 through December 31, 2030 and estimated dividends per share for Parent for the years ending December 31, 2026 through December 31, 2030, as provided by the senior management of Parent and confirmed for use in Piper Sandler’s analyses by the senior management of the Company; (vii) the pro forma financial impact of the Merger on Parent based on certain assumptions relating to transaction expenses, cost savings and purchase accounting adjustments, as provided by the senior management of Parent and confirmed for use in Piper Sandler’s analyses by the senior management of the Company; (viii) the publicly reported historical price and trading activity for Parent Common Stock, including a comparison of certain stock trading information for Parent Common Stock and certain stock indices, as well as similar publicly available information for certain other companies, the securities of which are publicly traded; (ix) a comparison of certain financial and market information for the Company and Parent with similar financial institutions for which information is publicly available; (x) the financial terms of certain recent business combinations in the bank and thrift industry (on a nationwide basis), to the extent publicly available; (xi) the current market environment generally and the banking environment in particular; and (xii) such other information, financial studies, analyses and investigations and financial, economic and market criteria as we considered relevant. We also discussed with certain members</w:t>
      </w: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87" w:name="page188"/>
    <w:bookmarkEnd w:id="18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spacing w:after="0" w:line="248" w:lineRule="auto"/>
        <w:rPr>
          <w:sz w:val="20"/>
          <w:szCs w:val="20"/>
          <w:color w:val="auto"/>
        </w:rPr>
      </w:pPr>
      <w:r>
        <w:rPr>
          <w:rFonts w:ascii="Times New Roman" w:cs="Times New Roman" w:eastAsia="Times New Roman" w:hAnsi="Times New Roman"/>
          <w:sz w:val="16"/>
          <w:szCs w:val="16"/>
          <w:color w:val="auto"/>
        </w:rPr>
        <w:t>of the senior management of the Company and its representatives the business, financial condition, results of operations and prospects of the Company and held similar discussions with certain members of the senior management of Parent and its representatives regarding the business, financial condition, results of operations and prospects of Parent.</w:t>
      </w:r>
    </w:p>
    <w:p>
      <w:pPr>
        <w:spacing w:after="0" w:line="97" w:lineRule="exact"/>
        <w:rPr>
          <w:sz w:val="20"/>
          <w:szCs w:val="20"/>
          <w:color w:val="auto"/>
        </w:rPr>
      </w:pPr>
    </w:p>
    <w:p>
      <w:pPr>
        <w:ind w:left="1100" w:right="919" w:firstLine="318"/>
        <w:spacing w:after="0"/>
        <w:rPr>
          <w:sz w:val="20"/>
          <w:szCs w:val="20"/>
          <w:color w:val="auto"/>
        </w:rPr>
      </w:pPr>
      <w:r>
        <w:rPr>
          <w:rFonts w:ascii="Times New Roman" w:cs="Times New Roman" w:eastAsia="Times New Roman" w:hAnsi="Times New Roman"/>
          <w:sz w:val="16"/>
          <w:szCs w:val="16"/>
          <w:color w:val="auto"/>
        </w:rPr>
        <w:t>In performing our review, we have relied upon the accuracy and completeness of all of the financial and other information that was available to us from public sources, that was provided to us by the Company, Parent or their respective representatives, or that was otherwise reviewed by us and we have assumed such accuracy and completeness for purposes of rendering this opinion without any independent verification or investigation. We have further relied on the assurances of the respective senior managements of the Company and Parent that they are not aware of any facts or circumstances that would make any of such information inaccurate or misleading in any respect material to our analyses. We have not been asked to undertake, and have not undertaken, an independent verification of any such information and we do not assume any responsibility or liability for the accuracy or completeness thereof. We did not make an independent evaluation or perform an appraisal of the specific assets, the collateral securing assets or the liabilities (contingent or otherwise) of the Company or Parent, nor were we furnished with any such evaluations or appraisals. We render no opinion on, or evaluation of, the collectability of any assets or the future performance of any loans of the Company or Parent. We did not make an independent evaluation of the adequacy of the allowance for credit losses of the Company or Parent, or the combined entity after the Merger, and we have not reviewed any individual credit files relating to the Company or Parent. We have assumed, with your consent, that the respective allowances for credit losses for both the Company and Parent are adequate to cover such losses and will be adequate on a pro forma basis for the combined entity.</w:t>
      </w:r>
    </w:p>
    <w:p>
      <w:pPr>
        <w:spacing w:after="0" w:line="112" w:lineRule="exact"/>
        <w:rPr>
          <w:sz w:val="20"/>
          <w:szCs w:val="20"/>
          <w:color w:val="auto"/>
        </w:rPr>
      </w:pPr>
    </w:p>
    <w:p>
      <w:pPr>
        <w:jc w:val="both"/>
        <w:ind w:left="1100" w:right="979" w:firstLine="318"/>
        <w:spacing w:after="0" w:line="245" w:lineRule="auto"/>
        <w:rPr>
          <w:sz w:val="20"/>
          <w:szCs w:val="20"/>
          <w:color w:val="auto"/>
        </w:rPr>
      </w:pPr>
      <w:r>
        <w:rPr>
          <w:rFonts w:ascii="Times New Roman" w:cs="Times New Roman" w:eastAsia="Times New Roman" w:hAnsi="Times New Roman"/>
          <w:sz w:val="16"/>
          <w:szCs w:val="16"/>
          <w:color w:val="auto"/>
        </w:rPr>
        <w:t>In preparing its analyses, Piper Sandler used certain internal financial projections for the Company for the years ending December 31, 2026 through December 31, 2030, as provided by the senior management of the Company. In addition, Piper Sandler used publicly available mean analyst estimates for Parent for</w:t>
      </w:r>
    </w:p>
    <w:p>
      <w:pPr>
        <w:spacing w:after="0" w:line="1" w:lineRule="exact"/>
        <w:rPr>
          <w:sz w:val="20"/>
          <w:szCs w:val="20"/>
          <w:color w:val="auto"/>
        </w:rPr>
      </w:pPr>
    </w:p>
    <w:p>
      <w:pPr>
        <w:ind w:left="1100" w:right="939"/>
        <w:spacing w:after="0"/>
        <w:rPr>
          <w:sz w:val="20"/>
          <w:szCs w:val="20"/>
          <w:color w:val="auto"/>
        </w:rPr>
      </w:pPr>
      <w:r>
        <w:rPr>
          <w:rFonts w:ascii="Times New Roman" w:cs="Times New Roman" w:eastAsia="Times New Roman" w:hAnsi="Times New Roman"/>
          <w:sz w:val="16"/>
          <w:szCs w:val="16"/>
          <w:color w:val="auto"/>
        </w:rPr>
        <w:t>the years ending December 31, 2026 and December 31, 2027, as adjusted by the senior management of Parent, as well as estimated long-term annual balance sheet and net income growth rates for the years ending December 31, 2028 through December 31, 2030 and estimated dividends per share for Parent for the years ending December 31, 2026 through December 31, 2030, as provided by the senior management of Parent and confirmed for use in Piper Sandler’s analyses by the senior management of the Company. Piper Sandler also received and used in its pro forma analyses certain assumptions relating to transaction expenses, cost savings and purchase accounting adjustments, as provided by the senior management of Parent and confirmed for use in Piper Sandler’s analyses by the senior management of the Company. With respect to the foregoing information, the senior management of the Company confirmed to us that such information reflected (or, in the case of the publicly available analyst estimates referred to above, were consistent with) the best currently available projections, estimates and judgements of senior management as to the future financial performance of the Company and Parent, respectively, and we assumed that the financial results reflected in such information would be achieved. We express no opinion as to such projections, estimates or judgements, or the assumptions on which they are based. We have also assumed that there has been no material change in the Company’s or Parent’s assets, financial condition, results of operations, business or prospects since the date of the most recent financial statements made available to us. We have assumed in all respects material to our analyses that the Company and Parent will remain as going concerns for all periods relevant to our analyses.</w:t>
      </w:r>
    </w:p>
    <w:p>
      <w:pPr>
        <w:spacing w:after="0" w:line="262" w:lineRule="exact"/>
        <w:rPr>
          <w:sz w:val="20"/>
          <w:szCs w:val="20"/>
          <w:color w:val="auto"/>
        </w:rPr>
      </w:pPr>
    </w:p>
    <w:p>
      <w:pPr>
        <w:ind w:left="1100" w:right="939" w:firstLine="318"/>
        <w:spacing w:after="0"/>
        <w:rPr>
          <w:sz w:val="20"/>
          <w:szCs w:val="20"/>
          <w:color w:val="auto"/>
        </w:rPr>
      </w:pPr>
      <w:r>
        <w:rPr>
          <w:rFonts w:ascii="Times New Roman" w:cs="Times New Roman" w:eastAsia="Times New Roman" w:hAnsi="Times New Roman"/>
          <w:sz w:val="16"/>
          <w:szCs w:val="16"/>
          <w:color w:val="auto"/>
        </w:rPr>
        <w:t>We have also assumed, with your consent, that (i) each of the parties to the Agreement will comply in all material respects with all material terms and conditions of the Agreement and all related agreements required to effect the Merger, that all of the representations and warranties contained in such agreements are true and correct in all material respects, that each of the parties to such agreements will perform in all material respects all of the covenants and other obligations required to be performed by such party under such agreements and that the conditions precedent in such agreements are not and will not be waived, (ii) in the course of obtaining the necessary regulatory or third party approvals, consents and releases with respect to the Merger, no delay, limitation, restriction or condition will be imposed that would have an adverse effect on the Company, Parent, the Merger or any related transactions, and (iii) the Merger and any related transactions will be consummated in accordance with the terms of the Agreement without any waiver, modification or amendment of any material term, condition or agreement thereof and in compliance with all applicable laws and other requirements. Finally, with your consent, we have relied upon the advice that the Company has</w:t>
      </w:r>
    </w:p>
    <w:p>
      <w:pPr>
        <w:spacing w:after="0" w:line="200" w:lineRule="exact"/>
        <w:rPr>
          <w:sz w:val="20"/>
          <w:szCs w:val="20"/>
          <w:color w:val="auto"/>
        </w:rPr>
      </w:pPr>
    </w:p>
    <w:p>
      <w:pPr>
        <w:spacing w:after="0" w:line="3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88" w:name="page189"/>
    <w:bookmarkEnd w:id="18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right="919"/>
        <w:spacing w:after="0" w:line="263" w:lineRule="auto"/>
        <w:rPr>
          <w:sz w:val="20"/>
          <w:szCs w:val="20"/>
          <w:color w:val="auto"/>
        </w:rPr>
      </w:pPr>
      <w:r>
        <w:rPr>
          <w:rFonts w:ascii="Times New Roman" w:cs="Times New Roman" w:eastAsia="Times New Roman" w:hAnsi="Times New Roman"/>
          <w:sz w:val="16"/>
          <w:szCs w:val="16"/>
          <w:color w:val="auto"/>
        </w:rPr>
        <w:t>received from its legal, accounting and tax advisors as to all legal, accounting and tax matters relating to the Merger and the other transactions contemplated by the Agreement. We express no opinion as to any such matters.</w:t>
      </w:r>
    </w:p>
    <w:p>
      <w:pPr>
        <w:spacing w:after="0" w:line="98" w:lineRule="exact"/>
        <w:rPr>
          <w:sz w:val="20"/>
          <w:szCs w:val="20"/>
          <w:color w:val="auto"/>
        </w:rPr>
      </w:pPr>
    </w:p>
    <w:p>
      <w:pPr>
        <w:ind w:left="1100" w:right="959" w:firstLine="318"/>
        <w:spacing w:after="0" w:line="254" w:lineRule="auto"/>
        <w:rPr>
          <w:sz w:val="20"/>
          <w:szCs w:val="20"/>
          <w:color w:val="auto"/>
        </w:rPr>
      </w:pPr>
      <w:r>
        <w:rPr>
          <w:rFonts w:ascii="Times New Roman" w:cs="Times New Roman" w:eastAsia="Times New Roman" w:hAnsi="Times New Roman"/>
          <w:sz w:val="16"/>
          <w:szCs w:val="16"/>
          <w:color w:val="auto"/>
        </w:rPr>
        <w:t>Our opinion is necessarily based on financial, regulatory, economic, market and other conditions as in effect on, and the information made available to us as of, the date hereof. Events occurring after the date hereof could materially affect this opinion. We have not undertaken to update, revise, reaffirm or withdraw this opinion or otherwise comment upon events occurring after the date hereof. We express no opinion as to the trading value of Parent Common Stock at any time or what the value of Parent Common Stock will be once it is actually received by the holders of Company Common Stock.</w:t>
      </w:r>
    </w:p>
    <w:p>
      <w:pPr>
        <w:spacing w:after="0" w:line="106" w:lineRule="exact"/>
        <w:rPr>
          <w:sz w:val="20"/>
          <w:szCs w:val="20"/>
          <w:color w:val="auto"/>
        </w:rPr>
      </w:pPr>
    </w:p>
    <w:p>
      <w:pPr>
        <w:ind w:left="1100" w:right="959" w:firstLine="318"/>
        <w:spacing w:after="0" w:line="251" w:lineRule="auto"/>
        <w:rPr>
          <w:sz w:val="20"/>
          <w:szCs w:val="20"/>
          <w:color w:val="auto"/>
        </w:rPr>
      </w:pPr>
      <w:r>
        <w:rPr>
          <w:rFonts w:ascii="Times New Roman" w:cs="Times New Roman" w:eastAsia="Times New Roman" w:hAnsi="Times New Roman"/>
          <w:sz w:val="16"/>
          <w:szCs w:val="16"/>
          <w:color w:val="auto"/>
        </w:rPr>
        <w:t>We have acted as the Company’s financial advisor in connection with the Merger and will receive a fee for our services, which fee is contingent upon consummation of the Merger. We will also receive a fee for rendering this opinion, which opinion fee will be credited in full towards the advisory fee which will become payable to Piper Sandler on the day of closing of the Merger. The Company has also agreed to indemnify us against certain claims and liabilities arising out of our engagement and to reimburse us for certain of our out-of-pocket expenses incurred in connection with our engagement. Piper Sandler has not provided any other investment banking services to the Company in the two years preceding the date hereof. Piper Sandler did not provide any investment banking services to Parent in the two years preceding the date hereof. In the ordinary course of our business as a broker-dealer, we may purchase securities from and sell securities to the Company, Parent and their respective affiliates. We may also actively trade the equity and debt securities of the Company, Parent and their respective affiliates for our own account and for the accounts of our customers.</w:t>
      </w:r>
    </w:p>
    <w:p>
      <w:pPr>
        <w:spacing w:after="0" w:line="290" w:lineRule="exact"/>
        <w:rPr>
          <w:sz w:val="20"/>
          <w:szCs w:val="20"/>
          <w:color w:val="auto"/>
        </w:rPr>
      </w:pPr>
    </w:p>
    <w:p>
      <w:pPr>
        <w:ind w:left="1100" w:right="919" w:firstLine="318"/>
        <w:spacing w:after="0" w:line="250" w:lineRule="auto"/>
        <w:rPr>
          <w:sz w:val="20"/>
          <w:szCs w:val="20"/>
          <w:color w:val="auto"/>
        </w:rPr>
      </w:pPr>
      <w:r>
        <w:rPr>
          <w:rFonts w:ascii="Times New Roman" w:cs="Times New Roman" w:eastAsia="Times New Roman" w:hAnsi="Times New Roman"/>
          <w:sz w:val="16"/>
          <w:szCs w:val="16"/>
          <w:color w:val="auto"/>
        </w:rPr>
        <w:t xml:space="preserve">Our opinion is directed to the Board of Directors of the Company in connection with its consideration of the Agreement and the Merger and does not constitute a recommendation to any shareholder of the Company as to how any such shareholder should vote at any meeting of shareholders called to consider and vote upon the approval of the Agreement and the Merger. Our opinion is directed only as to the fairness, from a financial point of view, of the Merger Consideration to the holders of Company Common Stock and does not address the underlying business decision of the Company to engage in the Merger, the form or structure of the Merger or any other transactions contemplated in the Agreement, the relative merits of the Merger as compared to any other alternative transactions or business strategies that might exist for the Company or the effect of any other transaction in which the Company might engage. We also do not express any opinion as to the fairness of the amount or nature of the compensation to be received in the Merger by any officer, director or employee of the Company, or class of such persons, if any, relative to the amount of compensation to be received by any other shareholder. This opinion has been approved by Piper Sandler’s fairness opinion committee. This opinion may not be reproduced without Piper Sandler’s prior written consent;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Piper Sandler will provide its consent for the opinion to be included in any regulatory filings, including the Proxy Statement/Prospectus and the Registration Statement, to be filed with the SEC and mailed to shareholders in connection with the Merger.</w:t>
      </w:r>
    </w:p>
    <w:p>
      <w:pPr>
        <w:spacing w:after="0" w:line="114" w:lineRule="exact"/>
        <w:rPr>
          <w:sz w:val="20"/>
          <w:szCs w:val="20"/>
          <w:color w:val="auto"/>
        </w:rPr>
      </w:pPr>
    </w:p>
    <w:p>
      <w:pPr>
        <w:ind w:left="1100" w:right="1439" w:firstLine="318"/>
        <w:spacing w:after="0" w:line="279" w:lineRule="auto"/>
        <w:rPr>
          <w:sz w:val="20"/>
          <w:szCs w:val="20"/>
          <w:color w:val="auto"/>
        </w:rPr>
      </w:pPr>
      <w:r>
        <w:rPr>
          <w:rFonts w:ascii="Times New Roman" w:cs="Times New Roman" w:eastAsia="Times New Roman" w:hAnsi="Times New Roman"/>
          <w:sz w:val="16"/>
          <w:szCs w:val="16"/>
          <w:color w:val="auto"/>
        </w:rPr>
        <w:t>Based upon and subject to the foregoing, it is our opinion that, as of the date hereof, the Merger Consideration is fair to the holders of Company Common Stock from a financial point of view.</w:t>
      </w:r>
    </w:p>
    <w:p>
      <w:pPr>
        <w:spacing w:after="0" w:line="33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113030</wp:posOffset>
            </wp:positionV>
            <wp:extent cx="1588770" cy="3175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158877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89" w:name="page190"/>
    <w:bookmarkEnd w:id="18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Annex D — Georgia Business Corporation Code, Title 14. Corporations, Partnerships, and Associations,</w:t>
      </w:r>
    </w:p>
    <w:p>
      <w:pPr>
        <w:spacing w:after="0" w:line="3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Chapter 2. Business Corporations, Article 13. Dissenters’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GEORGIA BUSINESS CORPORATION CODE</w:t>
      </w:r>
    </w:p>
    <w:p>
      <w:pPr>
        <w:spacing w:after="0" w:line="19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TITLE 14. CORPORATIONS, PARTNERSHIPS, AND ASSOCIATIONS, CHAPTER 2. BUSINESS</w:t>
      </w:r>
    </w:p>
    <w:p>
      <w:pPr>
        <w:spacing w:after="0" w:line="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CORPORATIONS, ARTICLE 13. DISSENTERS’ RIGHTS</w:t>
      </w:r>
    </w:p>
    <w:p>
      <w:pPr>
        <w:spacing w:after="0" w:line="1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PART 1</w:t>
      </w:r>
    </w:p>
    <w:p>
      <w:pPr>
        <w:spacing w:after="0" w:line="2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Right to Dissent and Obtain Payment for Shares</w:t>
      </w:r>
    </w:p>
    <w:p>
      <w:pPr>
        <w:spacing w:after="0" w:line="1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14-2-1301. Definitions.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As used in this article, the term:</w:t>
      </w:r>
    </w:p>
    <w:p>
      <w:pPr>
        <w:spacing w:after="0" w:line="138" w:lineRule="exact"/>
        <w:rPr>
          <w:sz w:val="20"/>
          <w:szCs w:val="20"/>
          <w:color w:val="auto"/>
        </w:rPr>
      </w:pPr>
    </w:p>
    <w:p>
      <w:pPr>
        <w:ind w:left="1420" w:right="959" w:firstLine="318"/>
        <w:spacing w:after="0" w:line="279" w:lineRule="auto"/>
        <w:tabs>
          <w:tab w:leader="none" w:pos="1956" w:val="left"/>
        </w:tabs>
        <w:numPr>
          <w:ilvl w:val="0"/>
          <w:numId w:val="2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“Beneficial shareholder” means the person who is a beneficial owner of shares held in a voting trust or by a nominee as the record shareholder.</w:t>
      </w:r>
    </w:p>
    <w:p>
      <w:pPr>
        <w:spacing w:after="0" w:line="72" w:lineRule="exact"/>
        <w:rPr>
          <w:rFonts w:ascii="Times New Roman" w:cs="Times New Roman" w:eastAsia="Times New Roman" w:hAnsi="Times New Roman"/>
          <w:sz w:val="16"/>
          <w:szCs w:val="16"/>
          <w:b w:val="1"/>
          <w:bCs w:val="1"/>
          <w:color w:val="auto"/>
        </w:rPr>
      </w:pPr>
    </w:p>
    <w:p>
      <w:pPr>
        <w:ind w:left="1420" w:right="1459" w:firstLine="318"/>
        <w:spacing w:after="0" w:line="279" w:lineRule="auto"/>
        <w:tabs>
          <w:tab w:leader="none" w:pos="1956" w:val="left"/>
        </w:tabs>
        <w:numPr>
          <w:ilvl w:val="0"/>
          <w:numId w:val="2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“Corporate action” means the transaction or other action by the corporation that creates dissenters’ rights under Code Section 14-2-1302.</w:t>
      </w:r>
    </w:p>
    <w:p>
      <w:pPr>
        <w:spacing w:after="0" w:line="84" w:lineRule="exact"/>
        <w:rPr>
          <w:rFonts w:ascii="Times New Roman" w:cs="Times New Roman" w:eastAsia="Times New Roman" w:hAnsi="Times New Roman"/>
          <w:sz w:val="16"/>
          <w:szCs w:val="16"/>
          <w:b w:val="1"/>
          <w:bCs w:val="1"/>
          <w:color w:val="auto"/>
        </w:rPr>
      </w:pPr>
    </w:p>
    <w:p>
      <w:pPr>
        <w:ind w:left="1420" w:right="959" w:firstLine="318"/>
        <w:spacing w:after="0" w:line="279" w:lineRule="auto"/>
        <w:tabs>
          <w:tab w:leader="none" w:pos="1956" w:val="left"/>
        </w:tabs>
        <w:numPr>
          <w:ilvl w:val="0"/>
          <w:numId w:val="2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“Corporation” means the issuer of shares held by a dissenter before the corporate action, or the surviving or acquiring corporation by merger or share exchange of that issuer.</w:t>
      </w:r>
    </w:p>
    <w:p>
      <w:pPr>
        <w:spacing w:after="0" w:line="84" w:lineRule="exact"/>
        <w:rPr>
          <w:rFonts w:ascii="Times New Roman" w:cs="Times New Roman" w:eastAsia="Times New Roman" w:hAnsi="Times New Roman"/>
          <w:sz w:val="16"/>
          <w:szCs w:val="16"/>
          <w:b w:val="1"/>
          <w:bCs w:val="1"/>
          <w:color w:val="auto"/>
        </w:rPr>
      </w:pPr>
    </w:p>
    <w:p>
      <w:pPr>
        <w:ind w:left="1420" w:right="979" w:firstLine="318"/>
        <w:spacing w:after="0" w:line="263" w:lineRule="auto"/>
        <w:tabs>
          <w:tab w:leader="none" w:pos="1956" w:val="left"/>
        </w:tabs>
        <w:numPr>
          <w:ilvl w:val="0"/>
          <w:numId w:val="2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“Dissenter” means a shareholder who is entitled to dissent from corporate action under Code Section 14-2-1302 and who exercises that right when and in the manner required by Code Sections 14-2-1320 through 14-2-1327.</w:t>
      </w:r>
    </w:p>
    <w:p>
      <w:pPr>
        <w:spacing w:after="0" w:line="86" w:lineRule="exact"/>
        <w:rPr>
          <w:rFonts w:ascii="Times New Roman" w:cs="Times New Roman" w:eastAsia="Times New Roman" w:hAnsi="Times New Roman"/>
          <w:sz w:val="16"/>
          <w:szCs w:val="16"/>
          <w:b w:val="1"/>
          <w:bCs w:val="1"/>
          <w:color w:val="auto"/>
        </w:rPr>
      </w:pPr>
    </w:p>
    <w:p>
      <w:pPr>
        <w:ind w:left="1420" w:right="1159" w:firstLine="318"/>
        <w:spacing w:after="0" w:line="263" w:lineRule="auto"/>
        <w:tabs>
          <w:tab w:leader="none" w:pos="1956" w:val="left"/>
        </w:tabs>
        <w:numPr>
          <w:ilvl w:val="0"/>
          <w:numId w:val="2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“Fair value,” with respect to a dissenter’s shares, means the value of the shares immediately before the effectuation of the corporate action to which the dissenter objects, excluding any appreciation or depreciation in anticipation of the corporate action.</w:t>
      </w:r>
    </w:p>
    <w:p>
      <w:pPr>
        <w:spacing w:after="0" w:line="97" w:lineRule="exact"/>
        <w:rPr>
          <w:rFonts w:ascii="Times New Roman" w:cs="Times New Roman" w:eastAsia="Times New Roman" w:hAnsi="Times New Roman"/>
          <w:sz w:val="16"/>
          <w:szCs w:val="16"/>
          <w:b w:val="1"/>
          <w:bCs w:val="1"/>
          <w:color w:val="auto"/>
        </w:rPr>
      </w:pPr>
    </w:p>
    <w:p>
      <w:pPr>
        <w:ind w:left="1420" w:right="1439" w:firstLine="318"/>
        <w:spacing w:after="0" w:line="279" w:lineRule="auto"/>
        <w:tabs>
          <w:tab w:leader="none" w:pos="1956" w:val="left"/>
        </w:tabs>
        <w:numPr>
          <w:ilvl w:val="0"/>
          <w:numId w:val="2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“Interest” means interest from the effective date of the corporate action until the date of payment, at a rate that is fair and equitable under all the circumstances.</w:t>
      </w:r>
    </w:p>
    <w:p>
      <w:pPr>
        <w:spacing w:after="0" w:line="84" w:lineRule="exact"/>
        <w:rPr>
          <w:rFonts w:ascii="Times New Roman" w:cs="Times New Roman" w:eastAsia="Times New Roman" w:hAnsi="Times New Roman"/>
          <w:sz w:val="16"/>
          <w:szCs w:val="16"/>
          <w:b w:val="1"/>
          <w:bCs w:val="1"/>
          <w:color w:val="auto"/>
        </w:rPr>
      </w:pPr>
    </w:p>
    <w:p>
      <w:pPr>
        <w:jc w:val="both"/>
        <w:ind w:left="1420" w:right="919" w:firstLine="318"/>
        <w:spacing w:after="0" w:line="263" w:lineRule="auto"/>
        <w:tabs>
          <w:tab w:leader="none" w:pos="1956" w:val="left"/>
        </w:tabs>
        <w:numPr>
          <w:ilvl w:val="0"/>
          <w:numId w:val="2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“Record shareholder” means the person in whose name shares are registered in the records of a corporation or the beneficial owner of shares to the extent of the rights granted by a nominee certificate on file with a corporation.</w:t>
      </w:r>
    </w:p>
    <w:p>
      <w:pPr>
        <w:spacing w:after="0" w:line="86" w:lineRule="exact"/>
        <w:rPr>
          <w:rFonts w:ascii="Times New Roman" w:cs="Times New Roman" w:eastAsia="Times New Roman" w:hAnsi="Times New Roman"/>
          <w:sz w:val="16"/>
          <w:szCs w:val="16"/>
          <w:b w:val="1"/>
          <w:bCs w:val="1"/>
          <w:color w:val="auto"/>
        </w:rPr>
      </w:pPr>
    </w:p>
    <w:p>
      <w:pPr>
        <w:ind w:left="1960" w:hanging="222"/>
        <w:spacing w:after="0"/>
        <w:tabs>
          <w:tab w:leader="none" w:pos="1960" w:val="left"/>
        </w:tabs>
        <w:numPr>
          <w:ilvl w:val="0"/>
          <w:numId w:val="2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“Shareholder” means the record shareholder or the beneficial shareholder.</w:t>
      </w:r>
    </w:p>
    <w:p>
      <w:pPr>
        <w:spacing w:after="0" w:line="1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14-2-1302. Right to dissent.</w:t>
      </w:r>
    </w:p>
    <w:p>
      <w:pPr>
        <w:spacing w:after="0" w:line="140" w:lineRule="exact"/>
        <w:rPr>
          <w:sz w:val="20"/>
          <w:szCs w:val="20"/>
          <w:color w:val="auto"/>
        </w:rPr>
      </w:pPr>
    </w:p>
    <w:p>
      <w:pPr>
        <w:ind w:left="1100" w:right="1039" w:firstLine="320"/>
        <w:spacing w:after="0" w:line="279" w:lineRule="auto"/>
        <w:tabs>
          <w:tab w:leader="none" w:pos="1713" w:val="left"/>
        </w:tabs>
        <w:numPr>
          <w:ilvl w:val="0"/>
          <w:numId w:val="2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record shareholder of the corporation is entitled to dissent from, and obtain payment of the fair value of his or her shares in the event of, any of the following corporate actions:</w:t>
      </w:r>
    </w:p>
    <w:p>
      <w:pPr>
        <w:spacing w:after="0" w:line="84" w:lineRule="exact"/>
        <w:rPr>
          <w:rFonts w:ascii="Times New Roman" w:cs="Times New Roman" w:eastAsia="Times New Roman" w:hAnsi="Times New Roman"/>
          <w:sz w:val="16"/>
          <w:szCs w:val="16"/>
          <w:b w:val="1"/>
          <w:bCs w:val="1"/>
          <w:color w:val="auto"/>
        </w:rPr>
      </w:pPr>
    </w:p>
    <w:p>
      <w:pPr>
        <w:ind w:left="2060" w:hanging="322"/>
        <w:spacing w:after="0"/>
        <w:tabs>
          <w:tab w:leader="none" w:pos="2060" w:val="left"/>
        </w:tabs>
        <w:numPr>
          <w:ilvl w:val="1"/>
          <w:numId w:val="2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Consummation of a plan of merger to which the corporation is a party:</w:t>
      </w:r>
    </w:p>
    <w:p>
      <w:pPr>
        <w:spacing w:after="0" w:line="125" w:lineRule="exact"/>
        <w:rPr>
          <w:rFonts w:ascii="Times New Roman" w:cs="Times New Roman" w:eastAsia="Times New Roman" w:hAnsi="Times New Roman"/>
          <w:sz w:val="16"/>
          <w:szCs w:val="16"/>
          <w:b w:val="1"/>
          <w:bCs w:val="1"/>
          <w:color w:val="auto"/>
        </w:rPr>
      </w:pPr>
    </w:p>
    <w:p>
      <w:pPr>
        <w:ind w:left="2380" w:right="1019" w:hanging="324"/>
        <w:spacing w:after="0" w:line="263" w:lineRule="auto"/>
        <w:tabs>
          <w:tab w:leader="none" w:pos="2380" w:val="left"/>
        </w:tabs>
        <w:numPr>
          <w:ilvl w:val="2"/>
          <w:numId w:val="2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approval of the shareholders of the corporation is required for the merger by Code Section 14-2-1103 or the articles of incorporation and the shareholder is entitled to vote on the merger, unless:</w:t>
      </w:r>
    </w:p>
    <w:p>
      <w:pPr>
        <w:spacing w:after="0" w:line="97" w:lineRule="exact"/>
        <w:rPr>
          <w:rFonts w:ascii="Times New Roman" w:cs="Times New Roman" w:eastAsia="Times New Roman" w:hAnsi="Times New Roman"/>
          <w:sz w:val="16"/>
          <w:szCs w:val="16"/>
          <w:b w:val="1"/>
          <w:bCs w:val="1"/>
          <w:color w:val="auto"/>
        </w:rPr>
      </w:pPr>
    </w:p>
    <w:p>
      <w:pPr>
        <w:ind w:left="2700" w:right="1599" w:hanging="327"/>
        <w:spacing w:after="0" w:line="279" w:lineRule="auto"/>
        <w:tabs>
          <w:tab w:leader="none" w:pos="2700" w:val="left"/>
        </w:tabs>
        <w:numPr>
          <w:ilvl w:val="3"/>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is merging into a subsidiary corporation pursuant to Code Section 14-2-1104;</w:t>
      </w:r>
    </w:p>
    <w:p>
      <w:pPr>
        <w:spacing w:after="0" w:line="84" w:lineRule="exact"/>
        <w:rPr>
          <w:rFonts w:ascii="Times New Roman" w:cs="Times New Roman" w:eastAsia="Times New Roman" w:hAnsi="Times New Roman"/>
          <w:sz w:val="16"/>
          <w:szCs w:val="16"/>
          <w:color w:val="auto"/>
        </w:rPr>
      </w:pPr>
    </w:p>
    <w:p>
      <w:pPr>
        <w:ind w:left="2700" w:right="919" w:hanging="327"/>
        <w:spacing w:after="0" w:line="258" w:lineRule="auto"/>
        <w:tabs>
          <w:tab w:leader="none" w:pos="2700" w:val="left"/>
        </w:tabs>
        <w:numPr>
          <w:ilvl w:val="3"/>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shareholder of the corporation whose shares were outstanding immediately prior to the effective time of the merger shall receive a like number of shares of the surviving corporation, with designations, preferences, limitations, and relative rights identical to those previously held by each shareholder; and</w:t>
      </w:r>
    </w:p>
    <w:p>
      <w:pPr>
        <w:spacing w:after="0" w:line="102" w:lineRule="exact"/>
        <w:rPr>
          <w:rFonts w:ascii="Times New Roman" w:cs="Times New Roman" w:eastAsia="Times New Roman" w:hAnsi="Times New Roman"/>
          <w:sz w:val="16"/>
          <w:szCs w:val="16"/>
          <w:color w:val="auto"/>
        </w:rPr>
      </w:pPr>
    </w:p>
    <w:p>
      <w:pPr>
        <w:ind w:left="2700" w:right="939" w:hanging="327"/>
        <w:spacing w:after="0" w:line="261" w:lineRule="auto"/>
        <w:tabs>
          <w:tab w:leader="none" w:pos="2700" w:val="left"/>
        </w:tabs>
        <w:numPr>
          <w:ilvl w:val="3"/>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kind of shares of the surviving corporation outstanding immediately following the effective time of the merger, plus the number and kind of shares issuable as a result of the merger and by conversion of securities issued pursuant to</w:t>
      </w:r>
    </w:p>
    <w:p>
      <w:pPr>
        <w:spacing w:after="0" w:line="200" w:lineRule="exact"/>
        <w:rPr>
          <w:sz w:val="20"/>
          <w:szCs w:val="20"/>
          <w:color w:val="auto"/>
        </w:rPr>
      </w:pPr>
    </w:p>
    <w:p>
      <w:pPr>
        <w:spacing w:after="0" w:line="30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91" w:name="page192"/>
    <w:bookmarkEnd w:id="19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2700" w:right="999"/>
        <w:spacing w:after="0" w:line="263" w:lineRule="auto"/>
        <w:rPr>
          <w:sz w:val="20"/>
          <w:szCs w:val="20"/>
          <w:color w:val="auto"/>
        </w:rPr>
      </w:pPr>
      <w:r>
        <w:rPr>
          <w:rFonts w:ascii="Times New Roman" w:cs="Times New Roman" w:eastAsia="Times New Roman" w:hAnsi="Times New Roman"/>
          <w:sz w:val="16"/>
          <w:szCs w:val="16"/>
          <w:color w:val="auto"/>
        </w:rPr>
        <w:t>the merger, shall not exceed the total number and kind of shares of the corporation authorized by its articles of incorporation immediately prior to the effective time of the merger; or</w:t>
      </w:r>
    </w:p>
    <w:p>
      <w:pPr>
        <w:spacing w:after="0" w:line="110" w:lineRule="exact"/>
        <w:rPr>
          <w:sz w:val="20"/>
          <w:szCs w:val="20"/>
          <w:color w:val="auto"/>
        </w:rPr>
      </w:pPr>
    </w:p>
    <w:p>
      <w:pPr>
        <w:ind w:left="2380" w:right="959" w:hanging="324"/>
        <w:spacing w:after="0" w:line="279" w:lineRule="auto"/>
        <w:tabs>
          <w:tab w:leader="none" w:pos="2380" w:val="left"/>
        </w:tabs>
        <w:numPr>
          <w:ilvl w:val="2"/>
          <w:numId w:val="2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corporation is a subsidiary that is merged with its parent under Code Section 14-2-1104;</w:t>
      </w:r>
    </w:p>
    <w:p>
      <w:pPr>
        <w:spacing w:after="0" w:line="96" w:lineRule="exact"/>
        <w:rPr>
          <w:rFonts w:ascii="Times New Roman" w:cs="Times New Roman" w:eastAsia="Times New Roman" w:hAnsi="Times New Roman"/>
          <w:sz w:val="16"/>
          <w:szCs w:val="16"/>
          <w:b w:val="1"/>
          <w:bCs w:val="1"/>
          <w:color w:val="auto"/>
        </w:rPr>
      </w:pPr>
    </w:p>
    <w:p>
      <w:pPr>
        <w:ind w:left="2060" w:right="1099" w:hanging="322"/>
        <w:spacing w:after="0" w:line="279" w:lineRule="auto"/>
        <w:tabs>
          <w:tab w:leader="none" w:pos="2060" w:val="left"/>
        </w:tabs>
        <w:numPr>
          <w:ilvl w:val="1"/>
          <w:numId w:val="2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Consummation of a plan of share exchange to which the corporation is a party as the corporation whose shares will be acquired, if the shareholder is entitled to vote on the plan;</w:t>
      </w:r>
    </w:p>
    <w:p>
      <w:pPr>
        <w:spacing w:after="0" w:line="96" w:lineRule="exact"/>
        <w:rPr>
          <w:rFonts w:ascii="Times New Roman" w:cs="Times New Roman" w:eastAsia="Times New Roman" w:hAnsi="Times New Roman"/>
          <w:sz w:val="16"/>
          <w:szCs w:val="16"/>
          <w:b w:val="1"/>
          <w:bCs w:val="1"/>
          <w:color w:val="auto"/>
        </w:rPr>
      </w:pPr>
    </w:p>
    <w:p>
      <w:pPr>
        <w:ind w:left="2060" w:right="959" w:hanging="322"/>
        <w:spacing w:after="0" w:line="256" w:lineRule="auto"/>
        <w:tabs>
          <w:tab w:leader="none" w:pos="2060" w:val="left"/>
        </w:tabs>
        <w:numPr>
          <w:ilvl w:val="1"/>
          <w:numId w:val="2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Consummation of a sale or exchange of all or substantially all of the property of the corporation if a shareholder vote is required on the sale or exchange pursuant to Code Section 14-2-1202, but not including a sale pursuant to court order or a sale for cash pursuant to a plan by which all or substantially all of the net proceeds of the sale will be distributed to the shareholders within one year after the date of sale;</w:t>
      </w:r>
    </w:p>
    <w:p>
      <w:pPr>
        <w:spacing w:after="0" w:line="114" w:lineRule="exact"/>
        <w:rPr>
          <w:rFonts w:ascii="Times New Roman" w:cs="Times New Roman" w:eastAsia="Times New Roman" w:hAnsi="Times New Roman"/>
          <w:sz w:val="16"/>
          <w:szCs w:val="16"/>
          <w:b w:val="1"/>
          <w:bCs w:val="1"/>
          <w:color w:val="auto"/>
        </w:rPr>
      </w:pPr>
    </w:p>
    <w:p>
      <w:pPr>
        <w:ind w:left="2060" w:right="1059" w:hanging="322"/>
        <w:spacing w:after="0" w:line="261" w:lineRule="auto"/>
        <w:tabs>
          <w:tab w:leader="none" w:pos="2060" w:val="left"/>
        </w:tabs>
        <w:numPr>
          <w:ilvl w:val="1"/>
          <w:numId w:val="2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 amendment of the articles of incorporation with respect to a class or series of shares that reduces the number of shares of a class or series owned by the shareholder to a fraction of a share if the fractional share so created is to be acquired for cash under Code Section 14-2-604;</w:t>
      </w:r>
    </w:p>
    <w:p>
      <w:pPr>
        <w:spacing w:after="0" w:line="305" w:lineRule="exact"/>
        <w:rPr>
          <w:rFonts w:ascii="Times New Roman" w:cs="Times New Roman" w:eastAsia="Times New Roman" w:hAnsi="Times New Roman"/>
          <w:sz w:val="16"/>
          <w:szCs w:val="16"/>
          <w:b w:val="1"/>
          <w:bCs w:val="1"/>
          <w:color w:val="auto"/>
        </w:rPr>
      </w:pPr>
    </w:p>
    <w:p>
      <w:pPr>
        <w:ind w:left="2060" w:hanging="322"/>
        <w:spacing w:after="0"/>
        <w:tabs>
          <w:tab w:leader="none" w:pos="2060" w:val="left"/>
        </w:tabs>
        <w:numPr>
          <w:ilvl w:val="1"/>
          <w:numId w:val="2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Consummation of an action described in subsection (a) or (b) of Code Section 14-2-1805;</w:t>
      </w:r>
    </w:p>
    <w:p>
      <w:pPr>
        <w:spacing w:after="0" w:line="149" w:lineRule="exact"/>
        <w:rPr>
          <w:rFonts w:ascii="Times New Roman" w:cs="Times New Roman" w:eastAsia="Times New Roman" w:hAnsi="Times New Roman"/>
          <w:sz w:val="16"/>
          <w:szCs w:val="16"/>
          <w:b w:val="1"/>
          <w:bCs w:val="1"/>
          <w:color w:val="auto"/>
        </w:rPr>
      </w:pPr>
    </w:p>
    <w:p>
      <w:pPr>
        <w:ind w:left="2060" w:right="1019" w:hanging="322"/>
        <w:spacing w:after="0" w:line="258" w:lineRule="auto"/>
        <w:tabs>
          <w:tab w:leader="none" w:pos="2060" w:val="left"/>
        </w:tabs>
        <w:numPr>
          <w:ilvl w:val="1"/>
          <w:numId w:val="2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corporate action taken pursuant to a shareholder vote to the extent that Article 9 of this chapter, the articles of incorporation, the bylaws, or a resolution of the board of directors provides that voting or nonvoting shareholders are entitled to dissent and obtain payment for their shares; or</w:t>
      </w:r>
    </w:p>
    <w:p>
      <w:pPr>
        <w:spacing w:after="0" w:line="114" w:lineRule="exact"/>
        <w:rPr>
          <w:rFonts w:ascii="Times New Roman" w:cs="Times New Roman" w:eastAsia="Times New Roman" w:hAnsi="Times New Roman"/>
          <w:sz w:val="16"/>
          <w:szCs w:val="16"/>
          <w:b w:val="1"/>
          <w:bCs w:val="1"/>
          <w:color w:val="auto"/>
        </w:rPr>
      </w:pPr>
    </w:p>
    <w:p>
      <w:pPr>
        <w:ind w:left="2060" w:right="899" w:hanging="322"/>
        <w:spacing w:after="0" w:line="279" w:lineRule="auto"/>
        <w:tabs>
          <w:tab w:leader="none" w:pos="2060" w:val="left"/>
        </w:tabs>
        <w:numPr>
          <w:ilvl w:val="1"/>
          <w:numId w:val="2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Consummation of a division, as defined in Code Section 33-14-120, to which the corporation is a party, provided any such appraisal is subject to the limitations of Code Section 33-14-127.</w:t>
      </w:r>
    </w:p>
    <w:p>
      <w:pPr>
        <w:spacing w:after="0" w:line="84" w:lineRule="exact"/>
        <w:rPr>
          <w:rFonts w:ascii="Times New Roman" w:cs="Times New Roman" w:eastAsia="Times New Roman" w:hAnsi="Times New Roman"/>
          <w:sz w:val="16"/>
          <w:szCs w:val="16"/>
          <w:b w:val="1"/>
          <w:bCs w:val="1"/>
          <w:color w:val="auto"/>
        </w:rPr>
      </w:pPr>
    </w:p>
    <w:p>
      <w:pPr>
        <w:ind w:left="1100" w:right="959" w:firstLine="320"/>
        <w:spacing w:after="0" w:line="256" w:lineRule="auto"/>
        <w:tabs>
          <w:tab w:leader="none" w:pos="1722" w:val="left"/>
        </w:tabs>
        <w:numPr>
          <w:ilvl w:val="0"/>
          <w:numId w:val="2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shareholder entitled to dissent and obtain payment for his or her shares under this article may not challenge the corporate action creating his or her entitlement unless the corporate action fails to comply with procedural requirements of this chapter or the articles of incorporation or bylaws of the corporation or the vote required to obtain approval of the corporate action was obtained by fraudulent and deceptive means, regardless of whether the shareholder has exercised dissenter’s rights.</w:t>
      </w:r>
    </w:p>
    <w:p>
      <w:pPr>
        <w:spacing w:after="0" w:line="102" w:lineRule="exact"/>
        <w:rPr>
          <w:rFonts w:ascii="Times New Roman" w:cs="Times New Roman" w:eastAsia="Times New Roman" w:hAnsi="Times New Roman"/>
          <w:sz w:val="16"/>
          <w:szCs w:val="16"/>
          <w:b w:val="1"/>
          <w:bCs w:val="1"/>
          <w:color w:val="auto"/>
        </w:rPr>
      </w:pPr>
    </w:p>
    <w:p>
      <w:pPr>
        <w:ind w:left="1100" w:right="939" w:firstLine="320"/>
        <w:spacing w:after="0" w:line="256" w:lineRule="auto"/>
        <w:tabs>
          <w:tab w:leader="none" w:pos="1713" w:val="left"/>
        </w:tabs>
        <w:numPr>
          <w:ilvl w:val="0"/>
          <w:numId w:val="2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Notwithstanding any other provision of this article, there shall be no right of dissent in favor of the holder of shares of any class or series which, at the record date fixed to determine the shareholders entitled to receive notice of and to vote at a meeting at which a plan of merger or share exchange or a sale or exchange of property or an amendment of the articles of incorporation is to be acted on, were either listed on a national securities exchange or held of record by more than 2,000 shareholders, unless:</w:t>
      </w:r>
    </w:p>
    <w:p>
      <w:pPr>
        <w:spacing w:after="0" w:line="114" w:lineRule="exact"/>
        <w:rPr>
          <w:rFonts w:ascii="Times New Roman" w:cs="Times New Roman" w:eastAsia="Times New Roman" w:hAnsi="Times New Roman"/>
          <w:sz w:val="16"/>
          <w:szCs w:val="16"/>
          <w:b w:val="1"/>
          <w:bCs w:val="1"/>
          <w:color w:val="auto"/>
        </w:rPr>
      </w:pPr>
    </w:p>
    <w:p>
      <w:pPr>
        <w:ind w:left="2060" w:right="1019" w:hanging="322"/>
        <w:spacing w:after="0" w:line="279" w:lineRule="auto"/>
        <w:tabs>
          <w:tab w:leader="none" w:pos="2060" w:val="left"/>
        </w:tabs>
        <w:numPr>
          <w:ilvl w:val="1"/>
          <w:numId w:val="2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case of a plan of merger or share exchange, any holders of shares of the class or series are required under the plan of merger or share exchange to accept for their shares:</w:t>
      </w:r>
    </w:p>
    <w:p>
      <w:pPr>
        <w:spacing w:after="0" w:line="96" w:lineRule="exact"/>
        <w:rPr>
          <w:rFonts w:ascii="Times New Roman" w:cs="Times New Roman" w:eastAsia="Times New Roman" w:hAnsi="Times New Roman"/>
          <w:sz w:val="16"/>
          <w:szCs w:val="16"/>
          <w:b w:val="1"/>
          <w:bCs w:val="1"/>
          <w:color w:val="auto"/>
        </w:rPr>
      </w:pPr>
    </w:p>
    <w:p>
      <w:pPr>
        <w:ind w:left="2380" w:right="959" w:hanging="324"/>
        <w:spacing w:after="0" w:line="258" w:lineRule="auto"/>
        <w:tabs>
          <w:tab w:leader="none" w:pos="2380" w:val="left"/>
        </w:tabs>
        <w:numPr>
          <w:ilvl w:val="2"/>
          <w:numId w:val="2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Anything except shares of the surviving corporation or another publicly held corporation which at the effective date of the merger or share exchange are either listed on a national securities exchange or held of record by more than 2,000 shareholders, except for scrip or cash payments in lieu of fractional shares; or</w:t>
      </w:r>
    </w:p>
    <w:p>
      <w:pPr>
        <w:spacing w:after="0" w:line="114" w:lineRule="exact"/>
        <w:rPr>
          <w:rFonts w:ascii="Times New Roman" w:cs="Times New Roman" w:eastAsia="Times New Roman" w:hAnsi="Times New Roman"/>
          <w:sz w:val="16"/>
          <w:szCs w:val="16"/>
          <w:b w:val="1"/>
          <w:bCs w:val="1"/>
          <w:color w:val="auto"/>
        </w:rPr>
      </w:pPr>
    </w:p>
    <w:p>
      <w:pPr>
        <w:ind w:left="2380" w:right="919" w:hanging="324"/>
        <w:spacing w:after="0" w:line="256" w:lineRule="auto"/>
        <w:tabs>
          <w:tab w:leader="none" w:pos="2380" w:val="left"/>
        </w:tabs>
        <w:numPr>
          <w:ilvl w:val="2"/>
          <w:numId w:val="2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shares of the surviving corporation or another publicly held corporation which at the effective date of the merger or share exchange are either listed on a national securities exchange or held of record by more than 2,000 shareholders that are different, in type or exchange ratio per share, from the shares to be provided or offered to any other holder of shares of the same class or series of shares in exchange for such shares; or</w:t>
      </w:r>
    </w:p>
    <w:p>
      <w:pPr>
        <w:spacing w:after="0" w:line="114" w:lineRule="exact"/>
        <w:rPr>
          <w:rFonts w:ascii="Times New Roman" w:cs="Times New Roman" w:eastAsia="Times New Roman" w:hAnsi="Times New Roman"/>
          <w:sz w:val="16"/>
          <w:szCs w:val="16"/>
          <w:b w:val="1"/>
          <w:bCs w:val="1"/>
          <w:color w:val="auto"/>
        </w:rPr>
      </w:pPr>
    </w:p>
    <w:p>
      <w:pPr>
        <w:ind w:left="2060" w:right="1659" w:hanging="322"/>
        <w:spacing w:after="0" w:line="279" w:lineRule="auto"/>
        <w:tabs>
          <w:tab w:leader="none" w:pos="2060" w:val="left"/>
        </w:tabs>
        <w:numPr>
          <w:ilvl w:val="1"/>
          <w:numId w:val="2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articles of incorporation or a resolution of the board of directors approving the transaction provides otherwise.</w:t>
      </w:r>
    </w:p>
    <w:p>
      <w:pPr>
        <w:spacing w:after="0" w:line="2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92" w:name="page193"/>
    <w:bookmarkEnd w:id="19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14-2-1303. Dissent by nominees and beneficial owners.</w:t>
      </w:r>
    </w:p>
    <w:p>
      <w:pPr>
        <w:spacing w:after="0" w:line="140" w:lineRule="exact"/>
        <w:rPr>
          <w:sz w:val="20"/>
          <w:szCs w:val="20"/>
          <w:color w:val="auto"/>
        </w:rPr>
      </w:pPr>
    </w:p>
    <w:p>
      <w:pPr>
        <w:ind w:left="1100" w:right="959" w:firstLine="318"/>
        <w:spacing w:after="0" w:line="256" w:lineRule="auto"/>
        <w:rPr>
          <w:sz w:val="20"/>
          <w:szCs w:val="20"/>
          <w:color w:val="auto"/>
        </w:rPr>
      </w:pPr>
      <w:r>
        <w:rPr>
          <w:rFonts w:ascii="Times New Roman" w:cs="Times New Roman" w:eastAsia="Times New Roman" w:hAnsi="Times New Roman"/>
          <w:sz w:val="16"/>
          <w:szCs w:val="16"/>
          <w:color w:val="auto"/>
        </w:rPr>
        <w:t>A record shareholder may assert dissenters’ rights as to fewer than all the shares registered in his name only if he dissents with respect to all shares beneficially owned by any one beneficial shareholder and notifies the corporation in writing of the name and address of each person on whose behalf he asserts dissenters’ rights. The rights of a partial dissenter under this Code section are determined as if the shares as to which he dissents and his other shares were registered in the names of different shareholders.</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PART 2</w:t>
      </w:r>
    </w:p>
    <w:p>
      <w:pPr>
        <w:spacing w:after="0" w:line="2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Procedure for Exercise of Dissenters’ Rights</w:t>
      </w:r>
    </w:p>
    <w:p>
      <w:pPr>
        <w:spacing w:after="0" w:line="1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14-2-1320. Notice of dissenters’ rights.</w:t>
      </w:r>
    </w:p>
    <w:p>
      <w:pPr>
        <w:spacing w:after="0" w:line="140" w:lineRule="exact"/>
        <w:rPr>
          <w:sz w:val="20"/>
          <w:szCs w:val="20"/>
          <w:color w:val="auto"/>
        </w:rPr>
      </w:pPr>
    </w:p>
    <w:p>
      <w:pPr>
        <w:ind w:left="1420" w:right="959" w:hanging="317"/>
        <w:spacing w:after="0" w:line="263" w:lineRule="auto"/>
        <w:tabs>
          <w:tab w:leader="none" w:pos="1420" w:val="left"/>
        </w:tabs>
        <w:numPr>
          <w:ilvl w:val="0"/>
          <w:numId w:val="2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proposed corporate action creating dissenters’ rights under Code Section 14-2-1302 is submitted to a vote at a shareholders’ meeting, the meeting notice must state that shareholders are or may be entitled to assert dissenters’ rights under this article and be accompanied by a copy of this article.</w:t>
      </w:r>
    </w:p>
    <w:p>
      <w:pPr>
        <w:spacing w:after="0" w:line="86" w:lineRule="exact"/>
        <w:rPr>
          <w:rFonts w:ascii="Times New Roman" w:cs="Times New Roman" w:eastAsia="Times New Roman" w:hAnsi="Times New Roman"/>
          <w:sz w:val="16"/>
          <w:szCs w:val="16"/>
          <w:b w:val="1"/>
          <w:bCs w:val="1"/>
          <w:color w:val="auto"/>
        </w:rPr>
      </w:pPr>
    </w:p>
    <w:p>
      <w:pPr>
        <w:jc w:val="both"/>
        <w:ind w:left="1420" w:right="979" w:hanging="317"/>
        <w:spacing w:after="0" w:line="258" w:lineRule="auto"/>
        <w:tabs>
          <w:tab w:leader="none" w:pos="1420" w:val="left"/>
        </w:tabs>
        <w:numPr>
          <w:ilvl w:val="0"/>
          <w:numId w:val="2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corporate action creating dissenters’ rights under Code Section 14-2-1302 is taken without a vote of shareholders, the corporation shall notify in writing all shareholders entitled to assert dissenters’ rights that the action was taken and send them the dissenters’ notice described in Code Section 14-2-1322 no later than ten days after the corporate action was taken.</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14-2-1321. Notice of intent to demand payment.</w:t>
      </w:r>
    </w:p>
    <w:p>
      <w:pPr>
        <w:spacing w:after="0" w:line="140" w:lineRule="exact"/>
        <w:rPr>
          <w:sz w:val="20"/>
          <w:szCs w:val="20"/>
          <w:color w:val="auto"/>
        </w:rPr>
      </w:pPr>
    </w:p>
    <w:p>
      <w:pPr>
        <w:ind w:left="1420" w:right="959" w:hanging="317"/>
        <w:spacing w:after="0" w:line="279" w:lineRule="auto"/>
        <w:tabs>
          <w:tab w:leader="none" w:pos="1420" w:val="left"/>
        </w:tabs>
        <w:numPr>
          <w:ilvl w:val="0"/>
          <w:numId w:val="2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proposed corporate action creating dissenters’ rights under Code Section 14-2-1302 is submitted to a vote at a shareholders’ meeting, a record shareholder who wishes to assert dissenters’ rights:</w:t>
      </w:r>
    </w:p>
    <w:p>
      <w:pPr>
        <w:spacing w:after="0" w:line="84" w:lineRule="exact"/>
        <w:rPr>
          <w:rFonts w:ascii="Times New Roman" w:cs="Times New Roman" w:eastAsia="Times New Roman" w:hAnsi="Times New Roman"/>
          <w:sz w:val="16"/>
          <w:szCs w:val="16"/>
          <w:b w:val="1"/>
          <w:bCs w:val="1"/>
          <w:color w:val="auto"/>
        </w:rPr>
      </w:pPr>
    </w:p>
    <w:p>
      <w:pPr>
        <w:ind w:left="1740" w:right="1279" w:hanging="320"/>
        <w:spacing w:after="0" w:line="279" w:lineRule="auto"/>
        <w:tabs>
          <w:tab w:leader="none" w:pos="1740" w:val="left"/>
        </w:tabs>
        <w:numPr>
          <w:ilvl w:val="1"/>
          <w:numId w:val="2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Must deliver to the corporation before the vote is taken written notice of his intent to demand payment for his shares if the proposed action is effectuated; and</w:t>
      </w:r>
    </w:p>
    <w:p>
      <w:pPr>
        <w:spacing w:after="0" w:line="72" w:lineRule="exact"/>
        <w:rPr>
          <w:rFonts w:ascii="Times New Roman" w:cs="Times New Roman" w:eastAsia="Times New Roman" w:hAnsi="Times New Roman"/>
          <w:sz w:val="16"/>
          <w:szCs w:val="16"/>
          <w:b w:val="1"/>
          <w:bCs w:val="1"/>
          <w:color w:val="auto"/>
        </w:rPr>
      </w:pPr>
    </w:p>
    <w:p>
      <w:pPr>
        <w:ind w:left="1740" w:hanging="320"/>
        <w:spacing w:after="0"/>
        <w:tabs>
          <w:tab w:leader="none" w:pos="1740" w:val="left"/>
        </w:tabs>
        <w:numPr>
          <w:ilvl w:val="1"/>
          <w:numId w:val="2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Must not vote his shares in favor of the proposed action.</w:t>
      </w:r>
    </w:p>
    <w:p>
      <w:pPr>
        <w:spacing w:after="0" w:line="137" w:lineRule="exact"/>
        <w:rPr>
          <w:rFonts w:ascii="Times New Roman" w:cs="Times New Roman" w:eastAsia="Times New Roman" w:hAnsi="Times New Roman"/>
          <w:sz w:val="16"/>
          <w:szCs w:val="16"/>
          <w:b w:val="1"/>
          <w:bCs w:val="1"/>
          <w:color w:val="auto"/>
        </w:rPr>
      </w:pPr>
    </w:p>
    <w:p>
      <w:pPr>
        <w:ind w:left="1420" w:right="919" w:hanging="317"/>
        <w:spacing w:after="0" w:line="279" w:lineRule="auto"/>
        <w:tabs>
          <w:tab w:leader="none" w:pos="1420" w:val="left"/>
        </w:tabs>
        <w:numPr>
          <w:ilvl w:val="0"/>
          <w:numId w:val="2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record shareholder who does not satisfy the requirements of subsection (a) of this Code section is not entitled to payment for his shares under this article.</w:t>
      </w:r>
    </w:p>
    <w:p>
      <w:pPr>
        <w:spacing w:after="0" w:line="1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14-2-1322. Dissenters’ notice.</w:t>
      </w:r>
    </w:p>
    <w:p>
      <w:pPr>
        <w:spacing w:after="0" w:line="140" w:lineRule="exact"/>
        <w:rPr>
          <w:sz w:val="20"/>
          <w:szCs w:val="20"/>
          <w:color w:val="auto"/>
        </w:rPr>
      </w:pPr>
    </w:p>
    <w:p>
      <w:pPr>
        <w:jc w:val="both"/>
        <w:ind w:left="1420" w:right="919" w:hanging="317"/>
        <w:spacing w:after="0" w:line="263" w:lineRule="auto"/>
        <w:tabs>
          <w:tab w:leader="none" w:pos="1420" w:val="left"/>
        </w:tabs>
        <w:numPr>
          <w:ilvl w:val="0"/>
          <w:numId w:val="2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proposed corporate action creating dissenters’ rights under Code Section 14-2-1302 is authorized at a shareholders’ meeting, the corporation shall deliver a written dissenters’ notice to all shareholders who satisfied the requirements of Code Section 14-2-1321.</w:t>
      </w:r>
    </w:p>
    <w:p>
      <w:pPr>
        <w:spacing w:after="0" w:line="86" w:lineRule="exact"/>
        <w:rPr>
          <w:rFonts w:ascii="Times New Roman" w:cs="Times New Roman" w:eastAsia="Times New Roman" w:hAnsi="Times New Roman"/>
          <w:sz w:val="16"/>
          <w:szCs w:val="16"/>
          <w:b w:val="1"/>
          <w:bCs w:val="1"/>
          <w:color w:val="auto"/>
        </w:rPr>
      </w:pPr>
    </w:p>
    <w:p>
      <w:pPr>
        <w:ind w:left="1420" w:hanging="317"/>
        <w:spacing w:after="0"/>
        <w:tabs>
          <w:tab w:leader="none" w:pos="1420" w:val="left"/>
        </w:tabs>
        <w:numPr>
          <w:ilvl w:val="0"/>
          <w:numId w:val="2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dissenters’ notice must be sent no later than ten days after the corporate action was taken and must:</w:t>
      </w:r>
    </w:p>
    <w:p>
      <w:pPr>
        <w:spacing w:after="0" w:line="137" w:lineRule="exact"/>
        <w:rPr>
          <w:rFonts w:ascii="Times New Roman" w:cs="Times New Roman" w:eastAsia="Times New Roman" w:hAnsi="Times New Roman"/>
          <w:sz w:val="16"/>
          <w:szCs w:val="16"/>
          <w:b w:val="1"/>
          <w:bCs w:val="1"/>
          <w:color w:val="auto"/>
        </w:rPr>
      </w:pPr>
    </w:p>
    <w:p>
      <w:pPr>
        <w:ind w:left="1740" w:right="1199" w:hanging="320"/>
        <w:spacing w:after="0" w:line="279" w:lineRule="auto"/>
        <w:tabs>
          <w:tab w:leader="none" w:pos="1740" w:val="left"/>
        </w:tabs>
        <w:numPr>
          <w:ilvl w:val="1"/>
          <w:numId w:val="2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State where the payment demand must be sent and where and when certificates for certificated shares must be deposited;</w:t>
      </w:r>
    </w:p>
    <w:p>
      <w:pPr>
        <w:spacing w:after="0" w:line="84" w:lineRule="exact"/>
        <w:rPr>
          <w:rFonts w:ascii="Times New Roman" w:cs="Times New Roman" w:eastAsia="Times New Roman" w:hAnsi="Times New Roman"/>
          <w:sz w:val="16"/>
          <w:szCs w:val="16"/>
          <w:b w:val="1"/>
          <w:bCs w:val="1"/>
          <w:color w:val="auto"/>
        </w:rPr>
      </w:pPr>
    </w:p>
    <w:p>
      <w:pPr>
        <w:ind w:left="1740" w:right="959" w:hanging="320"/>
        <w:spacing w:after="0" w:line="279" w:lineRule="auto"/>
        <w:tabs>
          <w:tab w:leader="none" w:pos="1740" w:val="left"/>
        </w:tabs>
        <w:numPr>
          <w:ilvl w:val="1"/>
          <w:numId w:val="2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Inform holders of uncertificated shares to what extent transfer of the shares will be restricted after the payment demand is received;</w:t>
      </w:r>
    </w:p>
    <w:p>
      <w:pPr>
        <w:spacing w:after="0" w:line="72" w:lineRule="exact"/>
        <w:rPr>
          <w:rFonts w:ascii="Times New Roman" w:cs="Times New Roman" w:eastAsia="Times New Roman" w:hAnsi="Times New Roman"/>
          <w:sz w:val="16"/>
          <w:szCs w:val="16"/>
          <w:b w:val="1"/>
          <w:bCs w:val="1"/>
          <w:color w:val="auto"/>
        </w:rPr>
      </w:pPr>
    </w:p>
    <w:p>
      <w:pPr>
        <w:jc w:val="both"/>
        <w:ind w:left="1740" w:right="1239" w:hanging="320"/>
        <w:spacing w:after="0" w:line="263" w:lineRule="auto"/>
        <w:tabs>
          <w:tab w:leader="none" w:pos="1740" w:val="left"/>
        </w:tabs>
        <w:numPr>
          <w:ilvl w:val="1"/>
          <w:numId w:val="2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Set a date by which the corporation must receive the payment demand, which date may not be fewer than 30 nor more than 60 days after the date the notice required in subsection (a) of this Code section is delivered; and</w:t>
      </w:r>
    </w:p>
    <w:p>
      <w:pPr>
        <w:spacing w:after="0" w:line="97" w:lineRule="exact"/>
        <w:rPr>
          <w:rFonts w:ascii="Times New Roman" w:cs="Times New Roman" w:eastAsia="Times New Roman" w:hAnsi="Times New Roman"/>
          <w:sz w:val="16"/>
          <w:szCs w:val="16"/>
          <w:b w:val="1"/>
          <w:bCs w:val="1"/>
          <w:color w:val="auto"/>
        </w:rPr>
      </w:pPr>
    </w:p>
    <w:p>
      <w:pPr>
        <w:ind w:left="1740" w:hanging="320"/>
        <w:spacing w:after="0"/>
        <w:tabs>
          <w:tab w:leader="none" w:pos="1740" w:val="left"/>
        </w:tabs>
        <w:numPr>
          <w:ilvl w:val="1"/>
          <w:numId w:val="2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Be accompanied by a copy of this article.</w:t>
      </w:r>
    </w:p>
    <w:p>
      <w:pPr>
        <w:spacing w:after="0" w:line="1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14-2-1323. Duty to demand payment.</w:t>
      </w:r>
    </w:p>
    <w:p>
      <w:pPr>
        <w:spacing w:after="0" w:line="140" w:lineRule="exact"/>
        <w:rPr>
          <w:sz w:val="20"/>
          <w:szCs w:val="20"/>
          <w:color w:val="auto"/>
        </w:rPr>
      </w:pPr>
    </w:p>
    <w:p>
      <w:pPr>
        <w:ind w:left="1420" w:right="1339" w:hanging="317"/>
        <w:spacing w:after="0" w:line="279" w:lineRule="auto"/>
        <w:tabs>
          <w:tab w:leader="none" w:pos="1420" w:val="left"/>
        </w:tabs>
        <w:numPr>
          <w:ilvl w:val="0"/>
          <w:numId w:val="2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record shareholder sent a dissenters’ notice described in Code Section 14-2-1322 must demand payment and deposit his certificates in accordance with the terms of the notice.</w:t>
      </w:r>
    </w:p>
    <w:p>
      <w:pPr>
        <w:spacing w:after="0" w:line="2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93" w:name="page194"/>
    <w:bookmarkEnd w:id="19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959" w:hanging="317"/>
        <w:spacing w:after="0" w:line="263" w:lineRule="auto"/>
        <w:tabs>
          <w:tab w:leader="none" w:pos="1420" w:val="left"/>
        </w:tabs>
        <w:numPr>
          <w:ilvl w:val="0"/>
          <w:numId w:val="2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record shareholder who demands payment and deposits his shares under subsection (a) of this Code section retains all other rights of a shareholder until these rights are canceled or modified by the taking of the proposed corporate action.</w:t>
      </w:r>
    </w:p>
    <w:p>
      <w:pPr>
        <w:spacing w:after="0" w:line="97" w:lineRule="exact"/>
        <w:rPr>
          <w:rFonts w:ascii="Times New Roman" w:cs="Times New Roman" w:eastAsia="Times New Roman" w:hAnsi="Times New Roman"/>
          <w:sz w:val="16"/>
          <w:szCs w:val="16"/>
          <w:b w:val="1"/>
          <w:bCs w:val="1"/>
          <w:color w:val="auto"/>
        </w:rPr>
      </w:pPr>
    </w:p>
    <w:p>
      <w:pPr>
        <w:ind w:left="1420" w:right="959" w:hanging="317"/>
        <w:spacing w:after="0" w:line="279" w:lineRule="auto"/>
        <w:tabs>
          <w:tab w:leader="none" w:pos="1420" w:val="left"/>
        </w:tabs>
        <w:numPr>
          <w:ilvl w:val="0"/>
          <w:numId w:val="2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record shareholder who does not demand payment or deposit his share certificates where required, each by the date set in the dissenters’ notice, is not entitled to payment for his shares under this article.</w:t>
      </w:r>
    </w:p>
    <w:p>
      <w:pPr>
        <w:spacing w:after="0" w:line="1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14-2-1324. Share restrictions.</w:t>
      </w:r>
    </w:p>
    <w:p>
      <w:pPr>
        <w:spacing w:after="0" w:line="128" w:lineRule="exact"/>
        <w:rPr>
          <w:sz w:val="20"/>
          <w:szCs w:val="20"/>
          <w:color w:val="auto"/>
        </w:rPr>
      </w:pPr>
    </w:p>
    <w:p>
      <w:pPr>
        <w:ind w:left="1420" w:right="959" w:hanging="317"/>
        <w:spacing w:after="0" w:line="263" w:lineRule="auto"/>
        <w:tabs>
          <w:tab w:leader="none" w:pos="1420" w:val="left"/>
        </w:tabs>
        <w:numPr>
          <w:ilvl w:val="0"/>
          <w:numId w:val="2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corporation may restrict the transfer of uncertificated shares from the date the demand for their payment is received until the proposed corporate action is taken or the restrictions released under Code Section 14-2-1326.</w:t>
      </w:r>
    </w:p>
    <w:p>
      <w:pPr>
        <w:spacing w:after="0" w:line="97" w:lineRule="exact"/>
        <w:rPr>
          <w:rFonts w:ascii="Times New Roman" w:cs="Times New Roman" w:eastAsia="Times New Roman" w:hAnsi="Times New Roman"/>
          <w:sz w:val="16"/>
          <w:szCs w:val="16"/>
          <w:b w:val="1"/>
          <w:bCs w:val="1"/>
          <w:color w:val="auto"/>
        </w:rPr>
      </w:pPr>
    </w:p>
    <w:p>
      <w:pPr>
        <w:jc w:val="both"/>
        <w:ind w:left="1420" w:right="919" w:hanging="317"/>
        <w:spacing w:after="0" w:line="279" w:lineRule="auto"/>
        <w:tabs>
          <w:tab w:leader="none" w:pos="1420" w:val="left"/>
        </w:tabs>
        <w:numPr>
          <w:ilvl w:val="0"/>
          <w:numId w:val="2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person for whom dissenters’ rights are asserted as to uncertificated shares retains all other rights of a shareholder until these rights are canceled or modified by the taking of the proposed corporate action.</w:t>
      </w:r>
    </w:p>
    <w:p>
      <w:pPr>
        <w:spacing w:after="0" w:line="1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14-2-1325. Offer of payment.</w:t>
      </w:r>
    </w:p>
    <w:p>
      <w:pPr>
        <w:spacing w:after="0" w:line="128" w:lineRule="exact"/>
        <w:rPr>
          <w:sz w:val="20"/>
          <w:szCs w:val="20"/>
          <w:color w:val="auto"/>
        </w:rPr>
      </w:pPr>
    </w:p>
    <w:p>
      <w:pPr>
        <w:ind w:left="1420" w:right="1199" w:hanging="317"/>
        <w:spacing w:after="0" w:line="258" w:lineRule="auto"/>
        <w:tabs>
          <w:tab w:leader="none" w:pos="1420" w:val="left"/>
        </w:tabs>
        <w:numPr>
          <w:ilvl w:val="0"/>
          <w:numId w:val="2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Except as provided in Code Section 14-2-1327, within ten days of the later of the date the proposed corporate action is taken or receipt of a payment demand, the corporation shall by notice to each dissenter who complied with Code Section 14-2-1323 offer to pay to such dissenter the amount the corporation estimates to be the fair value of his or her shares, plus accrued interest.</w:t>
      </w:r>
    </w:p>
    <w:p>
      <w:pPr>
        <w:spacing w:after="0" w:line="102" w:lineRule="exact"/>
        <w:rPr>
          <w:rFonts w:ascii="Times New Roman" w:cs="Times New Roman" w:eastAsia="Times New Roman" w:hAnsi="Times New Roman"/>
          <w:sz w:val="16"/>
          <w:szCs w:val="16"/>
          <w:b w:val="1"/>
          <w:bCs w:val="1"/>
          <w:color w:val="auto"/>
        </w:rPr>
      </w:pPr>
    </w:p>
    <w:p>
      <w:pPr>
        <w:ind w:left="1420" w:hanging="317"/>
        <w:spacing w:after="0"/>
        <w:tabs>
          <w:tab w:leader="none" w:pos="1420" w:val="left"/>
        </w:tabs>
        <w:numPr>
          <w:ilvl w:val="0"/>
          <w:numId w:val="2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offer of payment must be accompanied by:</w:t>
      </w:r>
    </w:p>
    <w:p>
      <w:pPr>
        <w:spacing w:after="0" w:line="125" w:lineRule="exact"/>
        <w:rPr>
          <w:rFonts w:ascii="Times New Roman" w:cs="Times New Roman" w:eastAsia="Times New Roman" w:hAnsi="Times New Roman"/>
          <w:sz w:val="16"/>
          <w:szCs w:val="16"/>
          <w:b w:val="1"/>
          <w:bCs w:val="1"/>
          <w:color w:val="auto"/>
        </w:rPr>
      </w:pPr>
    </w:p>
    <w:p>
      <w:pPr>
        <w:ind w:left="1740" w:right="1279" w:hanging="320"/>
        <w:spacing w:after="0" w:line="263" w:lineRule="auto"/>
        <w:tabs>
          <w:tab w:leader="none" w:pos="1740" w:val="left"/>
        </w:tabs>
        <w:numPr>
          <w:ilvl w:val="1"/>
          <w:numId w:val="2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corporation’s balance sheet as of the end of a fiscal year ending not more than 16 months before the date of payment, an income statement for that year, a statement of changes in shareholders’ equity for that year, and the latest available interim financial statements, if any;</w:t>
      </w:r>
    </w:p>
    <w:p>
      <w:pPr>
        <w:spacing w:after="0" w:line="97" w:lineRule="exact"/>
        <w:rPr>
          <w:rFonts w:ascii="Times New Roman" w:cs="Times New Roman" w:eastAsia="Times New Roman" w:hAnsi="Times New Roman"/>
          <w:sz w:val="16"/>
          <w:szCs w:val="16"/>
          <w:b w:val="1"/>
          <w:bCs w:val="1"/>
          <w:color w:val="auto"/>
        </w:rPr>
      </w:pPr>
    </w:p>
    <w:p>
      <w:pPr>
        <w:ind w:left="1740" w:hanging="320"/>
        <w:spacing w:after="0"/>
        <w:tabs>
          <w:tab w:leader="none" w:pos="1740" w:val="left"/>
        </w:tabs>
        <w:numPr>
          <w:ilvl w:val="1"/>
          <w:numId w:val="2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statement of the corporation’s estimate of the fair value of the shares;</w:t>
      </w:r>
    </w:p>
    <w:p>
      <w:pPr>
        <w:spacing w:after="0" w:line="125" w:lineRule="exact"/>
        <w:rPr>
          <w:rFonts w:ascii="Times New Roman" w:cs="Times New Roman" w:eastAsia="Times New Roman" w:hAnsi="Times New Roman"/>
          <w:sz w:val="16"/>
          <w:szCs w:val="16"/>
          <w:b w:val="1"/>
          <w:bCs w:val="1"/>
          <w:color w:val="auto"/>
        </w:rPr>
      </w:pPr>
    </w:p>
    <w:p>
      <w:pPr>
        <w:ind w:left="1740" w:hanging="320"/>
        <w:spacing w:after="0"/>
        <w:tabs>
          <w:tab w:leader="none" w:pos="1740" w:val="left"/>
        </w:tabs>
        <w:numPr>
          <w:ilvl w:val="1"/>
          <w:numId w:val="2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 explanation of how the interest was calculated;</w:t>
      </w:r>
    </w:p>
    <w:p>
      <w:pPr>
        <w:spacing w:after="0" w:line="125" w:lineRule="exact"/>
        <w:rPr>
          <w:rFonts w:ascii="Times New Roman" w:cs="Times New Roman" w:eastAsia="Times New Roman" w:hAnsi="Times New Roman"/>
          <w:sz w:val="16"/>
          <w:szCs w:val="16"/>
          <w:b w:val="1"/>
          <w:bCs w:val="1"/>
          <w:color w:val="auto"/>
        </w:rPr>
      </w:pPr>
    </w:p>
    <w:p>
      <w:pPr>
        <w:ind w:left="1740" w:hanging="320"/>
        <w:spacing w:after="0"/>
        <w:tabs>
          <w:tab w:leader="none" w:pos="1740" w:val="left"/>
        </w:tabs>
        <w:numPr>
          <w:ilvl w:val="1"/>
          <w:numId w:val="2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statement of the dissenter’s right to demand payment under Code Section 14-2-1327; and</w:t>
      </w:r>
    </w:p>
    <w:p>
      <w:pPr>
        <w:spacing w:after="0" w:line="137" w:lineRule="exact"/>
        <w:rPr>
          <w:rFonts w:ascii="Times New Roman" w:cs="Times New Roman" w:eastAsia="Times New Roman" w:hAnsi="Times New Roman"/>
          <w:sz w:val="16"/>
          <w:szCs w:val="16"/>
          <w:b w:val="1"/>
          <w:bCs w:val="1"/>
          <w:color w:val="auto"/>
        </w:rPr>
      </w:pPr>
    </w:p>
    <w:p>
      <w:pPr>
        <w:ind w:left="1740" w:hanging="320"/>
        <w:spacing w:after="0"/>
        <w:tabs>
          <w:tab w:leader="none" w:pos="1740" w:val="left"/>
        </w:tabs>
        <w:numPr>
          <w:ilvl w:val="1"/>
          <w:numId w:val="2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copy of this article.</w:t>
      </w:r>
    </w:p>
    <w:p>
      <w:pPr>
        <w:spacing w:after="0" w:line="125" w:lineRule="exact"/>
        <w:rPr>
          <w:rFonts w:ascii="Times New Roman" w:cs="Times New Roman" w:eastAsia="Times New Roman" w:hAnsi="Times New Roman"/>
          <w:sz w:val="16"/>
          <w:szCs w:val="16"/>
          <w:b w:val="1"/>
          <w:bCs w:val="1"/>
          <w:color w:val="auto"/>
        </w:rPr>
      </w:pPr>
    </w:p>
    <w:p>
      <w:pPr>
        <w:ind w:left="1420" w:right="959" w:hanging="317"/>
        <w:spacing w:after="0" w:line="258" w:lineRule="auto"/>
        <w:tabs>
          <w:tab w:leader="none" w:pos="1420" w:val="left"/>
        </w:tabs>
        <w:numPr>
          <w:ilvl w:val="0"/>
          <w:numId w:val="2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shareholder accepts the corporation’s offer by written notice to the corporation within 30 days after the corporation’s offer or is deemed to have accepted such offer by failure to respond within said 30 days, payment for his or her shares shall be made within 60 days after the making of the offer or the taking of the proposed corporate action, whichever is later.</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14-2-1326. Failure to take action.</w:t>
      </w:r>
    </w:p>
    <w:p>
      <w:pPr>
        <w:spacing w:after="0" w:line="140" w:lineRule="exact"/>
        <w:rPr>
          <w:sz w:val="20"/>
          <w:szCs w:val="20"/>
          <w:color w:val="auto"/>
        </w:rPr>
      </w:pPr>
    </w:p>
    <w:p>
      <w:pPr>
        <w:jc w:val="both"/>
        <w:ind w:left="1420" w:right="1179" w:hanging="317"/>
        <w:spacing w:after="0" w:line="263" w:lineRule="auto"/>
        <w:tabs>
          <w:tab w:leader="none" w:pos="1420" w:val="left"/>
        </w:tabs>
        <w:numPr>
          <w:ilvl w:val="0"/>
          <w:numId w:val="2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corporation does not take the proposed action within 60 days after the date set for demanding payment and depositing share certificates, the corporation shall return the deposited certificates and release the transfer restrictions imposed on uncertificated shares.</w:t>
      </w:r>
    </w:p>
    <w:p>
      <w:pPr>
        <w:spacing w:after="0" w:line="86" w:lineRule="exact"/>
        <w:rPr>
          <w:rFonts w:ascii="Times New Roman" w:cs="Times New Roman" w:eastAsia="Times New Roman" w:hAnsi="Times New Roman"/>
          <w:sz w:val="16"/>
          <w:szCs w:val="16"/>
          <w:b w:val="1"/>
          <w:bCs w:val="1"/>
          <w:color w:val="auto"/>
        </w:rPr>
      </w:pPr>
    </w:p>
    <w:p>
      <w:pPr>
        <w:jc w:val="both"/>
        <w:ind w:left="1420" w:right="1179" w:hanging="317"/>
        <w:spacing w:after="0" w:line="263" w:lineRule="auto"/>
        <w:tabs>
          <w:tab w:leader="none" w:pos="1420" w:val="left"/>
        </w:tabs>
        <w:numPr>
          <w:ilvl w:val="0"/>
          <w:numId w:val="2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after returning deposited certificates and releasing transfer restrictions, the corporation takes the proposed action, it must send a new dissenters’ notice under Code Section 14-2-1322 and repeat the payment demand procedure.</w:t>
      </w:r>
    </w:p>
    <w:p>
      <w:pPr>
        <w:spacing w:after="0" w:line="1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14-2-1327. Procedure if shareholder dissatisfied with payment or offer.</w:t>
      </w:r>
    </w:p>
    <w:p>
      <w:pPr>
        <w:spacing w:after="0" w:line="140" w:lineRule="exact"/>
        <w:rPr>
          <w:sz w:val="20"/>
          <w:szCs w:val="20"/>
          <w:color w:val="auto"/>
        </w:rPr>
      </w:pPr>
    </w:p>
    <w:p>
      <w:pPr>
        <w:ind w:left="1420" w:right="939" w:hanging="317"/>
        <w:spacing w:after="0" w:line="263" w:lineRule="auto"/>
        <w:tabs>
          <w:tab w:leader="none" w:pos="1420" w:val="left"/>
        </w:tabs>
        <w:numPr>
          <w:ilvl w:val="0"/>
          <w:numId w:val="2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dissenter may notify the corporation in writing of his own estimate of the fair value of his shares and amount of interest due, and demand payment of his estimate of the fair value of his shares and interest due, if:</w:t>
      </w:r>
    </w:p>
    <w:p>
      <w:pPr>
        <w:spacing w:after="0" w:line="86" w:lineRule="exact"/>
        <w:rPr>
          <w:rFonts w:ascii="Times New Roman" w:cs="Times New Roman" w:eastAsia="Times New Roman" w:hAnsi="Times New Roman"/>
          <w:sz w:val="16"/>
          <w:szCs w:val="16"/>
          <w:b w:val="1"/>
          <w:bCs w:val="1"/>
          <w:color w:val="auto"/>
        </w:rPr>
      </w:pPr>
    </w:p>
    <w:p>
      <w:pPr>
        <w:ind w:left="1740" w:right="1039" w:hanging="320"/>
        <w:spacing w:after="0" w:line="279" w:lineRule="auto"/>
        <w:tabs>
          <w:tab w:leader="none" w:pos="1740" w:val="left"/>
        </w:tabs>
        <w:numPr>
          <w:ilvl w:val="1"/>
          <w:numId w:val="2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dissenter believes that the amount offered under Code Section 14-2-1325 is less than the fair value of his shares or that the interest due is incorrectly calculated; or</w:t>
      </w:r>
    </w:p>
    <w:p>
      <w:pPr>
        <w:spacing w:after="0" w:line="2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94" w:name="page195"/>
    <w:bookmarkEnd w:id="194"/>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740" w:right="1239" w:hanging="320"/>
        <w:spacing w:after="0" w:line="263" w:lineRule="auto"/>
        <w:tabs>
          <w:tab w:leader="none" w:pos="1740" w:val="left"/>
        </w:tabs>
        <w:numPr>
          <w:ilvl w:val="1"/>
          <w:numId w:val="2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corporation, having failed to take the proposed action, does not return the deposited certificates or release the transfer restrictions imposed on uncertificated shares within 60 days after the date set for demanding payment.</w:t>
      </w:r>
    </w:p>
    <w:p>
      <w:pPr>
        <w:spacing w:after="0" w:line="97" w:lineRule="exact"/>
        <w:rPr>
          <w:rFonts w:ascii="Times New Roman" w:cs="Times New Roman" w:eastAsia="Times New Roman" w:hAnsi="Times New Roman"/>
          <w:sz w:val="16"/>
          <w:szCs w:val="16"/>
          <w:b w:val="1"/>
          <w:bCs w:val="1"/>
          <w:color w:val="auto"/>
        </w:rPr>
      </w:pPr>
    </w:p>
    <w:p>
      <w:pPr>
        <w:ind w:left="1420" w:right="1019" w:hanging="317"/>
        <w:spacing w:after="0" w:line="258" w:lineRule="auto"/>
        <w:tabs>
          <w:tab w:leader="none" w:pos="1420" w:val="left"/>
        </w:tabs>
        <w:numPr>
          <w:ilvl w:val="0"/>
          <w:numId w:val="2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dissenter waives his or her right to demand payment under this Code section and is deemed to have accepted the corporation’s offer unless he or she notifies the corporation of his or her demand in writing under subsection (a) of this Code section within 30 days after the corporation offered payment for his or her shares, as provided in Code Section 14-2-1325.</w:t>
      </w:r>
    </w:p>
    <w:p>
      <w:pPr>
        <w:spacing w:after="0" w:line="90" w:lineRule="exact"/>
        <w:rPr>
          <w:rFonts w:ascii="Times New Roman" w:cs="Times New Roman" w:eastAsia="Times New Roman" w:hAnsi="Times New Roman"/>
          <w:sz w:val="16"/>
          <w:szCs w:val="16"/>
          <w:b w:val="1"/>
          <w:bCs w:val="1"/>
          <w:color w:val="auto"/>
        </w:rPr>
      </w:pPr>
    </w:p>
    <w:p>
      <w:pPr>
        <w:ind w:left="1420" w:hanging="317"/>
        <w:spacing w:after="0"/>
        <w:tabs>
          <w:tab w:leader="none" w:pos="1420" w:val="left"/>
        </w:tabs>
        <w:numPr>
          <w:ilvl w:val="0"/>
          <w:numId w:val="2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corporation does not offer payment within the time set forth in subsection (a) of Code Section 14-</w:t>
      </w:r>
    </w:p>
    <w:p>
      <w:pPr>
        <w:spacing w:after="0" w:line="23" w:lineRule="exact"/>
        <w:rPr>
          <w:rFonts w:ascii="Times New Roman" w:cs="Times New Roman" w:eastAsia="Times New Roman" w:hAnsi="Times New Roman"/>
          <w:sz w:val="16"/>
          <w:szCs w:val="16"/>
          <w:b w:val="1"/>
          <w:bCs w:val="1"/>
          <w:color w:val="auto"/>
        </w:rPr>
      </w:pPr>
    </w:p>
    <w:p>
      <w:pPr>
        <w:ind w:left="14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2-1325:</w:t>
      </w:r>
    </w:p>
    <w:p>
      <w:pPr>
        <w:spacing w:after="0" w:line="120" w:lineRule="exact"/>
        <w:rPr>
          <w:rFonts w:ascii="Times New Roman" w:cs="Times New Roman" w:eastAsia="Times New Roman" w:hAnsi="Times New Roman"/>
          <w:sz w:val="16"/>
          <w:szCs w:val="16"/>
          <w:b w:val="1"/>
          <w:bCs w:val="1"/>
          <w:color w:val="auto"/>
        </w:rPr>
      </w:pPr>
    </w:p>
    <w:p>
      <w:pPr>
        <w:ind w:left="1740" w:right="959" w:hanging="320"/>
        <w:spacing w:after="0" w:line="263" w:lineRule="auto"/>
        <w:tabs>
          <w:tab w:leader="none" w:pos="1740" w:val="left"/>
        </w:tabs>
        <w:numPr>
          <w:ilvl w:val="1"/>
          <w:numId w:val="2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shareholder may demand the information required under subsection (b) of Code Section 14-2-1325, and the corporation shall provide the information to the shareholder within ten days after receipt of a written demand for the information; and</w:t>
      </w:r>
    </w:p>
    <w:p>
      <w:pPr>
        <w:spacing w:after="0" w:line="86" w:lineRule="exact"/>
        <w:rPr>
          <w:rFonts w:ascii="Times New Roman" w:cs="Times New Roman" w:eastAsia="Times New Roman" w:hAnsi="Times New Roman"/>
          <w:sz w:val="16"/>
          <w:szCs w:val="16"/>
          <w:b w:val="1"/>
          <w:bCs w:val="1"/>
          <w:color w:val="auto"/>
        </w:rPr>
      </w:pPr>
    </w:p>
    <w:p>
      <w:pPr>
        <w:ind w:left="1740" w:right="939" w:hanging="320"/>
        <w:spacing w:after="0" w:line="263" w:lineRule="auto"/>
        <w:tabs>
          <w:tab w:leader="none" w:pos="1740" w:val="left"/>
        </w:tabs>
        <w:numPr>
          <w:ilvl w:val="1"/>
          <w:numId w:val="2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shareholder may at any time, subject to the limitations period of Code Section 14-2-1332, notify the corporation of his own estimate of the fair value of his shares and the amount of interest due and demand payment of his estimate of the fair value of his shares and interest due.</w:t>
      </w:r>
    </w:p>
    <w:p>
      <w:pPr>
        <w:spacing w:after="0" w:line="1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PART 3</w:t>
      </w:r>
    </w:p>
    <w:p>
      <w:pPr>
        <w:spacing w:after="0" w:line="2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Judicial Appraisal of Shares</w:t>
      </w:r>
    </w:p>
    <w:p>
      <w:pPr>
        <w:spacing w:after="0" w:line="16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14-2-1330. Court action.</w:t>
      </w:r>
    </w:p>
    <w:p>
      <w:pPr>
        <w:spacing w:after="0" w:line="140" w:lineRule="exact"/>
        <w:rPr>
          <w:sz w:val="20"/>
          <w:szCs w:val="20"/>
          <w:color w:val="auto"/>
        </w:rPr>
      </w:pPr>
    </w:p>
    <w:p>
      <w:pPr>
        <w:ind w:left="1420" w:right="1119" w:hanging="317"/>
        <w:spacing w:after="0" w:line="256" w:lineRule="auto"/>
        <w:tabs>
          <w:tab w:leader="none" w:pos="1420" w:val="left"/>
        </w:tabs>
        <w:numPr>
          <w:ilvl w:val="0"/>
          <w:numId w:val="2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a demand for payment under Code Section 14-2-1327 remains unsettled, the corporation shall commence a proceeding within 60 days after receiving the payment demand and petition the court to determine the fair value of the shares and accrued interest. If the corporation does not commence the proceeding within the 60 day period, it shall pay each dissenter whose demand remains unsettled the amount demanded.</w:t>
      </w:r>
    </w:p>
    <w:p>
      <w:pPr>
        <w:spacing w:after="0" w:line="90" w:lineRule="exact"/>
        <w:rPr>
          <w:rFonts w:ascii="Times New Roman" w:cs="Times New Roman" w:eastAsia="Times New Roman" w:hAnsi="Times New Roman"/>
          <w:sz w:val="16"/>
          <w:szCs w:val="16"/>
          <w:b w:val="1"/>
          <w:bCs w:val="1"/>
          <w:color w:val="auto"/>
        </w:rPr>
      </w:pPr>
    </w:p>
    <w:p>
      <w:pPr>
        <w:ind w:left="1420" w:right="999" w:hanging="317"/>
        <w:spacing w:after="0" w:line="256" w:lineRule="auto"/>
        <w:tabs>
          <w:tab w:leader="none" w:pos="1420" w:val="left"/>
        </w:tabs>
        <w:numPr>
          <w:ilvl w:val="0"/>
          <w:numId w:val="2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corporation shall commence the proceeding, which shall be a nonjury equitable valuation proceeding, in the superior court of the county where a corporation’s registered office is located. If the surviving corporation is a foreign corporation without a registered office in this state, it shall commence the proceeding in the county in this state where the registered office of the domestic corporation merged with or whose shares were acquired by the foreign corporation was located.</w:t>
      </w:r>
    </w:p>
    <w:p>
      <w:pPr>
        <w:spacing w:after="0" w:line="102" w:lineRule="exact"/>
        <w:rPr>
          <w:rFonts w:ascii="Times New Roman" w:cs="Times New Roman" w:eastAsia="Times New Roman" w:hAnsi="Times New Roman"/>
          <w:sz w:val="16"/>
          <w:szCs w:val="16"/>
          <w:b w:val="1"/>
          <w:bCs w:val="1"/>
          <w:color w:val="auto"/>
        </w:rPr>
      </w:pPr>
    </w:p>
    <w:p>
      <w:pPr>
        <w:ind w:left="1420" w:right="939" w:hanging="317"/>
        <w:spacing w:after="0" w:line="254" w:lineRule="auto"/>
        <w:tabs>
          <w:tab w:leader="none" w:pos="1420" w:val="left"/>
        </w:tabs>
        <w:numPr>
          <w:ilvl w:val="0"/>
          <w:numId w:val="2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corporation shall make all dissenters, whether or not residents of this state, whose demands remain unsettled parties to the proceeding, which shall have the effect of an action quasi in rem against their shares. The corporation shall serve a copy of the petition in the proceeding upon each dissenting shareholder who is a resident of this state in the manner provided by law for the service of a summons and complaint, and upon each nonresident dissenting shareholder either by registered or certified mail or statutory overnight delivery or by publication, or in any other manner permitted by law.</w:t>
      </w:r>
    </w:p>
    <w:p>
      <w:pPr>
        <w:spacing w:after="0" w:line="94" w:lineRule="exact"/>
        <w:rPr>
          <w:rFonts w:ascii="Times New Roman" w:cs="Times New Roman" w:eastAsia="Times New Roman" w:hAnsi="Times New Roman"/>
          <w:sz w:val="16"/>
          <w:szCs w:val="16"/>
          <w:b w:val="1"/>
          <w:bCs w:val="1"/>
          <w:color w:val="auto"/>
        </w:rPr>
      </w:pPr>
    </w:p>
    <w:p>
      <w:pPr>
        <w:ind w:left="1420" w:right="979" w:hanging="317"/>
        <w:spacing w:after="0" w:line="254" w:lineRule="auto"/>
        <w:tabs>
          <w:tab w:leader="none" w:pos="1420" w:val="left"/>
        </w:tabs>
        <w:numPr>
          <w:ilvl w:val="0"/>
          <w:numId w:val="2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jurisdiction of the court in which the proceeding is commenced under subsection (b) of this Code section is plenary and exclusive. The court may appoint one or more persons as appraisers to receive evidence and recommend decision on the question of fair value. The appraisers have the powers described in the order appointing them or in any amendment to it. Except as otherwise provided in this chapter, Chapter 11 of Title 9, known as the “Georgia Civil Practice Act,” applies to any proceeding with respect to dissenters’ rights under this chapter.</w:t>
      </w:r>
    </w:p>
    <w:p>
      <w:pPr>
        <w:spacing w:after="0" w:line="106" w:lineRule="exact"/>
        <w:rPr>
          <w:rFonts w:ascii="Times New Roman" w:cs="Times New Roman" w:eastAsia="Times New Roman" w:hAnsi="Times New Roman"/>
          <w:sz w:val="16"/>
          <w:szCs w:val="16"/>
          <w:b w:val="1"/>
          <w:bCs w:val="1"/>
          <w:color w:val="auto"/>
        </w:rPr>
      </w:pPr>
    </w:p>
    <w:p>
      <w:pPr>
        <w:ind w:left="1420" w:right="1119" w:hanging="317"/>
        <w:spacing w:after="0" w:line="279" w:lineRule="auto"/>
        <w:tabs>
          <w:tab w:leader="none" w:pos="1420" w:val="left"/>
        </w:tabs>
        <w:numPr>
          <w:ilvl w:val="0"/>
          <w:numId w:val="2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Each dissenter made a party to the proceeding is entitled to judgment for the amount which the court finds to be the fair value of his shares, plus interest to the date of judgment.</w:t>
      </w:r>
    </w:p>
    <w:p>
      <w:pPr>
        <w:spacing w:after="0" w:line="1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14-2-1331. Court costs and counsel fees.</w:t>
      </w:r>
    </w:p>
    <w:p>
      <w:pPr>
        <w:spacing w:after="0" w:line="140" w:lineRule="exact"/>
        <w:rPr>
          <w:sz w:val="20"/>
          <w:szCs w:val="20"/>
          <w:color w:val="auto"/>
        </w:rPr>
      </w:pPr>
    </w:p>
    <w:p>
      <w:pPr>
        <w:ind w:left="1420" w:right="1079" w:hanging="317"/>
        <w:spacing w:after="0" w:line="261" w:lineRule="auto"/>
        <w:tabs>
          <w:tab w:leader="none" w:pos="1420" w:val="left"/>
        </w:tabs>
        <w:numPr>
          <w:ilvl w:val="0"/>
          <w:numId w:val="2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court in an appraisal proceeding commenced under Code Section 14-2-1330 shall determine all costs of the proceeding, including the reasonable compensation and expenses of appraisers appointed by the court, but not including fees and expenses of attorneys and experts for the respective parties. The</w:t>
      </w:r>
    </w:p>
    <w:p>
      <w:pPr>
        <w:spacing w:after="0" w:line="200" w:lineRule="exact"/>
        <w:rPr>
          <w:sz w:val="20"/>
          <w:szCs w:val="20"/>
          <w:color w:val="auto"/>
        </w:rPr>
      </w:pPr>
    </w:p>
    <w:p>
      <w:pPr>
        <w:spacing w:after="0" w:line="30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95" w:name="page196"/>
    <w:bookmarkEnd w:id="19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20" w:right="899"/>
        <w:spacing w:after="0" w:line="261" w:lineRule="auto"/>
        <w:rPr>
          <w:sz w:val="20"/>
          <w:szCs w:val="20"/>
          <w:color w:val="auto"/>
        </w:rPr>
      </w:pPr>
      <w:r>
        <w:rPr>
          <w:rFonts w:ascii="Times New Roman" w:cs="Times New Roman" w:eastAsia="Times New Roman" w:hAnsi="Times New Roman"/>
          <w:sz w:val="16"/>
          <w:szCs w:val="16"/>
          <w:color w:val="auto"/>
        </w:rPr>
        <w:t>court shall assess the costs against the corporation, except that the court may assess the costs against all or some of the dissenters, in amounts the court finds equitable, to the extent the court finds the dissenters acted arbitrarily, vexatiously, or not in good faith in demanding payment under Code Section 14-2-1327.</w:t>
      </w:r>
    </w:p>
    <w:p>
      <w:pPr>
        <w:spacing w:after="0" w:line="293" w:lineRule="exact"/>
        <w:rPr>
          <w:sz w:val="20"/>
          <w:szCs w:val="20"/>
          <w:color w:val="auto"/>
        </w:rPr>
      </w:pPr>
    </w:p>
    <w:p>
      <w:pPr>
        <w:ind w:left="1420" w:right="1059" w:hanging="317"/>
        <w:spacing w:after="0" w:line="279" w:lineRule="auto"/>
        <w:tabs>
          <w:tab w:leader="none" w:pos="1420" w:val="left"/>
        </w:tabs>
        <w:numPr>
          <w:ilvl w:val="0"/>
          <w:numId w:val="2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court may also assess the fees and expenses of attorneys and experts for the respective parties, in amounts the court finds equitable:</w:t>
      </w:r>
    </w:p>
    <w:p>
      <w:pPr>
        <w:spacing w:after="0" w:line="84" w:lineRule="exact"/>
        <w:rPr>
          <w:rFonts w:ascii="Times New Roman" w:cs="Times New Roman" w:eastAsia="Times New Roman" w:hAnsi="Times New Roman"/>
          <w:sz w:val="16"/>
          <w:szCs w:val="16"/>
          <w:b w:val="1"/>
          <w:bCs w:val="1"/>
          <w:color w:val="auto"/>
        </w:rPr>
      </w:pPr>
    </w:p>
    <w:p>
      <w:pPr>
        <w:ind w:left="1740" w:right="939" w:hanging="320"/>
        <w:spacing w:after="0" w:line="279" w:lineRule="auto"/>
        <w:tabs>
          <w:tab w:leader="none" w:pos="1740" w:val="left"/>
        </w:tabs>
        <w:numPr>
          <w:ilvl w:val="1"/>
          <w:numId w:val="2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Against the corporation and in favor of any or all dissenters if the court finds the corporation did not substantially comply with the requirements of Code Sections 14-2-1320 through 14-2-1327; or</w:t>
      </w:r>
    </w:p>
    <w:p>
      <w:pPr>
        <w:spacing w:after="0" w:line="72" w:lineRule="exact"/>
        <w:rPr>
          <w:rFonts w:ascii="Times New Roman" w:cs="Times New Roman" w:eastAsia="Times New Roman" w:hAnsi="Times New Roman"/>
          <w:sz w:val="16"/>
          <w:szCs w:val="16"/>
          <w:b w:val="1"/>
          <w:bCs w:val="1"/>
          <w:color w:val="auto"/>
        </w:rPr>
      </w:pPr>
    </w:p>
    <w:p>
      <w:pPr>
        <w:ind w:left="1740" w:right="899" w:hanging="320"/>
        <w:spacing w:after="0" w:line="263" w:lineRule="auto"/>
        <w:tabs>
          <w:tab w:leader="none" w:pos="1740" w:val="left"/>
        </w:tabs>
        <w:numPr>
          <w:ilvl w:val="1"/>
          <w:numId w:val="2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Against either the corporation or a dissenter, in favor of any other party, if the court finds that the party against whom the fees and expenses are assessed acted arbitrarily, vexatiously, or not in good faith with respect to the rights provided by this article.</w:t>
      </w:r>
    </w:p>
    <w:p>
      <w:pPr>
        <w:spacing w:after="0" w:line="97" w:lineRule="exact"/>
        <w:rPr>
          <w:rFonts w:ascii="Times New Roman" w:cs="Times New Roman" w:eastAsia="Times New Roman" w:hAnsi="Times New Roman"/>
          <w:sz w:val="16"/>
          <w:szCs w:val="16"/>
          <w:b w:val="1"/>
          <w:bCs w:val="1"/>
          <w:color w:val="auto"/>
        </w:rPr>
      </w:pPr>
    </w:p>
    <w:p>
      <w:pPr>
        <w:ind w:left="1420" w:right="1219" w:hanging="317"/>
        <w:spacing w:after="0" w:line="258" w:lineRule="auto"/>
        <w:tabs>
          <w:tab w:leader="none" w:pos="1420" w:val="left"/>
        </w:tabs>
        <w:numPr>
          <w:ilvl w:val="0"/>
          <w:numId w:val="2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court finds that the services of attorneys for any dissenter were of substantial benefit to other dissenters similarly situated, and that the fees for those services should not be assessed against the corporation, the court may award to these attorneys reasonable fees to be paid out of the amounts awarded the dissenters who were benefited.</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14-2-1332. Limitation of actions.</w:t>
      </w:r>
    </w:p>
    <w:p>
      <w:pPr>
        <w:spacing w:after="0" w:line="140" w:lineRule="exact"/>
        <w:rPr>
          <w:sz w:val="20"/>
          <w:szCs w:val="20"/>
          <w:color w:val="auto"/>
        </w:rPr>
      </w:pPr>
    </w:p>
    <w:p>
      <w:pPr>
        <w:ind w:left="1100" w:right="959" w:firstLine="318"/>
        <w:spacing w:after="0" w:line="258" w:lineRule="auto"/>
        <w:rPr>
          <w:sz w:val="20"/>
          <w:szCs w:val="20"/>
          <w:color w:val="auto"/>
        </w:rPr>
      </w:pPr>
      <w:r>
        <w:rPr>
          <w:rFonts w:ascii="Times New Roman" w:cs="Times New Roman" w:eastAsia="Times New Roman" w:hAnsi="Times New Roman"/>
          <w:sz w:val="16"/>
          <w:szCs w:val="16"/>
          <w:color w:val="auto"/>
        </w:rPr>
        <w:t>No action by any dissenter to enforce dissenters’ rights shall be brought more than three years after the corporate action was taken, regardless of whether notice of the corporate action and of the right to dissent was given by the corporation in compliance with the provisions of Code Section 14-2-1320 and Code Section 14-2-1322.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96" w:name="page197"/>
    <w:bookmarkEnd w:id="19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auto"/>
        </w:rPr>
        <w:t>PART II: INFORMATION NOT REQUIRED IN PROSPECTUS</w:t>
      </w:r>
    </w:p>
    <w:p>
      <w:pPr>
        <w:spacing w:after="0" w:line="1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Item 20. Indemnification of Directors and Officers</w:t>
      </w:r>
    </w:p>
    <w:p>
      <w:pPr>
        <w:spacing w:after="0" w:line="140" w:lineRule="exact"/>
        <w:rPr>
          <w:sz w:val="20"/>
          <w:szCs w:val="20"/>
          <w:color w:val="auto"/>
        </w:rPr>
      </w:pPr>
    </w:p>
    <w:p>
      <w:pPr>
        <w:ind w:left="1100" w:right="939" w:firstLine="318"/>
        <w:spacing w:after="0" w:line="250" w:lineRule="auto"/>
        <w:rPr>
          <w:sz w:val="20"/>
          <w:szCs w:val="20"/>
          <w:color w:val="auto"/>
        </w:rPr>
      </w:pPr>
      <w:r>
        <w:rPr>
          <w:rFonts w:ascii="Times New Roman" w:cs="Times New Roman" w:eastAsia="Times New Roman" w:hAnsi="Times New Roman"/>
          <w:sz w:val="16"/>
          <w:szCs w:val="16"/>
          <w:color w:val="auto"/>
        </w:rPr>
        <w:t>United’s articles of incorporation, as amended, provide that no director of United shall be personally liable to United or its shareholders for breach of his or her duty of care or other duty as a director, but only to the extent permitted from time to time by the Georgia Business Corporation Code. United’s bylaws require it to indemnify its directors, officers, employees, and agents against judgments, fines, penalties, amounts paid in settlement, and expenses, including attorneys’ fees, resulting from various types of legal actions or proceedings instituted by third parties if the actions of the director, officer, employee, or agent being indemnified meet the standards of conduct specified therein. In addition, United’s bylaws require it to indemnify its directors, officers, employees, and agents for expenses actually and reasonably incurred in connection with legal actions or proceedings instituted by or in the right of United to procure a judgment in its favor, if the actions of the director, officer, employee, or agent being indemnified meet the standards of conduct set forth therein. However, United will not indemnify a director, officer, employee, or agent for such expenses if such person is adjudged liable to United, unless so ordered by the court in which the legal action or proceeding is brought. A determination concerning whether or not the applicable standard of conduct has been met by a director, officer, employee, or agent seeking indemnification must be made by</w:t>
      </w:r>
    </w:p>
    <w:p>
      <w:pPr>
        <w:spacing w:after="0" w:line="2" w:lineRule="exact"/>
        <w:rPr>
          <w:sz w:val="20"/>
          <w:szCs w:val="20"/>
          <w:color w:val="auto"/>
        </w:rPr>
      </w:pPr>
    </w:p>
    <w:p>
      <w:pPr>
        <w:ind w:left="1100" w:right="899" w:firstLine="3"/>
        <w:spacing w:after="0" w:line="249" w:lineRule="auto"/>
        <w:tabs>
          <w:tab w:leader="none" w:pos="1337"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disinterested majority of the board of directors of United, (2) United’s legal counsel, if a quorum of disinterested directors is not obtainable or if the disinterested directors so order, or (3) an affirmative vote of a majority of shares held by the shareholders. No indemnification may be made to or on behalf of a director, officer, employee, or agent in connection with any other proceeding in which such person was adjudged liable on the basis that personal benefit was improperly received by him or her. As provided under Georgia law, the liability of a director may not be eliminated or limited (1) for any appropriation, in violation of his duties, of any business opportunity of United, (2) for acts or omissions which involve intentional misconduct or a knowing violation of law, (3) for unlawful corporate distributions, or (4) for any transaction from which the director received an improper benefit. Insofar as indemnification for liabilities arising under the Securities Act of 1933 may be permitted to United’s directors, officers and controlling persons pursuant to the foregoing provisions, or otherwise, United has been advised that in the opinion of the SEC, such indemnification is against public policy as expressed in the Securities Act of 1933 and is, therefore, unenforceable. United’s directors and officers are insured against losses arising from any claim against them as such for wrongful acts or omission, subject to certain limitations.</w:t>
      </w:r>
    </w:p>
    <w:p>
      <w:pPr>
        <w:spacing w:after="0" w:line="1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Item 21. Exhibits and Financial Statement Schedules</w:t>
      </w:r>
    </w:p>
    <w:p>
      <w:pPr>
        <w:spacing w:after="0" w:line="1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Exhibit Index</w:t>
      </w:r>
    </w:p>
    <w:p>
      <w:pPr>
        <w:sectPr>
          <w:pgSz w:w="11900" w:h="16838" w:orient="portrait"/>
          <w:cols w:equalWidth="0" w:num="1">
            <w:col w:w="9239"/>
          </w:cols>
          <w:pgMar w:left="1220" w:top="94" w:right="1440" w:bottom="1440" w:gutter="0" w:footer="0" w:header="0"/>
        </w:sectPr>
      </w:pPr>
    </w:p>
    <w:p>
      <w:pPr>
        <w:spacing w:after="0" w:line="17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3"/>
          <w:szCs w:val="13"/>
          <w:b w:val="1"/>
          <w:bCs w:val="1"/>
          <w:color w:val="auto"/>
        </w:rPr>
        <w:t>Exhibit</w:t>
      </w:r>
    </w:p>
    <w:p>
      <w:pPr>
        <w:ind w:left="1100"/>
        <w:spacing w:after="0"/>
        <w:tabs>
          <w:tab w:leader="none" w:pos="4720" w:val="left"/>
        </w:tabs>
        <w:rPr>
          <w:sz w:val="20"/>
          <w:szCs w:val="20"/>
          <w:color w:val="auto"/>
        </w:rPr>
      </w:pPr>
      <w:r>
        <w:rPr>
          <w:rFonts w:ascii="Times New Roman" w:cs="Times New Roman" w:eastAsia="Times New Roman" w:hAnsi="Times New Roman"/>
          <w:sz w:val="11"/>
          <w:szCs w:val="11"/>
          <w:b w:val="1"/>
          <w:bCs w:val="1"/>
          <w:color w:val="auto"/>
        </w:rPr>
        <w:t xml:space="preserve">Number </w:t>
      </w:r>
      <w:r>
        <w:rPr>
          <w:rFonts w:ascii="Times New Roman" w:cs="Times New Roman" w:eastAsia="Times New Roman" w:hAnsi="Times New Roman"/>
          <w:sz w:val="21"/>
          <w:szCs w:val="21"/>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-635</wp:posOffset>
            </wp:positionV>
            <wp:extent cx="4591685"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4591685" cy="7620"/>
                    </a:xfrm>
                    <a:prstGeom prst="rect">
                      <a:avLst/>
                    </a:prstGeom>
                    <a:noFill/>
                  </pic:spPr>
                </pic:pic>
              </a:graphicData>
            </a:graphic>
          </wp:anchor>
        </w:drawing>
      </w:r>
    </w:p>
    <w:p>
      <w:pPr>
        <w:ind w:left="1760" w:right="160" w:hanging="495"/>
        <w:spacing w:after="0" w:line="270" w:lineRule="auto"/>
        <w:rPr>
          <w:sz w:val="20"/>
          <w:szCs w:val="20"/>
          <w:color w:val="auto"/>
        </w:rPr>
      </w:pPr>
      <w:r>
        <w:rPr>
          <w:rFonts w:ascii="Times New Roman" w:cs="Times New Roman" w:eastAsia="Times New Roman" w:hAnsi="Times New Roman"/>
          <w:sz w:val="16"/>
          <w:szCs w:val="16"/>
          <w:color w:val="auto"/>
        </w:rPr>
        <w:t xml:space="preserve">2.1# ​ ​ </w:t>
      </w:r>
      <w:r>
        <w:rPr>
          <w:rFonts w:ascii="Times New Roman" w:cs="Times New Roman" w:eastAsia="Times New Roman" w:hAnsi="Times New Roman"/>
          <w:sz w:val="16"/>
          <w:szCs w:val="16"/>
          <w:u w:val="single" w:color="auto"/>
          <w:color w:val="0000EE"/>
        </w:rPr>
        <w:t>Agreement and Plan of Merger, dated as of April 20, 2026, by and between United Community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Banks, Inc. and Peach State Bancshares, Inc.</w:t>
      </w:r>
    </w:p>
    <w:p>
      <w:pPr>
        <w:spacing w:after="0" w:line="1" w:lineRule="exact"/>
        <w:rPr>
          <w:sz w:val="20"/>
          <w:szCs w:val="20"/>
          <w:color w:val="auto"/>
        </w:rPr>
      </w:pPr>
    </w:p>
    <w:p>
      <w:pPr>
        <w:ind w:left="1760" w:right="80" w:hanging="495"/>
        <w:spacing w:after="0" w:line="260" w:lineRule="auto"/>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 xml:space="preserve">3.1 ​ ​ </w:t>
      </w:r>
      <w:hyperlink r:id="rId423">
        <w:r>
          <w:rPr>
            <w:rFonts w:ascii="Times New Roman" w:cs="Times New Roman" w:eastAsia="Times New Roman" w:hAnsi="Times New Roman"/>
            <w:sz w:val="16"/>
            <w:szCs w:val="16"/>
            <w:u w:val="single" w:color="auto"/>
            <w:color w:val="0000EE"/>
          </w:rPr>
          <w:t>Restated Articles of Incorporation of United Community Banks, Inc., as amended through</w:t>
        </w:r>
      </w:hyperlink>
      <w:r>
        <w:rPr>
          <w:rFonts w:ascii="Times New Roman" w:cs="Times New Roman" w:eastAsia="Times New Roman" w:hAnsi="Times New Roman"/>
          <w:sz w:val="16"/>
          <w:szCs w:val="16"/>
          <w:color w:val="auto"/>
        </w:rPr>
        <w:t xml:space="preserve"> </w:t>
      </w:r>
      <w:hyperlink r:id="rId423">
        <w:r>
          <w:rPr>
            <w:rFonts w:ascii="Times New Roman" w:cs="Times New Roman" w:eastAsia="Times New Roman" w:hAnsi="Times New Roman"/>
            <w:sz w:val="16"/>
            <w:szCs w:val="16"/>
            <w:u w:val="single" w:color="auto"/>
            <w:color w:val="0000EE"/>
          </w:rPr>
          <w:t>August 13, 2021 (incorporated by reference to Exhibit 3.1 to United Community Banks, Inc.’s</w:t>
        </w:r>
      </w:hyperlink>
      <w:r>
        <w:rPr>
          <w:rFonts w:ascii="Times New Roman" w:cs="Times New Roman" w:eastAsia="Times New Roman" w:hAnsi="Times New Roman"/>
          <w:sz w:val="16"/>
          <w:szCs w:val="16"/>
          <w:u w:val="single" w:color="auto"/>
          <w:color w:val="0000EE"/>
        </w:rPr>
        <w:t xml:space="preserve"> </w:t>
      </w:r>
      <w:hyperlink r:id="rId423">
        <w:r>
          <w:rPr>
            <w:rFonts w:ascii="Times New Roman" w:cs="Times New Roman" w:eastAsia="Times New Roman" w:hAnsi="Times New Roman"/>
            <w:sz w:val="16"/>
            <w:szCs w:val="16"/>
            <w:u w:val="single" w:color="auto"/>
            <w:color w:val="0000EE"/>
          </w:rPr>
          <w:t>Quarterly Report on Form 10-Q for the period ended September 30, 2021, filed with the SEC on</w:t>
        </w:r>
      </w:hyperlink>
      <w:r>
        <w:rPr>
          <w:rFonts w:ascii="Times New Roman" w:cs="Times New Roman" w:eastAsia="Times New Roman" w:hAnsi="Times New Roman"/>
          <w:sz w:val="16"/>
          <w:szCs w:val="16"/>
          <w:u w:val="single" w:color="auto"/>
          <w:color w:val="0000EE"/>
        </w:rPr>
        <w:t xml:space="preserve"> </w:t>
      </w:r>
      <w:hyperlink r:id="rId423">
        <w:r>
          <w:rPr>
            <w:rFonts w:ascii="Times New Roman" w:cs="Times New Roman" w:eastAsia="Times New Roman" w:hAnsi="Times New Roman"/>
            <w:sz w:val="16"/>
            <w:szCs w:val="16"/>
            <w:u w:val="single" w:color="auto"/>
            <w:color w:val="0000EE"/>
          </w:rPr>
          <w:t>November 5, 2021).</w:t>
        </w:r>
      </w:hyperlink>
    </w:p>
    <w:p>
      <w:pPr>
        <w:spacing w:after="0" w:line="1" w:lineRule="exact"/>
        <w:rPr>
          <w:rFonts w:ascii="Times New Roman" w:cs="Times New Roman" w:eastAsia="Times New Roman" w:hAnsi="Times New Roman"/>
          <w:sz w:val="16"/>
          <w:szCs w:val="16"/>
          <w:u w:val="single" w:color="auto"/>
          <w:color w:val="0000EE"/>
        </w:rPr>
      </w:pPr>
    </w:p>
    <w:p>
      <w:pPr>
        <w:jc w:val="both"/>
        <w:ind w:left="1760" w:right="100" w:hanging="495"/>
        <w:spacing w:after="0" w:line="264" w:lineRule="auto"/>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 xml:space="preserve">3.2 ​ ​ </w:t>
      </w:r>
      <w:hyperlink r:id="rId424">
        <w:r>
          <w:rPr>
            <w:rFonts w:ascii="Times New Roman" w:cs="Times New Roman" w:eastAsia="Times New Roman" w:hAnsi="Times New Roman"/>
            <w:sz w:val="16"/>
            <w:szCs w:val="16"/>
            <w:u w:val="single" w:color="auto"/>
            <w:color w:val="0000EE"/>
          </w:rPr>
          <w:t>Amended and Restated Bylaws of United Community Banks, Inc., as amended (incorporated by</w:t>
        </w:r>
      </w:hyperlink>
      <w:r>
        <w:rPr>
          <w:rFonts w:ascii="Times New Roman" w:cs="Times New Roman" w:eastAsia="Times New Roman" w:hAnsi="Times New Roman"/>
          <w:sz w:val="16"/>
          <w:szCs w:val="16"/>
          <w:color w:val="auto"/>
        </w:rPr>
        <w:t xml:space="preserve"> </w:t>
      </w:r>
      <w:hyperlink r:id="rId424">
        <w:r>
          <w:rPr>
            <w:rFonts w:ascii="Times New Roman" w:cs="Times New Roman" w:eastAsia="Times New Roman" w:hAnsi="Times New Roman"/>
            <w:sz w:val="16"/>
            <w:szCs w:val="16"/>
            <w:u w:val="single" w:color="auto"/>
            <w:color w:val="0000EE"/>
          </w:rPr>
          <w:t>reference to Exhibit 3.2 to United Community Banks, Inc.’s Quarterly Report on Form 10-Q for</w:t>
        </w:r>
      </w:hyperlink>
      <w:r>
        <w:rPr>
          <w:rFonts w:ascii="Times New Roman" w:cs="Times New Roman" w:eastAsia="Times New Roman" w:hAnsi="Times New Roman"/>
          <w:sz w:val="16"/>
          <w:szCs w:val="16"/>
          <w:u w:val="single" w:color="auto"/>
          <w:color w:val="0000EE"/>
        </w:rPr>
        <w:t xml:space="preserve"> </w:t>
      </w:r>
      <w:hyperlink r:id="rId424">
        <w:r>
          <w:rPr>
            <w:rFonts w:ascii="Times New Roman" w:cs="Times New Roman" w:eastAsia="Times New Roman" w:hAnsi="Times New Roman"/>
            <w:sz w:val="16"/>
            <w:szCs w:val="16"/>
            <w:u w:val="single" w:color="auto"/>
            <w:color w:val="0000EE"/>
          </w:rPr>
          <w:t>the period ended March 31, 2015, filed with the SEC on May 11, 2015).</w:t>
        </w:r>
      </w:hyperlink>
    </w:p>
    <w:p>
      <w:pPr>
        <w:jc w:val="both"/>
        <w:ind w:left="1760" w:hanging="495"/>
        <w:spacing w:after="0" w:line="264" w:lineRule="auto"/>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 xml:space="preserve">4.1 ​ ​ </w:t>
      </w:r>
      <w:hyperlink r:id="rId277">
        <w:r>
          <w:rPr>
            <w:rFonts w:ascii="Times New Roman" w:cs="Times New Roman" w:eastAsia="Times New Roman" w:hAnsi="Times New Roman"/>
            <w:sz w:val="16"/>
            <w:szCs w:val="16"/>
            <w:u w:val="single" w:color="auto"/>
            <w:color w:val="0000EE"/>
          </w:rPr>
          <w:t>Description of Registrant’s Common Stock, $1.00 par value (incorporated herein by reference to</w:t>
        </w:r>
      </w:hyperlink>
      <w:r>
        <w:rPr>
          <w:rFonts w:ascii="Times New Roman" w:cs="Times New Roman" w:eastAsia="Times New Roman" w:hAnsi="Times New Roman"/>
          <w:sz w:val="16"/>
          <w:szCs w:val="16"/>
          <w:color w:val="auto"/>
        </w:rPr>
        <w:t xml:space="preserve"> </w:t>
      </w:r>
      <w:hyperlink r:id="rId277">
        <w:r>
          <w:rPr>
            <w:rFonts w:ascii="Times New Roman" w:cs="Times New Roman" w:eastAsia="Times New Roman" w:hAnsi="Times New Roman"/>
            <w:sz w:val="16"/>
            <w:szCs w:val="16"/>
            <w:u w:val="single" w:color="auto"/>
            <w:color w:val="0000EE"/>
          </w:rPr>
          <w:t>Exhibit 4.1 to United Community Banks, Inc.’s Annual Report on Form 10-K, filed with the SEC</w:t>
        </w:r>
      </w:hyperlink>
      <w:r>
        <w:rPr>
          <w:rFonts w:ascii="Times New Roman" w:cs="Times New Roman" w:eastAsia="Times New Roman" w:hAnsi="Times New Roman"/>
          <w:sz w:val="16"/>
          <w:szCs w:val="16"/>
          <w:u w:val="single" w:color="auto"/>
          <w:color w:val="0000EE"/>
        </w:rPr>
        <w:t xml:space="preserve"> </w:t>
      </w:r>
      <w:hyperlink r:id="rId277">
        <w:r>
          <w:rPr>
            <w:rFonts w:ascii="Times New Roman" w:cs="Times New Roman" w:eastAsia="Times New Roman" w:hAnsi="Times New Roman"/>
            <w:sz w:val="16"/>
            <w:szCs w:val="16"/>
            <w:u w:val="single" w:color="auto"/>
            <w:color w:val="0000EE"/>
          </w:rPr>
          <w:t>on February 27, 2025).</w:t>
        </w:r>
      </w:hyperlink>
    </w:p>
    <w:p>
      <w:pPr>
        <w:jc w:val="both"/>
        <w:ind w:left="1760" w:right="20" w:hanging="495"/>
        <w:spacing w:after="0" w:line="271" w:lineRule="auto"/>
        <w:rPr>
          <w:sz w:val="20"/>
          <w:szCs w:val="20"/>
          <w:color w:val="auto"/>
        </w:rPr>
      </w:pPr>
      <w:r>
        <w:rPr>
          <w:rFonts w:ascii="Times New Roman" w:cs="Times New Roman" w:eastAsia="Times New Roman" w:hAnsi="Times New Roman"/>
          <w:sz w:val="16"/>
          <w:szCs w:val="16"/>
          <w:color w:val="auto"/>
        </w:rPr>
        <w:t>4.2 ​ ​ United Community Banks, Inc. will furnish, upon request, copies of all instruments defining the rights of holders of long-term debt instruments of the registrant and its consolidated subsidiaries.</w:t>
      </w:r>
    </w:p>
    <w:p>
      <w:pPr>
        <w:spacing w:after="0" w:line="1" w:lineRule="exact"/>
        <w:rPr>
          <w:rFonts w:ascii="Times New Roman" w:cs="Times New Roman" w:eastAsia="Times New Roman" w:hAnsi="Times New Roman"/>
          <w:sz w:val="16"/>
          <w:szCs w:val="16"/>
          <w:color w:val="auto"/>
        </w:rPr>
      </w:pPr>
    </w:p>
    <w:p>
      <w:pPr>
        <w:ind w:left="1260"/>
        <w:spacing w:after="0"/>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Opinion of Squire Patton Boggs (US) LLP.</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317"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18"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26"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1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spacing w:after="0" w:line="22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spacing w:after="0" w:line="22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33"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77" w:lineRule="exact"/>
        <w:rPr>
          <w:rFonts w:ascii="Times New Roman" w:cs="Times New Roman" w:eastAsia="Times New Roman" w:hAnsi="Times New Roman"/>
          <w:sz w:val="16"/>
          <w:szCs w:val="16"/>
          <w:color w:val="auto"/>
        </w:rPr>
      </w:pPr>
    </w:p>
    <w:p>
      <w:pPr>
        <w:sectPr>
          <w:pgSz w:w="11900" w:h="16838" w:orient="portrait"/>
          <w:cols w:equalWidth="0" w:num="2">
            <w:col w:w="8240" w:space="100"/>
            <w:col w:w="899"/>
          </w:cols>
          <w:pgMar w:left="1220" w:top="94" w:right="1440" w:bottom="1440" w:gutter="0" w:footer="0" w:header="0"/>
          <w:type w:val="continuous"/>
        </w:sectPr>
      </w:pPr>
    </w:p>
    <w:p>
      <w:pPr>
        <w:spacing w:after="0" w:line="34" w:lineRule="exact"/>
        <w:rPr>
          <w:rFonts w:ascii="Times New Roman" w:cs="Times New Roman" w:eastAsia="Times New Roman" w:hAnsi="Times New Roman"/>
          <w:sz w:val="16"/>
          <w:szCs w:val="16"/>
          <w:color w:val="auto"/>
        </w:rPr>
      </w:pPr>
    </w:p>
    <w:p>
      <w:pPr>
        <w:jc w:val="center"/>
        <w:ind w:right="-160"/>
        <w:spacing w:after="0"/>
        <w:rPr>
          <w:sz w:val="20"/>
          <w:szCs w:val="20"/>
          <w:color w:val="auto"/>
        </w:rPr>
      </w:pPr>
      <w:r>
        <w:rPr>
          <w:rFonts w:ascii="Times New Roman" w:cs="Times New Roman" w:eastAsia="Times New Roman" w:hAnsi="Times New Roman"/>
          <w:sz w:val="15"/>
          <w:szCs w:val="15"/>
          <w:color w:val="auto"/>
        </w:rPr>
        <w:t>II-1</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-11430</wp:posOffset>
            </wp:positionH>
            <wp:positionV relativeFrom="paragraph">
              <wp:posOffset>228600</wp:posOffset>
            </wp:positionV>
            <wp:extent cx="6024245" cy="406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3"/>
          <w:szCs w:val="13"/>
          <w:b w:val="1"/>
          <w:bCs w:val="1"/>
          <w:color w:val="auto"/>
        </w:rPr>
        <w:t>Exhibit</w:t>
      </w:r>
    </w:p>
    <w:p>
      <w:pPr>
        <w:jc w:val="right"/>
        <w:ind w:right="879"/>
        <w:spacing w:after="0" w:line="182" w:lineRule="auto"/>
        <w:tabs>
          <w:tab w:leader="none" w:pos="3600" w:val="left"/>
        </w:tabs>
        <w:rPr>
          <w:sz w:val="20"/>
          <w:szCs w:val="20"/>
          <w:color w:val="auto"/>
        </w:rPr>
      </w:pPr>
      <w:r>
        <w:rPr>
          <w:rFonts w:ascii="Times New Roman" w:cs="Times New Roman" w:eastAsia="Times New Roman" w:hAnsi="Times New Roman"/>
          <w:sz w:val="11"/>
          <w:szCs w:val="11"/>
          <w:b w:val="1"/>
          <w:bCs w:val="1"/>
          <w:color w:val="auto"/>
        </w:rPr>
        <w:t xml:space="preserve">Number </w:t>
      </w:r>
      <w:r>
        <w:rPr>
          <w:rFonts w:ascii="Times New Roman" w:cs="Times New Roman" w:eastAsia="Times New Roman" w:hAnsi="Times New Roman"/>
          <w:sz w:val="21"/>
          <w:szCs w:val="21"/>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Description</w:t>
      </w:r>
      <w:r>
        <w:rPr>
          <w:sz w:val="20"/>
          <w:szCs w:val="20"/>
          <w:color w:val="auto"/>
        </w:rPr>
        <w:t xml:space="preserve"> </w:t>
      </w:r>
      <w:r>
        <w:rPr>
          <w:rFonts w:ascii="Times New Roman" w:cs="Times New Roman" w:eastAsia="Times New Roman" w:hAnsi="Times New Roman"/>
          <w:sz w:val="21"/>
          <w:szCs w:val="2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0</wp:posOffset>
            </wp:positionV>
            <wp:extent cx="4591685"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6">
                      <a:extLst>
                        <a:ext uri="{28A0092B-C50C-407E-A947-70E740481C1C}"/>
                      </a:extLst>
                    </a:blip>
                    <a:srcRect/>
                    <a:stretch>
                      <a:fillRect/>
                    </a:stretch>
                  </pic:blipFill>
                  <pic:spPr bwMode="auto">
                    <a:xfrm>
                      <a:off x="0" y="0"/>
                      <a:ext cx="4591685" cy="762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p>
      <w:pPr>
        <w:ind w:left="1260"/>
        <w:spacing w:after="0" w:line="182" w:lineRule="auto"/>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Opinion of Wachtell, Lipton, Rosen &amp; Katz regarding certain tax matters.</w:t>
      </w:r>
    </w:p>
    <w:p>
      <w:pPr>
        <w:ind w:left="1260"/>
        <w:spacing w:after="0" w:line="184" w:lineRule="auto"/>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Opinion of Alston &amp; Bird LLP regarding certain tax matters.</w:t>
      </w:r>
    </w:p>
    <w:p>
      <w:pPr>
        <w:ind w:left="1760" w:hanging="575"/>
        <w:spacing w:after="0" w:line="258" w:lineRule="auto"/>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 xml:space="preserve">21.1 ​ ​ </w:t>
      </w:r>
      <w:hyperlink r:id="rId427">
        <w:r>
          <w:rPr>
            <w:rFonts w:ascii="Times New Roman" w:cs="Times New Roman" w:eastAsia="Times New Roman" w:hAnsi="Times New Roman"/>
            <w:sz w:val="16"/>
            <w:szCs w:val="16"/>
            <w:u w:val="single" w:color="auto"/>
            <w:color w:val="0000EE"/>
          </w:rPr>
          <w:t>Subsidiaries of United Community Banks, Inc. (incorporated by reference to Exhibit 21 to United</w:t>
        </w:r>
      </w:hyperlink>
      <w:r>
        <w:rPr>
          <w:rFonts w:ascii="Times New Roman" w:cs="Times New Roman" w:eastAsia="Times New Roman" w:hAnsi="Times New Roman"/>
          <w:sz w:val="16"/>
          <w:szCs w:val="16"/>
          <w:color w:val="auto"/>
        </w:rPr>
        <w:t xml:space="preserve"> </w:t>
      </w:r>
      <w:hyperlink r:id="rId427">
        <w:r>
          <w:rPr>
            <w:rFonts w:ascii="Times New Roman" w:cs="Times New Roman" w:eastAsia="Times New Roman" w:hAnsi="Times New Roman"/>
            <w:sz w:val="16"/>
            <w:szCs w:val="16"/>
            <w:u w:val="single" w:color="auto"/>
            <w:color w:val="0000EE"/>
          </w:rPr>
          <w:t>Community Banks, Inc.’s Annual Report on Form 10-K for the year ended December 31, 2025,</w:t>
        </w:r>
      </w:hyperlink>
      <w:r>
        <w:rPr>
          <w:rFonts w:ascii="Times New Roman" w:cs="Times New Roman" w:eastAsia="Times New Roman" w:hAnsi="Times New Roman"/>
          <w:sz w:val="16"/>
          <w:szCs w:val="16"/>
          <w:u w:val="single" w:color="auto"/>
          <w:color w:val="0000EE"/>
        </w:rPr>
        <w:t xml:space="preserve"> </w:t>
      </w:r>
      <w:hyperlink r:id="rId427">
        <w:r>
          <w:rPr>
            <w:rFonts w:ascii="Times New Roman" w:cs="Times New Roman" w:eastAsia="Times New Roman" w:hAnsi="Times New Roman"/>
            <w:sz w:val="16"/>
            <w:szCs w:val="16"/>
            <w:u w:val="single" w:color="auto"/>
            <w:color w:val="0000EE"/>
          </w:rPr>
          <w:t>filed with the SEC on February 17, 2026).</w:t>
        </w:r>
      </w:hyperlink>
    </w:p>
    <w:p>
      <w:pPr>
        <w:ind w:left="1180"/>
        <w:spacing w:after="0" w:line="185" w:lineRule="auto"/>
        <w:rPr>
          <w:sz w:val="20"/>
          <w:szCs w:val="20"/>
          <w:color w:val="auto"/>
        </w:rPr>
      </w:pPr>
      <w:r>
        <w:rPr>
          <w:rFonts w:ascii="Times New Roman" w:cs="Times New Roman" w:eastAsia="Times New Roman" w:hAnsi="Times New Roman"/>
          <w:sz w:val="14"/>
          <w:szCs w:val="14"/>
          <w:color w:val="auto"/>
        </w:rPr>
        <w:t xml:space="preserve">23.1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Consent of Squire Patton Boggs (US) LLP(included in Exhibit 5.1).</w:t>
      </w:r>
    </w:p>
    <w:p>
      <w:pPr>
        <w:ind w:left="1180"/>
        <w:spacing w:after="0" w:line="185" w:lineRule="auto"/>
        <w:rPr>
          <w:sz w:val="20"/>
          <w:szCs w:val="20"/>
          <w:color w:val="auto"/>
        </w:rPr>
      </w:pPr>
      <w:r>
        <w:rPr>
          <w:rFonts w:ascii="Times New Roman" w:cs="Times New Roman" w:eastAsia="Times New Roman" w:hAnsi="Times New Roman"/>
          <w:sz w:val="14"/>
          <w:szCs w:val="14"/>
          <w:color w:val="auto"/>
        </w:rPr>
        <w:t xml:space="preserve">23.2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Consent of Wachtell, Lipton, Rosen &amp; Katz (included in Exhibit 8.1).</w:t>
      </w:r>
    </w:p>
    <w:p>
      <w:pPr>
        <w:ind w:left="1180"/>
        <w:spacing w:after="0" w:line="184" w:lineRule="auto"/>
        <w:rPr>
          <w:sz w:val="20"/>
          <w:szCs w:val="20"/>
          <w:color w:val="auto"/>
        </w:rPr>
      </w:pPr>
      <w:r>
        <w:rPr>
          <w:rFonts w:ascii="Times New Roman" w:cs="Times New Roman" w:eastAsia="Times New Roman" w:hAnsi="Times New Roman"/>
          <w:sz w:val="14"/>
          <w:szCs w:val="14"/>
          <w:color w:val="auto"/>
        </w:rPr>
        <w:t xml:space="preserve">23.3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Consent of Alston &amp; Bird LLP (included in Exhibit 8.2).</w:t>
      </w:r>
    </w:p>
    <w:p>
      <w:pPr>
        <w:ind w:left="1180"/>
        <w:spacing w:after="0" w:line="184" w:lineRule="auto"/>
        <w:rPr>
          <w:sz w:val="20"/>
          <w:szCs w:val="20"/>
          <w:color w:val="auto"/>
        </w:rPr>
      </w:pPr>
      <w:r>
        <w:rPr>
          <w:rFonts w:ascii="Times New Roman" w:cs="Times New Roman" w:eastAsia="Times New Roman" w:hAnsi="Times New Roman"/>
          <w:sz w:val="14"/>
          <w:szCs w:val="14"/>
          <w:color w:val="auto"/>
        </w:rPr>
        <w:t xml:space="preserve">23.4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Consent of PricewaterhouseCoopers LLP.</w:t>
      </w:r>
    </w:p>
    <w:p>
      <w:pPr>
        <w:ind w:left="1180"/>
        <w:spacing w:after="0" w:line="18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24.1*</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hyperlink r:id="rId428">
        <w:r>
          <w:rPr>
            <w:rFonts w:ascii="Times New Roman" w:cs="Times New Roman" w:eastAsia="Times New Roman" w:hAnsi="Times New Roman"/>
            <w:sz w:val="14"/>
            <w:szCs w:val="14"/>
            <w:u w:val="single" w:color="auto"/>
            <w:color w:val="0000EE"/>
          </w:rPr>
          <w:t>Power of Attorney (included on the signature page).</w:t>
        </w:r>
      </w:hyperlink>
    </w:p>
    <w:p>
      <w:pPr>
        <w:ind w:left="1180"/>
        <w:spacing w:after="0" w:line="184" w:lineRule="auto"/>
        <w:rPr>
          <w:sz w:val="20"/>
          <w:szCs w:val="20"/>
          <w:color w:val="auto"/>
        </w:rPr>
      </w:pPr>
      <w:r>
        <w:rPr>
          <w:rFonts w:ascii="Times New Roman" w:cs="Times New Roman" w:eastAsia="Times New Roman" w:hAnsi="Times New Roman"/>
          <w:sz w:val="14"/>
          <w:szCs w:val="14"/>
          <w:color w:val="auto"/>
        </w:rPr>
        <w:t xml:space="preserve">99.1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Consent of Piper Sandler &amp; Co.</w:t>
      </w:r>
    </w:p>
    <w:p>
      <w:pPr>
        <w:ind w:left="1180"/>
        <w:spacing w:after="0" w:line="180" w:lineRule="auto"/>
        <w:rPr>
          <w:sz w:val="20"/>
          <w:szCs w:val="20"/>
          <w:color w:val="auto"/>
        </w:rPr>
      </w:pPr>
      <w:r>
        <w:rPr>
          <w:rFonts w:ascii="Times New Roman" w:cs="Times New Roman" w:eastAsia="Times New Roman" w:hAnsi="Times New Roman"/>
          <w:sz w:val="15"/>
          <w:szCs w:val="15"/>
          <w:color w:val="auto"/>
        </w:rPr>
        <w:t xml:space="preserve">99.2 </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Form of Proxy Card for Special Meeting of Peach State Bancshares, Inc.</w:t>
      </w:r>
    </w:p>
    <w:p>
      <w:pPr>
        <w:spacing w:after="0" w:line="1" w:lineRule="exact"/>
        <w:rPr>
          <w:rFonts w:ascii="Times New Roman" w:cs="Times New Roman" w:eastAsia="Times New Roman" w:hAnsi="Times New Roman"/>
          <w:sz w:val="16"/>
          <w:szCs w:val="16"/>
          <w:color w:val="auto"/>
        </w:rPr>
      </w:pPr>
    </w:p>
    <w:p>
      <w:pPr>
        <w:ind w:left="1760" w:right="260" w:hanging="657"/>
        <w:spacing w:after="0" w:line="263" w:lineRule="auto"/>
        <w:tabs>
          <w:tab w:leader="none" w:pos="1187"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99.3 ​ ​ </w:t>
      </w:r>
      <w:r>
        <w:rPr>
          <w:rFonts w:ascii="Times New Roman" w:cs="Times New Roman" w:eastAsia="Times New Roman" w:hAnsi="Times New Roman"/>
          <w:sz w:val="16"/>
          <w:szCs w:val="16"/>
          <w:u w:val="single" w:color="auto"/>
          <w:color w:val="0000EE"/>
        </w:rPr>
        <w:t>Voting and Support Agreement, dated as of April 20, 2026, by and among United Community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Banks, Inc. and the shareholders of Peach State Bancshares, Inc. listed on Exhibit A thereto.</w:t>
      </w:r>
    </w:p>
    <w:p>
      <w:pPr>
        <w:spacing w:after="0" w:line="1" w:lineRule="exact"/>
        <w:rPr>
          <w:rFonts w:ascii="Times New Roman" w:cs="Times New Roman" w:eastAsia="Times New Roman" w:hAnsi="Times New Roman"/>
          <w:sz w:val="16"/>
          <w:szCs w:val="16"/>
          <w:color w:val="auto"/>
        </w:rPr>
      </w:pPr>
    </w:p>
    <w:p>
      <w:pPr>
        <w:ind w:left="1100"/>
        <w:spacing w:after="0"/>
        <w:tabs>
          <w:tab w:leader="none" w:pos="154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107*</w:t>
      </w:r>
      <w:r>
        <w:rPr>
          <w:sz w:val="20"/>
          <w:szCs w:val="20"/>
          <w:color w:val="auto"/>
        </w:rPr>
        <w:tab/>
      </w:r>
      <w:r>
        <w:rPr>
          <w:rFonts w:ascii="Times New Roman" w:cs="Times New Roman" w:eastAsia="Times New Roman" w:hAnsi="Times New Roman"/>
          <w:sz w:val="18"/>
          <w:szCs w:val="18"/>
          <w:color w:val="auto"/>
          <w:vertAlign w:val="superscript"/>
        </w:rPr>
        <w:t xml:space="preserve">​ ​ </w:t>
      </w:r>
      <w:hyperlink r:id="rId429">
        <w:r>
          <w:rPr>
            <w:rFonts w:ascii="Times New Roman" w:cs="Times New Roman" w:eastAsia="Times New Roman" w:hAnsi="Times New Roman"/>
            <w:sz w:val="18"/>
            <w:szCs w:val="18"/>
            <w:u w:val="single" w:color="auto"/>
            <w:color w:val="0000EE"/>
          </w:rPr>
          <w:t>Filing Fee Table.</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704215</wp:posOffset>
            </wp:positionH>
            <wp:positionV relativeFrom="paragraph">
              <wp:posOffset>155575</wp:posOffset>
            </wp:positionV>
            <wp:extent cx="1089025"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spacing w:after="0" w:line="212"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66"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33"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27" w:lineRule="exact"/>
        <w:rPr>
          <w:rFonts w:ascii="Times New Roman" w:cs="Times New Roman" w:eastAsia="Times New Roman" w:hAnsi="Times New Roman"/>
          <w:sz w:val="16"/>
          <w:szCs w:val="16"/>
          <w:color w:val="auto"/>
        </w:rPr>
      </w:pPr>
    </w:p>
    <w:p>
      <w:pPr>
        <w:sectPr>
          <w:pgSz w:w="11900" w:h="16838" w:orient="portrait"/>
          <w:cols w:equalWidth="0" w:num="2">
            <w:col w:w="8260" w:space="80"/>
            <w:col w:w="899"/>
          </w:cols>
          <w:pgMar w:left="1220" w:top="94" w:right="1440" w:bottom="1440" w:gutter="0" w:footer="0" w:header="0"/>
          <w:type w:val="continuous"/>
        </w:sectPr>
      </w:pPr>
    </w:p>
    <w:p>
      <w:pPr>
        <w:spacing w:after="0" w:line="160" w:lineRule="exact"/>
        <w:rPr>
          <w:rFonts w:ascii="Times New Roman" w:cs="Times New Roman" w:eastAsia="Times New Roman" w:hAnsi="Times New Roman"/>
          <w:sz w:val="16"/>
          <w:szCs w:val="16"/>
          <w:color w:val="auto"/>
        </w:rPr>
      </w:pPr>
    </w:p>
    <w:p>
      <w:pPr>
        <w:ind w:left="1420" w:hanging="317"/>
        <w:spacing w:after="0"/>
        <w:tabs>
          <w:tab w:leader="none" w:pos="14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66" w:lineRule="exact"/>
        <w:rPr>
          <w:rFonts w:ascii="Times New Roman" w:cs="Times New Roman" w:eastAsia="Times New Roman" w:hAnsi="Times New Roman"/>
          <w:sz w:val="16"/>
          <w:szCs w:val="16"/>
          <w:color w:val="auto"/>
        </w:rPr>
      </w:pPr>
    </w:p>
    <w:p>
      <w:pPr>
        <w:ind w:left="1420" w:right="939" w:hanging="317"/>
        <w:spacing w:after="0" w:line="258" w:lineRule="auto"/>
        <w:tabs>
          <w:tab w:leader="none" w:pos="14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601(a)(5) of Regulation S-K. United hereby undertakes to furnish supplemental copies of any of the omitted schedules upon request by the SEC; provided, that United may request confidential treatment pursuant to Rule 24b-2 of the Securities Exchange Act of 1934, as amended, for any schedules so furnished.</w:t>
      </w:r>
    </w:p>
    <w:p>
      <w:pPr>
        <w:spacing w:after="0" w:line="160" w:lineRule="exact"/>
        <w:rPr>
          <w:rFonts w:ascii="Times New Roman" w:cs="Times New Roman" w:eastAsia="Times New Roman" w:hAnsi="Times New Roman"/>
          <w:sz w:val="16"/>
          <w:szCs w:val="16"/>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Item 22. Undertakings</w:t>
      </w:r>
    </w:p>
    <w:p>
      <w:pPr>
        <w:spacing w:after="0" w:line="140" w:lineRule="exact"/>
        <w:rPr>
          <w:rFonts w:ascii="Times New Roman" w:cs="Times New Roman" w:eastAsia="Times New Roman" w:hAnsi="Times New Roman"/>
          <w:sz w:val="16"/>
          <w:szCs w:val="16"/>
          <w:color w:val="auto"/>
        </w:rPr>
      </w:pPr>
    </w:p>
    <w:p>
      <w:pPr>
        <w:ind w:left="1420"/>
        <w:spacing w:after="0"/>
        <w:rPr>
          <w:sz w:val="20"/>
          <w:szCs w:val="20"/>
          <w:color w:val="auto"/>
        </w:rPr>
      </w:pPr>
      <w:r>
        <w:rPr>
          <w:rFonts w:ascii="Times New Roman" w:cs="Times New Roman" w:eastAsia="Times New Roman" w:hAnsi="Times New Roman"/>
          <w:sz w:val="16"/>
          <w:szCs w:val="16"/>
          <w:color w:val="auto"/>
        </w:rPr>
        <w:t>The undersigned registrant hereby undertakes:</w:t>
      </w:r>
    </w:p>
    <w:p>
      <w:pPr>
        <w:spacing w:after="0" w:line="138" w:lineRule="exact"/>
        <w:rPr>
          <w:rFonts w:ascii="Times New Roman" w:cs="Times New Roman" w:eastAsia="Times New Roman" w:hAnsi="Times New Roman"/>
          <w:sz w:val="16"/>
          <w:szCs w:val="16"/>
          <w:color w:val="auto"/>
        </w:rPr>
      </w:pPr>
    </w:p>
    <w:p>
      <w:pPr>
        <w:ind w:left="1740" w:right="979" w:hanging="320"/>
        <w:spacing w:after="0" w:line="250" w:lineRule="auto"/>
        <w:tabs>
          <w:tab w:leader="none" w:pos="174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104" w:lineRule="exact"/>
        <w:rPr>
          <w:rFonts w:ascii="Times New Roman" w:cs="Times New Roman" w:eastAsia="Times New Roman" w:hAnsi="Times New Roman"/>
          <w:sz w:val="16"/>
          <w:szCs w:val="16"/>
          <w:color w:val="auto"/>
        </w:rPr>
      </w:pPr>
    </w:p>
    <w:p>
      <w:pPr>
        <w:ind w:left="1740" w:right="919" w:hanging="320"/>
        <w:spacing w:after="0" w:line="258" w:lineRule="auto"/>
        <w:tabs>
          <w:tab w:leader="none" w:pos="174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0" w:lineRule="exact"/>
        <w:rPr>
          <w:rFonts w:ascii="Times New Roman" w:cs="Times New Roman" w:eastAsia="Times New Roman" w:hAnsi="Times New Roman"/>
          <w:sz w:val="16"/>
          <w:szCs w:val="16"/>
          <w:color w:val="auto"/>
        </w:rPr>
      </w:pPr>
    </w:p>
    <w:p>
      <w:pPr>
        <w:ind w:left="1740" w:right="1099" w:hanging="320"/>
        <w:spacing w:after="0" w:line="279" w:lineRule="auto"/>
        <w:tabs>
          <w:tab w:leader="none" w:pos="174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84" w:lineRule="exact"/>
        <w:rPr>
          <w:rFonts w:ascii="Times New Roman" w:cs="Times New Roman" w:eastAsia="Times New Roman" w:hAnsi="Times New Roman"/>
          <w:sz w:val="16"/>
          <w:szCs w:val="16"/>
          <w:color w:val="auto"/>
        </w:rPr>
      </w:pPr>
    </w:p>
    <w:p>
      <w:pPr>
        <w:ind w:left="1740" w:right="1059" w:hanging="320"/>
        <w:spacing w:after="0" w:line="263" w:lineRule="auto"/>
        <w:tabs>
          <w:tab w:leader="none" w:pos="174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that, for the purpose of determining liability under the Securities Act to any purchaser, each prospectus filed pursuant to Rule 424(b) as part of a registration statement relating to an offering, other than registration statements relying on</w:t>
      </w:r>
    </w:p>
    <w:p>
      <w:pPr>
        <w:spacing w:after="0" w:line="312" w:lineRule="exact"/>
        <w:rPr>
          <w:rFonts w:ascii="Times New Roman" w:cs="Times New Roman" w:eastAsia="Times New Roman" w:hAnsi="Times New Roman"/>
          <w:sz w:val="16"/>
          <w:szCs w:val="16"/>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740" w:right="899"/>
        <w:spacing w:after="0" w:line="244" w:lineRule="auto"/>
        <w:rPr>
          <w:sz w:val="20"/>
          <w:szCs w:val="20"/>
          <w:color w:val="auto"/>
        </w:rPr>
      </w:pPr>
      <w:r>
        <w:rPr>
          <w:rFonts w:ascii="Times New Roman" w:cs="Times New Roman" w:eastAsia="Times New Roman" w:hAnsi="Times New Roman"/>
          <w:sz w:val="16"/>
          <w:szCs w:val="16"/>
          <w:color w:val="auto"/>
        </w:rPr>
        <w:t>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8" w:lineRule="exact"/>
        <w:rPr>
          <w:sz w:val="20"/>
          <w:szCs w:val="20"/>
          <w:color w:val="auto"/>
        </w:rPr>
      </w:pPr>
    </w:p>
    <w:p>
      <w:pPr>
        <w:ind w:left="1740" w:right="1059" w:hanging="320"/>
        <w:spacing w:after="0" w:line="252" w:lineRule="auto"/>
        <w:tabs>
          <w:tab w:leader="none" w:pos="174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undertakes that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 (i) any preliminary prospectus or prospectus of the registrant relating to the offering required to be filed pursuant to Rule 424;</w:t>
      </w:r>
    </w:p>
    <w:p>
      <w:pPr>
        <w:spacing w:after="0" w:line="1" w:lineRule="exact"/>
        <w:rPr>
          <w:rFonts w:ascii="Times New Roman" w:cs="Times New Roman" w:eastAsia="Times New Roman" w:hAnsi="Times New Roman"/>
          <w:sz w:val="16"/>
          <w:szCs w:val="16"/>
          <w:color w:val="auto"/>
        </w:rPr>
      </w:pPr>
    </w:p>
    <w:p>
      <w:pPr>
        <w:ind w:left="1740" w:right="919"/>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(ii) any free writing prospectus relating to the offering prepared by or on behalf of the registrant or used or referred to by the registrant; (iii) the portion of any other free writing prospectus relating to the offering containing material information about the registrant or its securities provided by or on behalf of the registrant; and (iv) any other communication that is an offer in the offering made by the registrant to the purchaser.</w:t>
      </w:r>
    </w:p>
    <w:p>
      <w:pPr>
        <w:spacing w:after="0" w:line="108" w:lineRule="exact"/>
        <w:rPr>
          <w:rFonts w:ascii="Times New Roman" w:cs="Times New Roman" w:eastAsia="Times New Roman" w:hAnsi="Times New Roman"/>
          <w:sz w:val="16"/>
          <w:szCs w:val="16"/>
          <w:color w:val="auto"/>
        </w:rPr>
      </w:pPr>
    </w:p>
    <w:p>
      <w:pPr>
        <w:ind w:left="1740" w:right="979" w:hanging="320"/>
        <w:spacing w:after="0" w:line="259" w:lineRule="auto"/>
        <w:tabs>
          <w:tab w:leader="none" w:pos="174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purposes of determining any liability under the Securities Act of 1933, each filing of the registrant’s annual report pursuant to Section 13(a) or 15(d) of the Securities Exchange Act of</w:t>
      </w:r>
    </w:p>
    <w:p>
      <w:pPr>
        <w:ind w:left="1740" w:right="1019"/>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Times New Roman" w:cs="Times New Roman" w:eastAsia="Times New Roman" w:hAnsi="Times New Roman"/>
          <w:sz w:val="16"/>
          <w:szCs w:val="16"/>
          <w:color w:val="auto"/>
        </w:rPr>
      </w:pPr>
    </w:p>
    <w:p>
      <w:pPr>
        <w:ind w:left="1740" w:right="919" w:hanging="320"/>
        <w:spacing w:after="0" w:line="254" w:lineRule="auto"/>
        <w:tabs>
          <w:tab w:leader="none" w:pos="174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4" w:lineRule="exact"/>
        <w:rPr>
          <w:rFonts w:ascii="Times New Roman" w:cs="Times New Roman" w:eastAsia="Times New Roman" w:hAnsi="Times New Roman"/>
          <w:sz w:val="16"/>
          <w:szCs w:val="16"/>
          <w:color w:val="auto"/>
        </w:rPr>
      </w:pPr>
    </w:p>
    <w:p>
      <w:pPr>
        <w:ind w:left="1740" w:right="959" w:hanging="320"/>
        <w:spacing w:after="0" w:line="253" w:lineRule="auto"/>
        <w:tabs>
          <w:tab w:leader="none" w:pos="174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every prospectus (i) that is filed pursuant to paragraph (5) above,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the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98" w:lineRule="exact"/>
        <w:rPr>
          <w:rFonts w:ascii="Times New Roman" w:cs="Times New Roman" w:eastAsia="Times New Roman" w:hAnsi="Times New Roman"/>
          <w:sz w:val="16"/>
          <w:szCs w:val="16"/>
          <w:color w:val="auto"/>
        </w:rPr>
      </w:pPr>
    </w:p>
    <w:p>
      <w:pPr>
        <w:ind w:left="1740" w:right="939" w:hanging="320"/>
        <w:spacing w:after="0" w:line="256" w:lineRule="auto"/>
        <w:tabs>
          <w:tab w:leader="none" w:pos="174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02" w:lineRule="exact"/>
        <w:rPr>
          <w:rFonts w:ascii="Times New Roman" w:cs="Times New Roman" w:eastAsia="Times New Roman" w:hAnsi="Times New Roman"/>
          <w:sz w:val="16"/>
          <w:szCs w:val="16"/>
          <w:color w:val="auto"/>
        </w:rPr>
      </w:pPr>
    </w:p>
    <w:p>
      <w:pPr>
        <w:ind w:left="1740" w:right="1079" w:hanging="320"/>
        <w:spacing w:after="0" w:line="263" w:lineRule="auto"/>
        <w:tabs>
          <w:tab w:leader="none" w:pos="174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86" w:lineRule="exact"/>
        <w:rPr>
          <w:rFonts w:ascii="Times New Roman" w:cs="Times New Roman" w:eastAsia="Times New Roman" w:hAnsi="Times New Roman"/>
          <w:sz w:val="16"/>
          <w:szCs w:val="16"/>
          <w:color w:val="auto"/>
        </w:rPr>
      </w:pPr>
    </w:p>
    <w:p>
      <w:pPr>
        <w:ind w:left="1740" w:right="899" w:hanging="320"/>
        <w:spacing w:after="0" w:line="258" w:lineRule="auto"/>
        <w:tabs>
          <w:tab w:leader="none" w:pos="174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w:t>
      </w:r>
    </w:p>
    <w:p>
      <w:pPr>
        <w:spacing w:after="0" w:line="3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229235</wp:posOffset>
            </wp:positionV>
            <wp:extent cx="6024245" cy="40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199" w:name="page200"/>
    <w:bookmarkEnd w:id="19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740" w:right="919"/>
        <w:spacing w:after="0" w:line="253" w:lineRule="auto"/>
        <w:rPr>
          <w:sz w:val="20"/>
          <w:szCs w:val="20"/>
          <w:color w:val="auto"/>
        </w:rPr>
      </w:pPr>
      <w:r>
        <w:rPr>
          <w:rFonts w:ascii="Times New Roman" w:cs="Times New Roman" w:eastAsia="Times New Roman" w:hAnsi="Times New Roman"/>
          <w:sz w:val="16"/>
          <w:szCs w:val="16"/>
          <w:color w:val="auto"/>
        </w:rPr>
        <w:t>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200" w:name="page201"/>
    <w:bookmarkEnd w:id="20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0" w:lineRule="exact"/>
        <w:rPr>
          <w:sz w:val="20"/>
          <w:szCs w:val="20"/>
          <w:color w:val="auto"/>
        </w:rPr>
      </w:pPr>
    </w:p>
    <w:p>
      <w:pPr>
        <w:ind w:left="1100" w:right="939" w:firstLine="318"/>
        <w:spacing w:after="0" w:line="263"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United Community Banks, Inc., the registrant, has duly caused this registration statement to be signed on its behalf by the undersigned, in Greenville, South Carolina on June 8, 2026.</w:t>
      </w:r>
    </w:p>
    <w:p>
      <w:pPr>
        <w:spacing w:after="0" w:line="15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29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By: /s/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45085</wp:posOffset>
            </wp:positionV>
            <wp:extent cx="217868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2178685" cy="762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H. Lynn Harton</w:t>
      </w:r>
    </w:p>
    <w:p>
      <w:pPr>
        <w:spacing w:after="0" w:line="2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5" w:right="1440" w:bottom="1440" w:gutter="0" w:footer="0" w:header="0"/>
        </w:sectPr>
      </w:pPr>
    </w:p>
    <w:bookmarkStart w:id="201" w:name="page202"/>
    <w:bookmarkEnd w:id="20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POWER OF ATTORNEY AND SIGNATURES</w:t>
      </w:r>
    </w:p>
    <w:p>
      <w:pPr>
        <w:spacing w:after="0" w:line="10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0" w:lineRule="exact"/>
        <w:rPr>
          <w:sz w:val="20"/>
          <w:szCs w:val="20"/>
          <w:color w:val="auto"/>
        </w:rPr>
      </w:pPr>
    </w:p>
    <w:p>
      <w:pPr>
        <w:ind w:left="1100" w:right="939" w:firstLine="318"/>
        <w:spacing w:after="0" w:line="264" w:lineRule="auto"/>
        <w:rPr>
          <w:sz w:val="20"/>
          <w:szCs w:val="20"/>
          <w:color w:val="auto"/>
        </w:rPr>
      </w:pPr>
      <w:r>
        <w:rPr>
          <w:rFonts w:ascii="Times New Roman" w:cs="Times New Roman" w:eastAsia="Times New Roman" w:hAnsi="Times New Roman"/>
          <w:sz w:val="16"/>
          <w:szCs w:val="16"/>
          <w:color w:val="auto"/>
        </w:rPr>
        <w:t>Know all men by these presents, that each person whose signature appears below constitutes and appoints H. Lynn Harton and Jefferson L. Harralson, or either of them, as attorney-in-fact, with each having the power of substitution, for him in any and all capacities, to sign any amendments to this registration statement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08" w:lineRule="exact"/>
        <w:rPr>
          <w:sz w:val="20"/>
          <w:szCs w:val="20"/>
          <w:color w:val="auto"/>
        </w:rPr>
      </w:pPr>
    </w:p>
    <w:p>
      <w:pPr>
        <w:jc w:val="both"/>
        <w:ind w:left="1100" w:right="1139" w:firstLine="318"/>
        <w:spacing w:after="0" w:line="27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registration statement has been signed below by the following persons on behalf of United and in the capacities set forth and on the 8th day of June, 2026.</w:t>
      </w:r>
    </w:p>
    <w:p>
      <w:pPr>
        <w:sectPr>
          <w:pgSz w:w="11900" w:h="16838" w:orient="portrait"/>
          <w:cols w:equalWidth="0" w:num="1">
            <w:col w:w="9239"/>
          </w:cols>
          <w:pgMar w:left="1220" w:top="94" w:right="1440" w:bottom="1440" w:gutter="0" w:footer="0" w:header="0"/>
        </w:sectPr>
      </w:pPr>
    </w:p>
    <w:p>
      <w:pPr>
        <w:ind w:left="1100"/>
        <w:spacing w:after="0" w:line="185" w:lineRule="auto"/>
        <w:tabs>
          <w:tab w:leader="none" w:pos="2580" w:val="left"/>
        </w:tabs>
        <w:rPr>
          <w:sz w:val="20"/>
          <w:szCs w:val="20"/>
          <w:color w:val="auto"/>
        </w:rPr>
      </w:pP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10"/>
          <w:szCs w:val="1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106680</wp:posOffset>
            </wp:positionV>
            <wp:extent cx="223139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2231390" cy="7620"/>
                    </a:xfrm>
                    <a:prstGeom prst="rect">
                      <a:avLst/>
                    </a:prstGeom>
                    <a:noFill/>
                  </pic:spPr>
                </pic:pic>
              </a:graphicData>
            </a:graphic>
          </wp:anchor>
        </w:drawing>
      </w:r>
    </w:p>
    <w:p>
      <w:pPr>
        <w:spacing w:after="0" w:line="1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45085</wp:posOffset>
            </wp:positionV>
            <wp:extent cx="222377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2223770" cy="7620"/>
                    </a:xfrm>
                    <a:prstGeom prst="rect">
                      <a:avLst/>
                    </a:prstGeom>
                    <a:noFill/>
                  </pic:spPr>
                </pic:pic>
              </a:graphicData>
            </a:graphic>
          </wp:anchor>
        </w:drawing>
      </w:r>
    </w:p>
    <w:p>
      <w:pPr>
        <w:spacing w:after="0" w:line="7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H. Lynn Harton</w:t>
      </w:r>
    </w:p>
    <w:p>
      <w:pPr>
        <w:ind w:left="1100"/>
        <w:spacing w:after="0" w:line="218" w:lineRule="auto"/>
        <w:rPr>
          <w:sz w:val="20"/>
          <w:szCs w:val="20"/>
          <w:color w:val="auto"/>
        </w:rPr>
      </w:pPr>
      <w:r>
        <w:rPr>
          <w:rFonts w:ascii="Times New Roman" w:cs="Times New Roman" w:eastAsia="Times New Roman" w:hAnsi="Times New Roman"/>
          <w:sz w:val="16"/>
          <w:szCs w:val="16"/>
          <w:color w:val="auto"/>
        </w:rPr>
        <w:t>​</w:t>
      </w:r>
    </w:p>
    <w:p>
      <w:pPr>
        <w:ind w:left="1100"/>
        <w:spacing w:after="0"/>
        <w:rPr>
          <w:sz w:val="20"/>
          <w:szCs w:val="20"/>
          <w:color w:val="auto"/>
        </w:rPr>
      </w:pPr>
      <w:r>
        <w:rPr>
          <w:rFonts w:ascii="Times New Roman" w:cs="Times New Roman" w:eastAsia="Times New Roman" w:hAnsi="Times New Roman"/>
          <w:sz w:val="16"/>
          <w:szCs w:val="16"/>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33655</wp:posOffset>
            </wp:positionV>
            <wp:extent cx="222377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2223770" cy="7620"/>
                    </a:xfrm>
                    <a:prstGeom prst="rect">
                      <a:avLst/>
                    </a:prstGeom>
                    <a:noFill/>
                  </pic:spPr>
                </pic:pic>
              </a:graphicData>
            </a:graphic>
          </wp:anchor>
        </w:drawing>
      </w:r>
    </w:p>
    <w:p>
      <w:pPr>
        <w:spacing w:after="0" w:line="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Jefferson L. Harralson</w:t>
      </w:r>
    </w:p>
    <w:p>
      <w:pPr>
        <w:ind w:left="1100"/>
        <w:spacing w:after="0" w:line="218" w:lineRule="auto"/>
        <w:rPr>
          <w:sz w:val="20"/>
          <w:szCs w:val="20"/>
          <w:color w:val="auto"/>
        </w:rPr>
      </w:pPr>
      <w:r>
        <w:rPr>
          <w:rFonts w:ascii="Times New Roman" w:cs="Times New Roman" w:eastAsia="Times New Roman" w:hAnsi="Times New Roman"/>
          <w:sz w:val="16"/>
          <w:szCs w:val="16"/>
          <w:color w:val="auto"/>
        </w:rPr>
        <w:t>​</w:t>
      </w:r>
    </w:p>
    <w:p>
      <w:pPr>
        <w:ind w:left="1100"/>
        <w:spacing w:after="0"/>
        <w:rPr>
          <w:sz w:val="20"/>
          <w:szCs w:val="20"/>
          <w:color w:val="auto"/>
        </w:rPr>
      </w:pPr>
      <w:r>
        <w:rPr>
          <w:rFonts w:ascii="Times New Roman" w:cs="Times New Roman" w:eastAsia="Times New Roman" w:hAnsi="Times New Roman"/>
          <w:sz w:val="16"/>
          <w:szCs w:val="16"/>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33655</wp:posOffset>
            </wp:positionV>
            <wp:extent cx="222377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2223770" cy="7620"/>
                    </a:xfrm>
                    <a:prstGeom prst="rect">
                      <a:avLst/>
                    </a:prstGeom>
                    <a:noFill/>
                  </pic:spPr>
                </pic:pic>
              </a:graphicData>
            </a:graphic>
          </wp:anchor>
        </w:drawing>
      </w:r>
    </w:p>
    <w:p>
      <w:pPr>
        <w:spacing w:after="0" w:line="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Alan H. Kumler</w:t>
      </w:r>
    </w:p>
    <w:p>
      <w:pPr>
        <w:ind w:left="1100"/>
        <w:spacing w:after="0" w:line="218" w:lineRule="auto"/>
        <w:rPr>
          <w:sz w:val="20"/>
          <w:szCs w:val="20"/>
          <w:color w:val="auto"/>
        </w:rPr>
      </w:pPr>
      <w:r>
        <w:rPr>
          <w:rFonts w:ascii="Times New Roman" w:cs="Times New Roman" w:eastAsia="Times New Roman" w:hAnsi="Times New Roman"/>
          <w:sz w:val="16"/>
          <w:szCs w:val="16"/>
          <w:color w:val="auto"/>
        </w:rPr>
        <w:t>​</w:t>
      </w:r>
    </w:p>
    <w:p>
      <w:pPr>
        <w:ind w:left="11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33655</wp:posOffset>
            </wp:positionV>
            <wp:extent cx="222377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2223770" cy="7620"/>
                    </a:xfrm>
                    <a:prstGeom prst="rect">
                      <a:avLst/>
                    </a:prstGeom>
                    <a:noFill/>
                  </pic:spPr>
                </pic:pic>
              </a:graphicData>
            </a:graphic>
          </wp:anchor>
        </w:drawing>
      </w:r>
    </w:p>
    <w:p>
      <w:pPr>
        <w:spacing w:after="0" w:line="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Thomas A. Richlovsky</w:t>
      </w:r>
    </w:p>
    <w:p>
      <w:pPr>
        <w:ind w:left="1100"/>
        <w:spacing w:after="0" w:line="218" w:lineRule="auto"/>
        <w:rPr>
          <w:sz w:val="20"/>
          <w:szCs w:val="20"/>
          <w:color w:val="auto"/>
        </w:rPr>
      </w:pPr>
      <w:r>
        <w:rPr>
          <w:rFonts w:ascii="Times New Roman" w:cs="Times New Roman" w:eastAsia="Times New Roman" w:hAnsi="Times New Roman"/>
          <w:sz w:val="16"/>
          <w:szCs w:val="16"/>
          <w:color w:val="auto"/>
        </w:rPr>
        <w:t>​</w:t>
      </w:r>
    </w:p>
    <w:p>
      <w:pPr>
        <w:ind w:left="11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33655</wp:posOffset>
            </wp:positionV>
            <wp:extent cx="222377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2223770" cy="7620"/>
                    </a:xfrm>
                    <a:prstGeom prst="rect">
                      <a:avLst/>
                    </a:prstGeom>
                    <a:noFill/>
                  </pic:spPr>
                </pic:pic>
              </a:graphicData>
            </a:graphic>
          </wp:anchor>
        </w:drawing>
      </w:r>
    </w:p>
    <w:p>
      <w:pPr>
        <w:spacing w:after="0" w:line="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Jennifer M. Bazante</w:t>
      </w:r>
    </w:p>
    <w:p>
      <w:pPr>
        <w:ind w:left="1100"/>
        <w:spacing w:after="0" w:line="218" w:lineRule="auto"/>
        <w:rPr>
          <w:sz w:val="20"/>
          <w:szCs w:val="20"/>
          <w:color w:val="auto"/>
        </w:rPr>
      </w:pPr>
      <w:r>
        <w:rPr>
          <w:rFonts w:ascii="Times New Roman" w:cs="Times New Roman" w:eastAsia="Times New Roman" w:hAnsi="Times New Roman"/>
          <w:sz w:val="16"/>
          <w:szCs w:val="16"/>
          <w:color w:val="auto"/>
        </w:rPr>
        <w:t>​</w:t>
      </w:r>
    </w:p>
    <w:p>
      <w:pPr>
        <w:ind w:left="11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33655</wp:posOffset>
            </wp:positionV>
            <wp:extent cx="222377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2223770" cy="7620"/>
                    </a:xfrm>
                    <a:prstGeom prst="rect">
                      <a:avLst/>
                    </a:prstGeom>
                    <a:noFill/>
                  </pic:spPr>
                </pic:pic>
              </a:graphicData>
            </a:graphic>
          </wp:anchor>
        </w:drawing>
      </w:r>
    </w:p>
    <w:p>
      <w:pPr>
        <w:spacing w:after="0" w:line="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George Bell</w:t>
      </w:r>
    </w:p>
    <w:p>
      <w:pPr>
        <w:ind w:left="1100"/>
        <w:spacing w:after="0" w:line="218" w:lineRule="auto"/>
        <w:rPr>
          <w:sz w:val="20"/>
          <w:szCs w:val="20"/>
          <w:color w:val="auto"/>
        </w:rPr>
      </w:pPr>
      <w:r>
        <w:rPr>
          <w:rFonts w:ascii="Times New Roman" w:cs="Times New Roman" w:eastAsia="Times New Roman" w:hAnsi="Times New Roman"/>
          <w:sz w:val="16"/>
          <w:szCs w:val="16"/>
          <w:color w:val="auto"/>
        </w:rPr>
        <w:t>​</w:t>
      </w:r>
    </w:p>
    <w:p>
      <w:pPr>
        <w:ind w:left="11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33655</wp:posOffset>
            </wp:positionV>
            <wp:extent cx="222377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2223770" cy="7620"/>
                    </a:xfrm>
                    <a:prstGeom prst="rect">
                      <a:avLst/>
                    </a:prstGeom>
                    <a:noFill/>
                  </pic:spPr>
                </pic:pic>
              </a:graphicData>
            </a:graphic>
          </wp:anchor>
        </w:drawing>
      </w:r>
    </w:p>
    <w:p>
      <w:pPr>
        <w:spacing w:after="0" w:line="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James P. Clements</w:t>
      </w:r>
    </w:p>
    <w:p>
      <w:pPr>
        <w:ind w:left="1100"/>
        <w:spacing w:after="0" w:line="218" w:lineRule="auto"/>
        <w:rPr>
          <w:sz w:val="20"/>
          <w:szCs w:val="20"/>
          <w:color w:val="auto"/>
        </w:rPr>
      </w:pPr>
      <w:r>
        <w:rPr>
          <w:rFonts w:ascii="Times New Roman" w:cs="Times New Roman" w:eastAsia="Times New Roman" w:hAnsi="Times New Roman"/>
          <w:sz w:val="16"/>
          <w:szCs w:val="16"/>
          <w:color w:val="auto"/>
        </w:rPr>
        <w:t>​</w:t>
      </w:r>
    </w:p>
    <w:p>
      <w:pPr>
        <w:ind w:left="11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33655</wp:posOffset>
            </wp:positionV>
            <wp:extent cx="222377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2223770" cy="7620"/>
                    </a:xfrm>
                    <a:prstGeom prst="rect">
                      <a:avLst/>
                    </a:prstGeom>
                    <a:noFill/>
                  </pic:spPr>
                </pic:pic>
              </a:graphicData>
            </a:graphic>
          </wp:anchor>
        </w:drawing>
      </w:r>
    </w:p>
    <w:p>
      <w:pPr>
        <w:spacing w:after="0" w:line="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Kenneth L. Daniels</w:t>
      </w:r>
    </w:p>
    <w:p>
      <w:pPr>
        <w:ind w:left="1100"/>
        <w:spacing w:after="0" w:line="218" w:lineRule="auto"/>
        <w:rPr>
          <w:sz w:val="20"/>
          <w:szCs w:val="20"/>
          <w:color w:val="auto"/>
        </w:rPr>
      </w:pPr>
      <w:r>
        <w:rPr>
          <w:rFonts w:ascii="Times New Roman" w:cs="Times New Roman" w:eastAsia="Times New Roman" w:hAnsi="Times New Roman"/>
          <w:sz w:val="16"/>
          <w:szCs w:val="16"/>
          <w:color w:val="auto"/>
        </w:rPr>
        <w:t>​</w:t>
      </w:r>
    </w:p>
    <w:p>
      <w:pPr>
        <w:ind w:left="11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33655</wp:posOffset>
            </wp:positionV>
            <wp:extent cx="222377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2223770" cy="7620"/>
                    </a:xfrm>
                    <a:prstGeom prst="rect">
                      <a:avLst/>
                    </a:prstGeom>
                    <a:noFill/>
                  </pic:spPr>
                </pic:pic>
              </a:graphicData>
            </a:graphic>
          </wp:anchor>
        </w:drawing>
      </w:r>
    </w:p>
    <w:p>
      <w:pPr>
        <w:spacing w:after="0" w:line="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Sally Pope Davis</w:t>
      </w:r>
    </w:p>
    <w:p>
      <w:pPr>
        <w:ind w:left="1100"/>
        <w:spacing w:after="0" w:line="218" w:lineRule="auto"/>
        <w:rPr>
          <w:sz w:val="20"/>
          <w:szCs w:val="20"/>
          <w:color w:val="auto"/>
        </w:rPr>
      </w:pPr>
      <w:r>
        <w:rPr>
          <w:rFonts w:ascii="Times New Roman" w:cs="Times New Roman" w:eastAsia="Times New Roman" w:hAnsi="Times New Roman"/>
          <w:sz w:val="16"/>
          <w:szCs w:val="16"/>
          <w:color w:val="auto"/>
        </w:rPr>
        <w:t>​</w:t>
      </w:r>
    </w:p>
    <w:p>
      <w:pPr>
        <w:ind w:left="11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33655</wp:posOffset>
            </wp:positionV>
            <wp:extent cx="222377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2223770" cy="7620"/>
                    </a:xfrm>
                    <a:prstGeom prst="rect">
                      <a:avLst/>
                    </a:prstGeom>
                    <a:noFill/>
                  </pic:spPr>
                </pic:pic>
              </a:graphicData>
            </a:graphic>
          </wp:anchor>
        </w:drawing>
      </w:r>
    </w:p>
    <w:p>
      <w:pPr>
        <w:spacing w:after="0" w:line="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Lance F. Drummond</w:t>
      </w:r>
    </w:p>
    <w:p>
      <w:pPr>
        <w:ind w:left="1100"/>
        <w:spacing w:after="0" w:line="218" w:lineRule="auto"/>
        <w:rPr>
          <w:sz w:val="20"/>
          <w:szCs w:val="20"/>
          <w:color w:val="auto"/>
        </w:rPr>
      </w:pPr>
      <w:r>
        <w:rPr>
          <w:rFonts w:ascii="Times New Roman" w:cs="Times New Roman" w:eastAsia="Times New Roman" w:hAnsi="Times New Roman"/>
          <w:sz w:val="16"/>
          <w:szCs w:val="16"/>
          <w:color w:val="auto"/>
        </w:rPr>
        <w:t>​</w:t>
      </w:r>
    </w:p>
    <w:p>
      <w:pPr>
        <w:ind w:left="11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33655</wp:posOffset>
            </wp:positionV>
            <wp:extent cx="222377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2223770" cy="7620"/>
                    </a:xfrm>
                    <a:prstGeom prst="rect">
                      <a:avLst/>
                    </a:prstGeom>
                    <a:noFill/>
                  </pic:spPr>
                </pic:pic>
              </a:graphicData>
            </a:graphic>
          </wp:anchor>
        </w:drawing>
      </w:r>
    </w:p>
    <w:p>
      <w:pPr>
        <w:spacing w:after="0" w:line="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John M. James</w:t>
      </w:r>
    </w:p>
    <w:p>
      <w:pPr>
        <w:ind w:left="1100"/>
        <w:spacing w:after="0" w:line="218" w:lineRule="auto"/>
        <w:rPr>
          <w:sz w:val="20"/>
          <w:szCs w:val="20"/>
          <w:color w:val="auto"/>
        </w:rPr>
      </w:pPr>
      <w:r>
        <w:rPr>
          <w:rFonts w:ascii="Times New Roman" w:cs="Times New Roman" w:eastAsia="Times New Roman" w:hAnsi="Times New Roman"/>
          <w:sz w:val="16"/>
          <w:szCs w:val="16"/>
          <w:color w:val="auto"/>
        </w:rPr>
        <w:t>​</w:t>
      </w:r>
    </w:p>
    <w:p>
      <w:pPr>
        <w:ind w:left="11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33655</wp:posOffset>
            </wp:positionV>
            <wp:extent cx="222377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2223770" cy="7620"/>
                    </a:xfrm>
                    <a:prstGeom prst="rect">
                      <a:avLst/>
                    </a:prstGeom>
                    <a:noFill/>
                  </pic:spPr>
                </pic:pic>
              </a:graphicData>
            </a:graphic>
          </wp:anchor>
        </w:drawing>
      </w:r>
    </w:p>
    <w:p>
      <w:pPr>
        <w:spacing w:after="0" w:line="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Jennifer Mann</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01"/>
        </w:trPr>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35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58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bl>
    <w:p>
      <w:pPr>
        <w:spacing w:after="0" w:line="98" w:lineRule="exact"/>
        <w:rPr>
          <w:sz w:val="20"/>
          <w:szCs w:val="20"/>
          <w:color w:val="auto"/>
        </w:rPr>
      </w:pPr>
    </w:p>
    <w:p>
      <w:pPr>
        <w:ind w:left="160" w:right="1179"/>
        <w:spacing w:after="0" w:line="279" w:lineRule="auto"/>
        <w:rPr>
          <w:sz w:val="20"/>
          <w:szCs w:val="20"/>
          <w:color w:val="auto"/>
        </w:rPr>
      </w:pPr>
      <w:r>
        <w:rPr>
          <w:rFonts w:ascii="Times New Roman" w:cs="Times New Roman" w:eastAsia="Times New Roman" w:hAnsi="Times New Roman"/>
          <w:sz w:val="16"/>
          <w:szCs w:val="16"/>
          <w:color w:val="auto"/>
        </w:rPr>
        <w:t>Chairman, President, and Chief Executive Officer (Principal Executive Officer)</w:t>
      </w:r>
    </w:p>
    <w:p>
      <w:pPr>
        <w:spacing w:after="0" w:line="73" w:lineRule="exact"/>
        <w:rPr>
          <w:sz w:val="20"/>
          <w:szCs w:val="20"/>
          <w:color w:val="auto"/>
        </w:rPr>
      </w:pPr>
    </w:p>
    <w:p>
      <w:pPr>
        <w:ind w:left="160" w:right="859" w:hanging="123"/>
        <w:spacing w:after="0" w:line="219" w:lineRule="auto"/>
        <w:tabs>
          <w:tab w:leader="none" w:pos="160" w:val="left"/>
        </w:tabs>
        <w:numPr>
          <w:ilvl w:val="0"/>
          <w:numId w:val="253"/>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 xml:space="preserve">Executive Vice President and Chief Financial Officer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(Principal Financial Officer)</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3580" w:type="dxa"/>
            <w:vAlign w:val="bottom"/>
          </w:tcPr>
          <w:p>
            <w:pPr>
              <w:ind w:left="4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Senior Vice President, Chief Accounting Officer</w:t>
            </w:r>
          </w:p>
        </w:tc>
        <w:tc>
          <w:tcPr>
            <w:tcW w:w="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20" w:type="dxa"/>
            <w:vAlign w:val="bottom"/>
          </w:tcPr>
          <w:p>
            <w:pPr>
              <w:spacing w:after="0"/>
              <w:rPr>
                <w:sz w:val="18"/>
                <w:szCs w:val="18"/>
                <w:color w:val="auto"/>
              </w:rPr>
            </w:pPr>
          </w:p>
        </w:tc>
      </w:tr>
      <w:tr>
        <w:trPr>
          <w:trHeight w:val="522"/>
        </w:trPr>
        <w:tc>
          <w:tcPr>
            <w:tcW w:w="3580" w:type="dxa"/>
            <w:vAlign w:val="bottom"/>
          </w:tcPr>
          <w:p>
            <w:pPr>
              <w:ind w:left="4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Lead Independent Director</w:t>
            </w:r>
          </w:p>
        </w:tc>
        <w:tc>
          <w:tcPr>
            <w:tcW w:w="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608"/>
        </w:trPr>
        <w:tc>
          <w:tcPr>
            <w:tcW w:w="3580" w:type="dxa"/>
            <w:vAlign w:val="bottom"/>
          </w:tcPr>
          <w:p>
            <w:pPr>
              <w:ind w:left="4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Director</w:t>
            </w:r>
          </w:p>
        </w:tc>
        <w:tc>
          <w:tcPr>
            <w:tcW w:w="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608"/>
        </w:trPr>
        <w:tc>
          <w:tcPr>
            <w:tcW w:w="3580" w:type="dxa"/>
            <w:vAlign w:val="bottom"/>
          </w:tcPr>
          <w:p>
            <w:pPr>
              <w:ind w:left="4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Director</w:t>
            </w:r>
          </w:p>
        </w:tc>
        <w:tc>
          <w:tcPr>
            <w:tcW w:w="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608"/>
        </w:trPr>
        <w:tc>
          <w:tcPr>
            <w:tcW w:w="3580" w:type="dxa"/>
            <w:vAlign w:val="bottom"/>
          </w:tcPr>
          <w:p>
            <w:pPr>
              <w:ind w:left="4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Director</w:t>
            </w:r>
          </w:p>
        </w:tc>
        <w:tc>
          <w:tcPr>
            <w:tcW w:w="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608"/>
        </w:trPr>
        <w:tc>
          <w:tcPr>
            <w:tcW w:w="3580" w:type="dxa"/>
            <w:vAlign w:val="bottom"/>
          </w:tcPr>
          <w:p>
            <w:pPr>
              <w:ind w:left="4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Director</w:t>
            </w:r>
          </w:p>
        </w:tc>
        <w:tc>
          <w:tcPr>
            <w:tcW w:w="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608"/>
        </w:trPr>
        <w:tc>
          <w:tcPr>
            <w:tcW w:w="3580" w:type="dxa"/>
            <w:vAlign w:val="bottom"/>
          </w:tcPr>
          <w:p>
            <w:pPr>
              <w:ind w:left="4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Director</w:t>
            </w:r>
          </w:p>
        </w:tc>
        <w:tc>
          <w:tcPr>
            <w:tcW w:w="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608"/>
        </w:trPr>
        <w:tc>
          <w:tcPr>
            <w:tcW w:w="3580" w:type="dxa"/>
            <w:vAlign w:val="bottom"/>
          </w:tcPr>
          <w:p>
            <w:pPr>
              <w:ind w:left="4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Director</w:t>
            </w:r>
          </w:p>
        </w:tc>
        <w:tc>
          <w:tcPr>
            <w:tcW w:w="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608"/>
        </w:trPr>
        <w:tc>
          <w:tcPr>
            <w:tcW w:w="3580" w:type="dxa"/>
            <w:vAlign w:val="bottom"/>
          </w:tcPr>
          <w:p>
            <w:pPr>
              <w:ind w:left="4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Director</w:t>
            </w:r>
          </w:p>
        </w:tc>
        <w:tc>
          <w:tcPr>
            <w:tcW w:w="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608"/>
        </w:trPr>
        <w:tc>
          <w:tcPr>
            <w:tcW w:w="3580" w:type="dxa"/>
            <w:vAlign w:val="bottom"/>
          </w:tcPr>
          <w:p>
            <w:pPr>
              <w:ind w:left="40"/>
              <w:spacing w:after="0"/>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Director</w:t>
            </w:r>
          </w:p>
        </w:tc>
        <w:tc>
          <w:tcPr>
            <w:tcW w:w="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741"/>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II-6</w:t>
            </w: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206375</wp:posOffset>
            </wp:positionV>
            <wp:extent cx="6024245" cy="406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2">
            <w:col w:w="3860" w:space="720"/>
            <w:col w:w="4659"/>
          </w:cols>
          <w:pgMar w:left="1220" w:top="94"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100" w:type="dxa"/>
        <w:tblCellMar>
          <w:top w:w="0" w:type="dxa"/>
          <w:left w:w="0" w:type="dxa"/>
          <w:bottom w:w="0" w:type="dxa"/>
          <w:right w:w="0" w:type="dxa"/>
        </w:tblCellMar>
      </w:tblPr>
      <w:tr>
        <w:trPr>
          <w:trHeight w:val="201"/>
        </w:trPr>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1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7"/>
                <w:szCs w:val="17"/>
                <w:color w:val="auto"/>
              </w:rPr>
            </w:pPr>
          </w:p>
        </w:tc>
        <w:tc>
          <w:tcPr>
            <w:tcW w:w="3520" w:type="dxa"/>
            <w:vAlign w:val="bottom"/>
          </w:tcPr>
          <w:p>
            <w:pPr>
              <w:ind w:left="164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9"/>
        </w:trPr>
        <w:tc>
          <w:tcPr>
            <w:tcW w:w="20" w:type="dxa"/>
            <w:vAlign w:val="bottom"/>
          </w:tcPr>
          <w:p>
            <w:pPr>
              <w:spacing w:after="0"/>
              <w:rPr>
                <w:sz w:val="17"/>
                <w:szCs w:val="17"/>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Borders>
              <w:top w:val="single" w:sz="8" w:color="auto"/>
            </w:tcBorders>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317"/>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40" w:type="dxa"/>
            <w:vAlign w:val="bottom"/>
          </w:tcPr>
          <w:p>
            <w:pPr>
              <w:spacing w:after="0"/>
              <w:rPr>
                <w:sz w:val="24"/>
                <w:szCs w:val="24"/>
                <w:color w:val="auto"/>
              </w:rPr>
            </w:pPr>
          </w:p>
        </w:tc>
      </w:tr>
      <w:tr>
        <w:trPr>
          <w:trHeight w:val="47"/>
        </w:trPr>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4"/>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 Wallis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40" w:type="dxa"/>
            <w:vAlign w:val="bottom"/>
          </w:tcPr>
          <w:p>
            <w:pPr>
              <w:spacing w:after="0"/>
              <w:rPr>
                <w:sz w:val="18"/>
                <w:szCs w:val="18"/>
                <w:color w:val="auto"/>
              </w:rPr>
            </w:pPr>
          </w:p>
        </w:tc>
      </w:tr>
      <w:tr>
        <w:trPr>
          <w:trHeight w:val="47"/>
        </w:trPr>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9"/>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H. Wilkins</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6"/>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62" w:lineRule="exact"/>
        <w:rPr>
          <w:sz w:val="20"/>
          <w:szCs w:val="20"/>
          <w:color w:val="auto"/>
        </w:rPr>
      </w:pPr>
    </w:p>
    <w:p>
      <w:pPr>
        <w:ind w:left="1220" w:hanging="117"/>
        <w:spacing w:after="0"/>
        <w:tabs>
          <w:tab w:leader="none" w:pos="12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 H. Lynn Harton</w:t>
      </w:r>
    </w:p>
    <w:p>
      <w:pPr>
        <w:spacing w:after="0" w:line="78" w:lineRule="exact"/>
        <w:rPr>
          <w:rFonts w:ascii="Times New Roman" w:cs="Times New Roman" w:eastAsia="Times New Roman" w:hAnsi="Times New Roman"/>
          <w:sz w:val="16"/>
          <w:szCs w:val="16"/>
          <w:color w:val="auto"/>
        </w:rPr>
      </w:pPr>
    </w:p>
    <w:p>
      <w:pPr>
        <w:ind w:left="1560" w:right="6559"/>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 Lynn Harton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-290830</wp:posOffset>
            </wp:positionV>
            <wp:extent cx="193675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19367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6024245" cy="406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6024245" cy="40640"/>
                    </a:xfrm>
                    <a:prstGeom prst="rect">
                      <a:avLst/>
                    </a:prstGeom>
                    <a:noFill/>
                  </pic:spPr>
                </pic:pic>
              </a:graphicData>
            </a:graphic>
          </wp:anchor>
        </w:drawing>
      </w:r>
    </w:p>
    <w:p>
      <w:pPr>
        <w:sectPr>
          <w:pgSz w:w="11900" w:h="16838" w:orient="portrait"/>
          <w:cols w:equalWidth="0" w:num="1">
            <w:col w:w="9239"/>
          </w:cols>
          <w:pgMar w:left="1220" w:top="94" w:right="1440"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9"/>
          <w:szCs w:val="19"/>
          <w:b w:val="1"/>
          <w:bCs w:val="1"/>
          <w:color w:val="auto"/>
        </w:rPr>
        <w:t>Exhibit 5.1</w:t>
      </w:r>
    </w:p>
    <w:p>
      <w:pPr>
        <w:spacing w:after="0" w:line="2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color w:val="auto"/>
        </w:rPr>
        <w:t>Squire Patton Boggs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1422400" cy="5524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1422400" cy="552450"/>
                    </a:xfrm>
                    <a:prstGeom prst="rect">
                      <a:avLst/>
                    </a:prstGeom>
                    <a:noFill/>
                  </pic:spPr>
                </pic:pic>
              </a:graphicData>
            </a:graphic>
          </wp:anchor>
        </w:drawing>
      </w:r>
    </w:p>
    <w:p>
      <w:pPr>
        <w:spacing w:after="0" w:line="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color w:val="auto"/>
        </w:rPr>
        <w:t>1230 Peachtree Street NE</w:t>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color w:val="auto"/>
        </w:rPr>
        <w:t>Suite 2200</w:t>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color w:val="auto"/>
        </w:rPr>
        <w:t>Atlanta, GA 30309</w:t>
      </w:r>
    </w:p>
    <w:p>
      <w:pPr>
        <w:spacing w:after="0" w:line="18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color w:val="auto"/>
        </w:rPr>
        <w:t>O +1 678 272 3200</w:t>
      </w:r>
    </w:p>
    <w:p>
      <w:pPr>
        <w:spacing w:after="0" w:line="2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color w:val="auto"/>
        </w:rPr>
        <w:t>squirepattonboggs.com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8,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Community Banks,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 East Camperdown 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Greenville, South Carolina 29601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78" w:lineRule="exact"/>
        <w:rPr>
          <w:sz w:val="20"/>
          <w:szCs w:val="20"/>
          <w:color w:val="auto"/>
        </w:rPr>
      </w:pPr>
    </w:p>
    <w:p>
      <w:pPr>
        <w:jc w:val="both"/>
        <w:ind w:firstLine="572"/>
        <w:spacing w:after="0" w:line="256" w:lineRule="auto"/>
        <w:rPr>
          <w:sz w:val="20"/>
          <w:szCs w:val="20"/>
          <w:color w:val="auto"/>
        </w:rPr>
      </w:pPr>
      <w:r>
        <w:rPr>
          <w:rFonts w:ascii="Times New Roman" w:cs="Times New Roman" w:eastAsia="Times New Roman" w:hAnsi="Times New Roman"/>
          <w:sz w:val="16"/>
          <w:szCs w:val="16"/>
          <w:color w:val="auto"/>
        </w:rPr>
        <w:t>We have acted as counsel to United Community Banks, Inc., a Georgia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in connection with the Registration Statement on Form S-4 (as it may be amended, the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filed with the Securities and Exchange Commission (the “</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relating to the registration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of 1,473,218.88 shares of common stock, $1.00 par value per share (“</w:t>
      </w:r>
      <w:r>
        <w:rPr>
          <w:rFonts w:ascii="Times New Roman" w:cs="Times New Roman" w:eastAsia="Times New Roman" w:hAnsi="Times New Roman"/>
          <w:sz w:val="16"/>
          <w:szCs w:val="16"/>
          <w:b w:val="1"/>
          <w:bCs w:val="1"/>
          <w:color w:val="auto"/>
        </w:rPr>
        <w:t>Registered Shares</w:t>
      </w:r>
      <w:r>
        <w:rPr>
          <w:rFonts w:ascii="Times New Roman" w:cs="Times New Roman" w:eastAsia="Times New Roman" w:hAnsi="Times New Roman"/>
          <w:sz w:val="16"/>
          <w:szCs w:val="16"/>
          <w:color w:val="auto"/>
        </w:rPr>
        <w:t>”), to be issued by the Company in connection with the merger of Peach State Bancshares, Inc., a Georgia corporation (“</w:t>
      </w:r>
      <w:r>
        <w:rPr>
          <w:rFonts w:ascii="Times New Roman" w:cs="Times New Roman" w:eastAsia="Times New Roman" w:hAnsi="Times New Roman"/>
          <w:sz w:val="16"/>
          <w:szCs w:val="16"/>
          <w:b w:val="1"/>
          <w:bCs w:val="1"/>
          <w:color w:val="auto"/>
        </w:rPr>
        <w:t>PSBI</w:t>
      </w:r>
      <w:r>
        <w:rPr>
          <w:rFonts w:ascii="Times New Roman" w:cs="Times New Roman" w:eastAsia="Times New Roman" w:hAnsi="Times New Roman"/>
          <w:sz w:val="16"/>
          <w:szCs w:val="16"/>
          <w:color w:val="auto"/>
        </w:rPr>
        <w:t>”), with and into the Company, as described in the Registration Statement pursuant to the Agreement and Plan of Merger, dated as of April 20, 2026 (the “</w:t>
      </w:r>
      <w:r>
        <w:rPr>
          <w:rFonts w:ascii="Times New Roman" w:cs="Times New Roman" w:eastAsia="Times New Roman" w:hAnsi="Times New Roman"/>
          <w:sz w:val="16"/>
          <w:szCs w:val="16"/>
          <w:b w:val="1"/>
          <w:bCs w:val="1"/>
          <w:color w:val="auto"/>
        </w:rPr>
        <w:t>Merger Agreement</w:t>
      </w:r>
      <w:r>
        <w:rPr>
          <w:rFonts w:ascii="Times New Roman" w:cs="Times New Roman" w:eastAsia="Times New Roman" w:hAnsi="Times New Roman"/>
          <w:sz w:val="16"/>
          <w:szCs w:val="16"/>
          <w:color w:val="auto"/>
        </w:rPr>
        <w:t>”), by and between the Company and PSBI.</w:t>
      </w:r>
    </w:p>
    <w:p>
      <w:pPr>
        <w:spacing w:after="0" w:line="164" w:lineRule="exact"/>
        <w:rPr>
          <w:sz w:val="20"/>
          <w:szCs w:val="20"/>
          <w:color w:val="auto"/>
        </w:rPr>
      </w:pPr>
    </w:p>
    <w:p>
      <w:pPr>
        <w:jc w:val="both"/>
        <w:ind w:firstLine="572"/>
        <w:spacing w:after="0" w:line="254" w:lineRule="auto"/>
        <w:rPr>
          <w:sz w:val="20"/>
          <w:szCs w:val="20"/>
          <w:color w:val="auto"/>
        </w:rPr>
      </w:pPr>
      <w:r>
        <w:rPr>
          <w:rFonts w:ascii="Times New Roman" w:cs="Times New Roman" w:eastAsia="Times New Roman" w:hAnsi="Times New Roman"/>
          <w:sz w:val="16"/>
          <w:szCs w:val="16"/>
          <w:color w:val="auto"/>
        </w:rPr>
        <w:t>As such counsel and for purposes of our opinion set forth below, we have examined originals or copies, certified or otherwise identified to our satisfaction, of such documents, resolutions, certificates and instruments of the Company and corporate records furnished to us by the Company, certificates of public officials, statutes, records and such other instruments and documents as we have deemed necessary or appropriate as a basis for the opinion set forth below, including the Merger Agreement, the Registration Statement, the Restated Articles of Incorporation of the Company, as in effect as of the date hereof, and the Amended and Restated Bylaws of the Company, as in effect as of the date hereof, which we collectively refer to herein as the “</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In addition to the foregoing, we have made such investigations of law as we have deemed necessary or appropriate as a basis for the opinion set forth herein.</w:t>
      </w:r>
    </w:p>
    <w:p>
      <w:pPr>
        <w:spacing w:after="0" w:line="166" w:lineRule="exact"/>
        <w:rPr>
          <w:sz w:val="20"/>
          <w:szCs w:val="20"/>
          <w:color w:val="auto"/>
        </w:rPr>
      </w:pPr>
    </w:p>
    <w:p>
      <w:pPr>
        <w:jc w:val="both"/>
        <w:ind w:firstLine="572"/>
        <w:spacing w:after="0" w:line="250" w:lineRule="auto"/>
        <w:rPr>
          <w:sz w:val="20"/>
          <w:szCs w:val="20"/>
          <w:color w:val="auto"/>
        </w:rPr>
      </w:pPr>
      <w:r>
        <w:rPr>
          <w:rFonts w:ascii="Times New Roman" w:cs="Times New Roman" w:eastAsia="Times New Roman" w:hAnsi="Times New Roman"/>
          <w:sz w:val="16"/>
          <w:szCs w:val="16"/>
          <w:color w:val="auto"/>
        </w:rPr>
        <w:t>In such examination and in rendering the opinion expressed below, we have assumed, without independent investigation or verification: (i) the genuineness of all signatures on all agreements, instruments, corporate records, certificates and other documents submitted to us; (ii) the legal capacity, power and authority to perform its obligations thereunder and that each of the Transaction Documents constitutes the valid and binding obligation of all such parties, enforceable against them in accordance with its terms;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authentic originals thereof, and that such originals are authentic and complete; (v) the due authorization, execution and delivery of each of the Transaction Documents by each party thereto (other than the Company); (vi) each such party (in the case of parties which are not natural persons) has been duly organized and is validly existing and in good standing under its jurisdiction of organization; (vii) that the statements contained in the certificates and comparable documents of public officials, officers and representatives of the Company and other persons on which we have relied for the purposes of this opinion set forth below are true and correct; and (viii) that the officers and directors of the Company have properly exercised their fiduciary duties. As to all questions of fact material to the opinion and as to the materiality of any fact or other matter referred to herein, we have relied (without independent investigation) upon representations and certificates or comparable documents of officers and representatives of the Company.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legal matters and issues with the assistance of independent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379095</wp:posOffset>
            </wp:positionV>
            <wp:extent cx="7148195"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5"/>
          <w:szCs w:val="15"/>
          <w:color w:val="auto"/>
        </w:rPr>
        <w:t>United Community Banks, Inc.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8,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Squire Patton Boggs (US) LLP</w:t>
      </w:r>
    </w:p>
    <w:p>
      <w:pPr>
        <w:spacing w:after="0" w:line="589" w:lineRule="exact"/>
        <w:rPr>
          <w:sz w:val="20"/>
          <w:szCs w:val="20"/>
          <w:color w:val="auto"/>
        </w:rPr>
      </w:pPr>
    </w:p>
    <w:p>
      <w:pPr>
        <w:sectPr>
          <w:pgSz w:w="11900" w:h="16838" w:orient="portrait"/>
          <w:cols w:equalWidth="0" w:num="2">
            <w:col w:w="8560" w:space="720"/>
            <w:col w:w="1980"/>
          </w:cols>
          <w:pgMar w:left="320" w:top="814" w:right="319" w:bottom="1440" w:gutter="0" w:footer="0" w:header="0"/>
        </w:sectPr>
      </w:pPr>
    </w:p>
    <w:p>
      <w:pPr>
        <w:jc w:val="both"/>
        <w:ind w:firstLine="572"/>
        <w:spacing w:after="0" w:line="258" w:lineRule="auto"/>
        <w:rPr>
          <w:sz w:val="20"/>
          <w:szCs w:val="20"/>
          <w:color w:val="auto"/>
        </w:rPr>
      </w:pPr>
      <w:r>
        <w:rPr>
          <w:rFonts w:ascii="Times New Roman" w:cs="Times New Roman" w:eastAsia="Times New Roman" w:hAnsi="Times New Roman"/>
          <w:sz w:val="16"/>
          <w:szCs w:val="16"/>
          <w:color w:val="auto"/>
        </w:rPr>
        <w:t>Based upon the foregoing and subject to the qualifications, assumptions and limitations stated herein, we are of the opinion that the Registered Shares to be issued by the Company pursuant to and in the manner contemplated by the terms of the Merger Agreement will be, upon issuance, duly authorized and, when the Registration Statement has been declared effective by order of the Commission and the Registered Shares have been issued and delivered in the manner contemplated by and upon the terms and conditions set forth in the Registration Statement and the Merger Agreement, such Registered Shares will be validly issued, fully paid and nonassessable.</w:t>
      </w:r>
    </w:p>
    <w:p>
      <w:pPr>
        <w:spacing w:after="0" w:line="162" w:lineRule="exact"/>
        <w:rPr>
          <w:sz w:val="20"/>
          <w:szCs w:val="20"/>
          <w:color w:val="auto"/>
        </w:rPr>
      </w:pPr>
    </w:p>
    <w:p>
      <w:pPr>
        <w:jc w:val="both"/>
        <w:ind w:right="20" w:firstLine="572"/>
        <w:spacing w:after="0" w:line="279" w:lineRule="auto"/>
        <w:rPr>
          <w:sz w:val="20"/>
          <w:szCs w:val="20"/>
          <w:color w:val="auto"/>
        </w:rPr>
      </w:pPr>
      <w:r>
        <w:rPr>
          <w:rFonts w:ascii="Times New Roman" w:cs="Times New Roman" w:eastAsia="Times New Roman" w:hAnsi="Times New Roman"/>
          <w:sz w:val="16"/>
          <w:szCs w:val="16"/>
          <w:color w:val="auto"/>
        </w:rPr>
        <w:t>Our opinions expressed above are limited in all respects to the laws of the State of Georgia, as such laws presently exist and to the facts as they presently exist. No opinion is expressed herein as to any matters governed by the law of any other jurisdiction.</w:t>
      </w:r>
    </w:p>
    <w:p>
      <w:pPr>
        <w:spacing w:after="0" w:line="144" w:lineRule="exact"/>
        <w:rPr>
          <w:sz w:val="20"/>
          <w:szCs w:val="20"/>
          <w:color w:val="auto"/>
        </w:rPr>
      </w:pPr>
    </w:p>
    <w:p>
      <w:pPr>
        <w:jc w:val="both"/>
        <w:ind w:firstLine="572"/>
        <w:spacing w:after="0" w:line="258" w:lineRule="auto"/>
        <w:rPr>
          <w:sz w:val="20"/>
          <w:szCs w:val="20"/>
          <w:color w:val="auto"/>
        </w:rPr>
      </w:pPr>
      <w:r>
        <w:rPr>
          <w:rFonts w:ascii="Times New Roman" w:cs="Times New Roman" w:eastAsia="Times New Roman" w:hAnsi="Times New Roman"/>
          <w:sz w:val="16"/>
          <w:szCs w:val="16"/>
          <w:color w:val="auto"/>
        </w:rPr>
        <w:t>The opinion set forth above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and (c) an implied covenant of good faith and fair dealing. We express no opinion as to whether, or the extent to which, the laws of any particular jurisdiction apply to the subject matter hereof, including, without limitation, the enforceability of the governing law provision contained in the Transaction Documents or in any other agreement.</w:t>
      </w:r>
    </w:p>
    <w:p>
      <w:pPr>
        <w:spacing w:after="0" w:line="162" w:lineRule="exact"/>
        <w:rPr>
          <w:sz w:val="20"/>
          <w:szCs w:val="20"/>
          <w:color w:val="auto"/>
        </w:rPr>
      </w:pPr>
    </w:p>
    <w:p>
      <w:pPr>
        <w:jc w:val="both"/>
        <w:ind w:right="20" w:firstLine="572"/>
        <w:spacing w:after="0" w:line="279" w:lineRule="auto"/>
        <w:rPr>
          <w:sz w:val="20"/>
          <w:szCs w:val="20"/>
          <w:color w:val="auto"/>
        </w:rPr>
      </w:pPr>
      <w:r>
        <w:rPr>
          <w:rFonts w:ascii="Times New Roman" w:cs="Times New Roman" w:eastAsia="Times New Roman" w:hAnsi="Times New Roman"/>
          <w:sz w:val="16"/>
          <w:szCs w:val="16"/>
          <w:color w:val="auto"/>
        </w:rPr>
        <w:t>This opinion letter deals only with the specified legal issues expressly addressed herein, and you should not infer any opinion that is not explicitly stated herein from any matter addressed in this opinion letter.</w:t>
      </w:r>
    </w:p>
    <w:p>
      <w:pPr>
        <w:spacing w:after="0" w:line="144" w:lineRule="exact"/>
        <w:rPr>
          <w:sz w:val="20"/>
          <w:szCs w:val="20"/>
          <w:color w:val="auto"/>
        </w:rPr>
      </w:pPr>
    </w:p>
    <w:p>
      <w:pPr>
        <w:jc w:val="both"/>
        <w:ind w:right="20" w:firstLine="572"/>
        <w:spacing w:after="0" w:line="263" w:lineRule="auto"/>
        <w:rPr>
          <w:sz w:val="20"/>
          <w:szCs w:val="20"/>
          <w:color w:val="auto"/>
        </w:rPr>
      </w:pPr>
      <w:r>
        <w:rPr>
          <w:rFonts w:ascii="Times New Roman" w:cs="Times New Roman" w:eastAsia="Times New Roman" w:hAnsi="Times New Roman"/>
          <w:sz w:val="16"/>
          <w:szCs w:val="16"/>
          <w:color w:val="auto"/>
        </w:rPr>
        <w:t>This opinion letter speaks as of the date hereof and we assume no obligation to advise you or any other person with regard to any change after the date hereof in the circumstances or the law that may bear on the matters set forth herein, even though the change may affect the legal analysis, a legal conclusion or other matters in this opinion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7148195"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5"/>
          <w:szCs w:val="15"/>
          <w:color w:val="auto"/>
        </w:rPr>
        <w:t>United Community Banks, Inc.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8,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Squire Patton Boggs (US) LLP</w:t>
      </w:r>
    </w:p>
    <w:p>
      <w:pPr>
        <w:spacing w:after="0" w:line="589" w:lineRule="exact"/>
        <w:rPr>
          <w:sz w:val="20"/>
          <w:szCs w:val="20"/>
          <w:color w:val="auto"/>
        </w:rPr>
      </w:pPr>
    </w:p>
    <w:p>
      <w:pPr>
        <w:sectPr>
          <w:pgSz w:w="11900" w:h="16838" w:orient="portrait"/>
          <w:cols w:equalWidth="0" w:num="2">
            <w:col w:w="8560" w:space="720"/>
            <w:col w:w="1980"/>
          </w:cols>
          <w:pgMar w:left="320" w:top="1005" w:right="319" w:bottom="1440" w:gutter="0" w:footer="0" w:header="0"/>
        </w:sectPr>
      </w:pPr>
    </w:p>
    <w:p>
      <w:pPr>
        <w:jc w:val="both"/>
        <w:ind w:firstLine="572"/>
        <w:spacing w:after="0" w:line="263" w:lineRule="auto"/>
        <w:rPr>
          <w:sz w:val="20"/>
          <w:szCs w:val="20"/>
          <w:color w:val="auto"/>
        </w:rPr>
      </w:pPr>
      <w:r>
        <w:rPr>
          <w:rFonts w:ascii="Times New Roman" w:cs="Times New Roman" w:eastAsia="Times New Roman" w:hAnsi="Times New Roman"/>
          <w:sz w:val="16"/>
          <w:szCs w:val="16"/>
          <w:color w:val="auto"/>
        </w:rPr>
        <w:t>We hereby consent to the filing of this opinion with the Commission as Exhibit 5.1 to the Registration Statement and to the reference to us under the caption “Legal Matters” in the prospectus contained therein. In giving such consent, we do not thereby admit that we are an expert within the meaning of Section 7 of the Securities Act and the rules and regulations thereunder.</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Squire Patton Boggs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14605</wp:posOffset>
            </wp:positionV>
            <wp:extent cx="3570605"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3570605" cy="7620"/>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Squire Patton Boggs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389890</wp:posOffset>
            </wp:positionV>
            <wp:extent cx="7148195"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1005" w:right="319" w:bottom="1440" w:gutter="0" w:footer="0" w:header="0"/>
          <w:type w:val="continuous"/>
        </w:sectPr>
      </w:pPr>
    </w:p>
    <w:bookmarkStart w:id="206" w:name="page207"/>
    <w:bookmarkEnd w:id="206"/>
    <w:p>
      <w:pPr>
        <w:ind w:left="10360"/>
        <w:spacing w:after="0"/>
        <w:rPr>
          <w:sz w:val="20"/>
          <w:szCs w:val="20"/>
          <w:color w:val="auto"/>
        </w:rPr>
      </w:pPr>
      <w:r>
        <w:rPr>
          <w:rFonts w:ascii="Times New Roman" w:cs="Times New Roman" w:eastAsia="Times New Roman" w:hAnsi="Times New Roman"/>
          <w:sz w:val="19"/>
          <w:szCs w:val="19"/>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150495</wp:posOffset>
            </wp:positionV>
            <wp:extent cx="2503805" cy="2190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2503805" cy="219075"/>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MARTIN LIPTON</w:t>
      </w:r>
      <w:r>
        <w:rPr>
          <w:sz w:val="20"/>
          <w:szCs w:val="20"/>
          <w:color w:val="auto"/>
        </w:rPr>
        <w:tab/>
      </w:r>
      <w:r>
        <w:rPr>
          <w:rFonts w:ascii="Times New Roman" w:cs="Times New Roman" w:eastAsia="Times New Roman" w:hAnsi="Times New Roman"/>
          <w:sz w:val="11"/>
          <w:szCs w:val="11"/>
          <w:color w:val="auto"/>
        </w:rPr>
        <w:t>STEPHEN R. DiPRIMA</w:t>
      </w:r>
    </w:p>
    <w:p>
      <w:pPr>
        <w:spacing w:after="0" w:line="234" w:lineRule="auto"/>
        <w:tabs>
          <w:tab w:leader="none" w:pos="1780" w:val="left"/>
        </w:tabs>
        <w:rPr>
          <w:sz w:val="20"/>
          <w:szCs w:val="20"/>
          <w:color w:val="auto"/>
        </w:rPr>
      </w:pPr>
      <w:r>
        <w:rPr>
          <w:rFonts w:ascii="Times New Roman" w:cs="Times New Roman" w:eastAsia="Times New Roman" w:hAnsi="Times New Roman"/>
          <w:sz w:val="11"/>
          <w:szCs w:val="11"/>
          <w:color w:val="auto"/>
        </w:rPr>
        <w:t>HERBERT M. WACHTELL</w:t>
      </w:r>
      <w:r>
        <w:rPr>
          <w:sz w:val="20"/>
          <w:szCs w:val="20"/>
          <w:color w:val="auto"/>
        </w:rPr>
        <w:tab/>
      </w:r>
      <w:r>
        <w:rPr>
          <w:rFonts w:ascii="Times New Roman" w:cs="Times New Roman" w:eastAsia="Times New Roman" w:hAnsi="Times New Roman"/>
          <w:sz w:val="11"/>
          <w:szCs w:val="11"/>
          <w:color w:val="auto"/>
        </w:rPr>
        <w:t>NICHOLAS G. DEMMO</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EDWARD D. HERLIHY</w:t>
      </w:r>
      <w:r>
        <w:rPr>
          <w:sz w:val="20"/>
          <w:szCs w:val="20"/>
          <w:color w:val="auto"/>
        </w:rPr>
        <w:tab/>
      </w:r>
      <w:r>
        <w:rPr>
          <w:rFonts w:ascii="Times New Roman" w:cs="Times New Roman" w:eastAsia="Times New Roman" w:hAnsi="Times New Roman"/>
          <w:sz w:val="11"/>
          <w:szCs w:val="11"/>
          <w:color w:val="auto"/>
        </w:rPr>
        <w:t>IGOR KIRMAN</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DANIEL A. NEFF</w:t>
      </w:r>
      <w:r>
        <w:rPr>
          <w:sz w:val="20"/>
          <w:szCs w:val="20"/>
          <w:color w:val="auto"/>
        </w:rPr>
        <w:tab/>
      </w:r>
      <w:r>
        <w:rPr>
          <w:rFonts w:ascii="Times New Roman" w:cs="Times New Roman" w:eastAsia="Times New Roman" w:hAnsi="Times New Roman"/>
          <w:sz w:val="11"/>
          <w:szCs w:val="11"/>
          <w:color w:val="auto"/>
        </w:rPr>
        <w:t>JONATHAN M. MOSES</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SCOTT K. CHARLES</w:t>
      </w:r>
      <w:r>
        <w:rPr>
          <w:sz w:val="20"/>
          <w:szCs w:val="20"/>
          <w:color w:val="auto"/>
        </w:rPr>
        <w:tab/>
      </w:r>
      <w:r>
        <w:rPr>
          <w:rFonts w:ascii="Times New Roman" w:cs="Times New Roman" w:eastAsia="Times New Roman" w:hAnsi="Times New Roman"/>
          <w:sz w:val="10"/>
          <w:szCs w:val="10"/>
          <w:color w:val="auto"/>
        </w:rPr>
        <w:t>T. EIKO STANGE</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JODI J. SCHWARTZ</w:t>
      </w:r>
      <w:r>
        <w:rPr>
          <w:sz w:val="20"/>
          <w:szCs w:val="20"/>
          <w:color w:val="auto"/>
        </w:rPr>
        <w:tab/>
      </w:r>
      <w:r>
        <w:rPr>
          <w:rFonts w:ascii="Times New Roman" w:cs="Times New Roman" w:eastAsia="Times New Roman" w:hAnsi="Times New Roman"/>
          <w:sz w:val="10"/>
          <w:szCs w:val="10"/>
          <w:color w:val="auto"/>
        </w:rPr>
        <w:t>WILLIAM SAVITT</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ADAM O. EMMERICH</w:t>
      </w:r>
      <w:r>
        <w:rPr>
          <w:sz w:val="20"/>
          <w:szCs w:val="20"/>
          <w:color w:val="auto"/>
        </w:rPr>
        <w:tab/>
      </w:r>
      <w:r>
        <w:rPr>
          <w:rFonts w:ascii="Times New Roman" w:cs="Times New Roman" w:eastAsia="Times New Roman" w:hAnsi="Times New Roman"/>
          <w:sz w:val="11"/>
          <w:szCs w:val="11"/>
          <w:color w:val="auto"/>
        </w:rPr>
        <w:t>GREGORY E. OSTLING</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RALPH M. LEVENE</w:t>
      </w:r>
      <w:r>
        <w:rPr>
          <w:sz w:val="20"/>
          <w:szCs w:val="20"/>
          <w:color w:val="auto"/>
        </w:rPr>
        <w:tab/>
      </w:r>
      <w:r>
        <w:rPr>
          <w:rFonts w:ascii="Times New Roman" w:cs="Times New Roman" w:eastAsia="Times New Roman" w:hAnsi="Times New Roman"/>
          <w:sz w:val="11"/>
          <w:szCs w:val="11"/>
          <w:color w:val="auto"/>
        </w:rPr>
        <w:t>DAVID B. ANDERS</w:t>
      </w:r>
    </w:p>
    <w:p>
      <w:pPr>
        <w:spacing w:after="0" w:line="227" w:lineRule="auto"/>
        <w:tabs>
          <w:tab w:leader="none" w:pos="1780" w:val="left"/>
        </w:tabs>
        <w:rPr>
          <w:sz w:val="20"/>
          <w:szCs w:val="20"/>
          <w:color w:val="auto"/>
        </w:rPr>
      </w:pPr>
      <w:r>
        <w:rPr>
          <w:rFonts w:ascii="Times New Roman" w:cs="Times New Roman" w:eastAsia="Times New Roman" w:hAnsi="Times New Roman"/>
          <w:sz w:val="11"/>
          <w:szCs w:val="11"/>
          <w:color w:val="auto"/>
        </w:rPr>
        <w:t>ROBIN PANOVKA</w:t>
      </w:r>
      <w:r>
        <w:rPr>
          <w:sz w:val="20"/>
          <w:szCs w:val="20"/>
          <w:color w:val="auto"/>
        </w:rPr>
        <w:tab/>
      </w:r>
      <w:r>
        <w:rPr>
          <w:rFonts w:ascii="Times New Roman" w:cs="Times New Roman" w:eastAsia="Times New Roman" w:hAnsi="Times New Roman"/>
          <w:sz w:val="11"/>
          <w:szCs w:val="11"/>
          <w:color w:val="auto"/>
        </w:rPr>
        <w:t>NELSON O. FITTS</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DAVID A. KATZ</w:t>
      </w:r>
      <w:r>
        <w:rPr>
          <w:sz w:val="20"/>
          <w:szCs w:val="20"/>
          <w:color w:val="auto"/>
        </w:rPr>
        <w:tab/>
      </w:r>
      <w:r>
        <w:rPr>
          <w:rFonts w:ascii="Times New Roman" w:cs="Times New Roman" w:eastAsia="Times New Roman" w:hAnsi="Times New Roman"/>
          <w:sz w:val="11"/>
          <w:szCs w:val="11"/>
          <w:color w:val="auto"/>
        </w:rPr>
        <w:t>JOSHUA M. HOLMES</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ILENE KNABLE GOTTS</w:t>
      </w:r>
      <w:r>
        <w:rPr>
          <w:sz w:val="20"/>
          <w:szCs w:val="20"/>
          <w:color w:val="auto"/>
        </w:rPr>
        <w:tab/>
      </w:r>
      <w:r>
        <w:rPr>
          <w:rFonts w:ascii="Times New Roman" w:cs="Times New Roman" w:eastAsia="Times New Roman" w:hAnsi="Times New Roman"/>
          <w:sz w:val="11"/>
          <w:szCs w:val="11"/>
          <w:color w:val="auto"/>
        </w:rPr>
        <w:t>IAN BOCZKO</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ANDREW J. NUSSBAUM</w:t>
      </w:r>
      <w:r>
        <w:rPr>
          <w:sz w:val="20"/>
          <w:szCs w:val="20"/>
          <w:color w:val="auto"/>
        </w:rPr>
        <w:tab/>
      </w:r>
      <w:r>
        <w:rPr>
          <w:rFonts w:ascii="Times New Roman" w:cs="Times New Roman" w:eastAsia="Times New Roman" w:hAnsi="Times New Roman"/>
          <w:sz w:val="11"/>
          <w:szCs w:val="11"/>
          <w:color w:val="auto"/>
        </w:rPr>
        <w:t>MATTHEW M. GUEST</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RACHELLE SILVERBERG</w:t>
      </w:r>
      <w:r>
        <w:rPr>
          <w:sz w:val="20"/>
          <w:szCs w:val="20"/>
          <w:color w:val="auto"/>
        </w:rPr>
        <w:tab/>
      </w:r>
      <w:r>
        <w:rPr>
          <w:rFonts w:ascii="Times New Roman" w:cs="Times New Roman" w:eastAsia="Times New Roman" w:hAnsi="Times New Roman"/>
          <w:sz w:val="10"/>
          <w:szCs w:val="10"/>
          <w:color w:val="auto"/>
        </w:rPr>
        <w:t>DAVID K. LAM</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STEVEN A. COHEN</w:t>
      </w:r>
      <w:r>
        <w:rPr>
          <w:sz w:val="20"/>
          <w:szCs w:val="20"/>
          <w:color w:val="auto"/>
        </w:rPr>
        <w:tab/>
      </w:r>
      <w:r>
        <w:rPr>
          <w:rFonts w:ascii="Times New Roman" w:cs="Times New Roman" w:eastAsia="Times New Roman" w:hAnsi="Times New Roman"/>
          <w:sz w:val="11"/>
          <w:szCs w:val="11"/>
          <w:color w:val="auto"/>
        </w:rPr>
        <w:t>BENJAMIN M. ROTH</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DEBORAH L. PAUL</w:t>
      </w:r>
      <w:r>
        <w:rPr>
          <w:sz w:val="20"/>
          <w:szCs w:val="20"/>
          <w:color w:val="auto"/>
        </w:rPr>
        <w:tab/>
      </w:r>
      <w:r>
        <w:rPr>
          <w:rFonts w:ascii="Times New Roman" w:cs="Times New Roman" w:eastAsia="Times New Roman" w:hAnsi="Times New Roman"/>
          <w:sz w:val="10"/>
          <w:szCs w:val="10"/>
          <w:color w:val="auto"/>
        </w:rPr>
        <w:t>ELAINE P. GOLIN</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DAVID C. KARP</w:t>
      </w:r>
      <w:r>
        <w:rPr>
          <w:sz w:val="20"/>
          <w:szCs w:val="20"/>
          <w:color w:val="auto"/>
        </w:rPr>
        <w:tab/>
      </w:r>
      <w:r>
        <w:rPr>
          <w:rFonts w:ascii="Times New Roman" w:cs="Times New Roman" w:eastAsia="Times New Roman" w:hAnsi="Times New Roman"/>
          <w:sz w:val="11"/>
          <w:szCs w:val="11"/>
          <w:color w:val="auto"/>
        </w:rPr>
        <w:t>EMIL A. KLEINHAUS</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RICHARD K. KIM</w:t>
      </w:r>
      <w:r>
        <w:rPr>
          <w:sz w:val="20"/>
          <w:szCs w:val="20"/>
          <w:color w:val="auto"/>
        </w:rPr>
        <w:tab/>
      </w:r>
      <w:r>
        <w:rPr>
          <w:rFonts w:ascii="Times New Roman" w:cs="Times New Roman" w:eastAsia="Times New Roman" w:hAnsi="Times New Roman"/>
          <w:sz w:val="11"/>
          <w:szCs w:val="11"/>
          <w:color w:val="auto"/>
        </w:rPr>
        <w:t>KARESSA L. CAIN</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JOSHUA R. CAMMAKER</w:t>
      </w:r>
      <w:r>
        <w:rPr>
          <w:sz w:val="20"/>
          <w:szCs w:val="20"/>
          <w:color w:val="auto"/>
        </w:rPr>
        <w:tab/>
      </w:r>
      <w:r>
        <w:rPr>
          <w:rFonts w:ascii="Times New Roman" w:cs="Times New Roman" w:eastAsia="Times New Roman" w:hAnsi="Times New Roman"/>
          <w:sz w:val="11"/>
          <w:szCs w:val="11"/>
          <w:color w:val="auto"/>
        </w:rPr>
        <w:t>RONALD C. CHEN</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MARK GORDON</w:t>
      </w:r>
      <w:r>
        <w:rPr>
          <w:sz w:val="20"/>
          <w:szCs w:val="20"/>
          <w:color w:val="auto"/>
        </w:rPr>
        <w:tab/>
      </w:r>
      <w:r>
        <w:rPr>
          <w:rFonts w:ascii="Times New Roman" w:cs="Times New Roman" w:eastAsia="Times New Roman" w:hAnsi="Times New Roman"/>
          <w:sz w:val="11"/>
          <w:szCs w:val="11"/>
          <w:color w:val="auto"/>
        </w:rPr>
        <w:t>BRADLEY R. WILSON</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JEANNEMARIE O’BRIEN</w:t>
      </w:r>
      <w:r>
        <w:rPr>
          <w:sz w:val="20"/>
          <w:szCs w:val="20"/>
          <w:color w:val="auto"/>
        </w:rPr>
        <w:tab/>
      </w:r>
      <w:r>
        <w:rPr>
          <w:rFonts w:ascii="Times New Roman" w:cs="Times New Roman" w:eastAsia="Times New Roman" w:hAnsi="Times New Roman"/>
          <w:sz w:val="10"/>
          <w:szCs w:val="10"/>
          <w:color w:val="auto"/>
        </w:rPr>
        <w:t>GRAHAM W. MELI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00" w:right="700" w:firstLine="109"/>
        <w:spacing w:after="0" w:line="480" w:lineRule="auto"/>
        <w:tabs>
          <w:tab w:leader="none" w:pos="1358" w:val="left"/>
        </w:tabs>
        <w:numPr>
          <w:ilvl w:val="0"/>
          <w:numId w:val="25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WEST 52ND STREET NEW YORK, N.Y. 10019-6150 TELEPHONE: (212) 403-1000 FACSIMILE: (212) 403-2000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-48260</wp:posOffset>
            </wp:positionV>
            <wp:extent cx="38608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386080" cy="7620"/>
                    </a:xfrm>
                    <a:prstGeom prst="rect">
                      <a:avLst/>
                    </a:prstGeom>
                    <a:noFill/>
                  </pic:spPr>
                </pic:pic>
              </a:graphicData>
            </a:graphic>
          </wp:anchor>
        </w:drawing>
      </w:r>
    </w:p>
    <w:p>
      <w:pPr>
        <w:jc w:val="center"/>
        <w:ind w:left="-479"/>
        <w:spacing w:after="0"/>
        <w:rPr>
          <w:sz w:val="20"/>
          <w:szCs w:val="20"/>
          <w:color w:val="auto"/>
        </w:rPr>
      </w:pPr>
      <w:r>
        <w:rPr>
          <w:rFonts w:ascii="Times New Roman" w:cs="Times New Roman" w:eastAsia="Times New Roman" w:hAnsi="Times New Roman"/>
          <w:sz w:val="11"/>
          <w:szCs w:val="11"/>
          <w:color w:val="auto"/>
        </w:rPr>
        <w:t>GEORGE A. KATZ (1965–1989)</w:t>
      </w:r>
    </w:p>
    <w:p>
      <w:pPr>
        <w:jc w:val="center"/>
        <w:ind w:left="-479"/>
        <w:spacing w:after="0" w:line="234" w:lineRule="auto"/>
        <w:rPr>
          <w:sz w:val="20"/>
          <w:szCs w:val="20"/>
          <w:color w:val="auto"/>
        </w:rPr>
      </w:pPr>
      <w:r>
        <w:rPr>
          <w:rFonts w:ascii="Times New Roman" w:cs="Times New Roman" w:eastAsia="Times New Roman" w:hAnsi="Times New Roman"/>
          <w:sz w:val="11"/>
          <w:szCs w:val="11"/>
          <w:color w:val="auto"/>
        </w:rPr>
        <w:t>JAMES H. FOGELSON (1967–1991)</w:t>
      </w:r>
    </w:p>
    <w:p>
      <w:pPr>
        <w:jc w:val="center"/>
        <w:ind w:left="-479"/>
        <w:spacing w:after="0"/>
        <w:rPr>
          <w:sz w:val="20"/>
          <w:szCs w:val="20"/>
          <w:color w:val="auto"/>
        </w:rPr>
      </w:pPr>
      <w:r>
        <w:rPr>
          <w:rFonts w:ascii="Times New Roman" w:cs="Times New Roman" w:eastAsia="Times New Roman" w:hAnsi="Times New Roman"/>
          <w:sz w:val="11"/>
          <w:szCs w:val="11"/>
          <w:color w:val="auto"/>
        </w:rPr>
        <w:t>LEONARD M. ROSEN (1965–2014)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35560</wp:posOffset>
            </wp:positionV>
            <wp:extent cx="38608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386080" cy="762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440" w:type="dxa"/>
            <w:vAlign w:val="bottom"/>
          </w:tcPr>
          <w:p>
            <w:pPr>
              <w:spacing w:after="0"/>
              <w:rPr>
                <w:sz w:val="12"/>
                <w:szCs w:val="12"/>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OF COUNSEL</w:t>
            </w:r>
          </w:p>
        </w:tc>
      </w:tr>
      <w:tr>
        <w:trPr>
          <w:trHeight w:val="177"/>
        </w:trPr>
        <w:tc>
          <w:tcPr>
            <w:tcW w:w="1440" w:type="dxa"/>
            <w:vAlign w:val="bottom"/>
          </w:tcPr>
          <w:p>
            <w:pPr>
              <w:spacing w:after="0"/>
              <w:rPr>
                <w:sz w:val="20"/>
                <w:szCs w:val="20"/>
                <w:color w:val="auto"/>
              </w:rPr>
            </w:pPr>
            <w:r>
              <w:rPr>
                <w:rFonts w:ascii="Times New Roman" w:cs="Times New Roman" w:eastAsia="Times New Roman" w:hAnsi="Times New Roman"/>
                <w:sz w:val="11"/>
                <w:szCs w:val="11"/>
                <w:color w:val="auto"/>
              </w:rPr>
              <w:t>DAVID M. ADLERSTEIN</w:t>
            </w:r>
          </w:p>
        </w:tc>
        <w:tc>
          <w:tcPr>
            <w:tcW w:w="80" w:type="dxa"/>
            <w:vAlign w:val="bottom"/>
          </w:tcPr>
          <w:p>
            <w:pPr>
              <w:spacing w:after="0"/>
              <w:rPr>
                <w:sz w:val="15"/>
                <w:szCs w:val="15"/>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STEVEN A. ROSENBLUM</w:t>
            </w:r>
          </w:p>
        </w:tc>
      </w:tr>
      <w:tr>
        <w:trPr>
          <w:trHeight w:val="119"/>
        </w:trPr>
        <w:tc>
          <w:tcPr>
            <w:tcW w:w="14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ANDREW R. BROWNSTEIN</w:t>
            </w:r>
          </w:p>
        </w:tc>
        <w:tc>
          <w:tcPr>
            <w:tcW w:w="80" w:type="dxa"/>
            <w:vAlign w:val="bottom"/>
          </w:tcPr>
          <w:p>
            <w:pPr>
              <w:spacing w:after="0"/>
              <w:rPr>
                <w:sz w:val="10"/>
                <w:szCs w:val="10"/>
                <w:color w:val="auto"/>
              </w:rPr>
            </w:pPr>
          </w:p>
        </w:tc>
        <w:tc>
          <w:tcPr>
            <w:tcW w:w="1740" w:type="dxa"/>
            <w:vAlign w:val="bottom"/>
            <w:gridSpan w:val="2"/>
          </w:tcPr>
          <w:p>
            <w:pPr>
              <w:ind w:left="420"/>
              <w:spacing w:after="0" w:line="120" w:lineRule="exact"/>
              <w:rPr>
                <w:sz w:val="20"/>
                <w:szCs w:val="20"/>
                <w:color w:val="auto"/>
              </w:rPr>
            </w:pPr>
            <w:r>
              <w:rPr>
                <w:rFonts w:ascii="Times New Roman" w:cs="Times New Roman" w:eastAsia="Times New Roman" w:hAnsi="Times New Roman"/>
                <w:sz w:val="11"/>
                <w:szCs w:val="11"/>
                <w:color w:val="auto"/>
              </w:rPr>
              <w:t>JOHN F. SAVARESE</w:t>
            </w:r>
          </w:p>
        </w:tc>
      </w:tr>
      <w:tr>
        <w:trPr>
          <w:trHeight w:val="119"/>
        </w:trPr>
        <w:tc>
          <w:tcPr>
            <w:tcW w:w="14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WAYNE M. CARLIN</w:t>
            </w:r>
          </w:p>
        </w:tc>
        <w:tc>
          <w:tcPr>
            <w:tcW w:w="80" w:type="dxa"/>
            <w:vAlign w:val="bottom"/>
          </w:tcPr>
          <w:p>
            <w:pPr>
              <w:spacing w:after="0"/>
              <w:rPr>
                <w:sz w:val="10"/>
                <w:szCs w:val="10"/>
                <w:color w:val="auto"/>
              </w:rPr>
            </w:pPr>
          </w:p>
        </w:tc>
        <w:tc>
          <w:tcPr>
            <w:tcW w:w="1740" w:type="dxa"/>
            <w:vAlign w:val="bottom"/>
            <w:gridSpan w:val="2"/>
          </w:tcPr>
          <w:p>
            <w:pPr>
              <w:ind w:left="420"/>
              <w:spacing w:after="0" w:line="120" w:lineRule="exact"/>
              <w:rPr>
                <w:sz w:val="20"/>
                <w:szCs w:val="20"/>
                <w:color w:val="auto"/>
              </w:rPr>
            </w:pPr>
            <w:r>
              <w:rPr>
                <w:rFonts w:ascii="Times New Roman" w:cs="Times New Roman" w:eastAsia="Times New Roman" w:hAnsi="Times New Roman"/>
                <w:sz w:val="11"/>
                <w:szCs w:val="11"/>
                <w:color w:val="auto"/>
              </w:rPr>
              <w:t>MICHAEL J. SEGAL</w:t>
            </w:r>
          </w:p>
        </w:tc>
      </w:tr>
      <w:tr>
        <w:trPr>
          <w:trHeight w:val="119"/>
        </w:trPr>
        <w:tc>
          <w:tcPr>
            <w:tcW w:w="14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DAMIAN G. DIDDEN</w:t>
            </w:r>
          </w:p>
        </w:tc>
        <w:tc>
          <w:tcPr>
            <w:tcW w:w="80" w:type="dxa"/>
            <w:vAlign w:val="bottom"/>
          </w:tcPr>
          <w:p>
            <w:pPr>
              <w:spacing w:after="0"/>
              <w:rPr>
                <w:sz w:val="10"/>
                <w:szCs w:val="10"/>
                <w:color w:val="auto"/>
              </w:rPr>
            </w:pPr>
          </w:p>
        </w:tc>
        <w:tc>
          <w:tcPr>
            <w:tcW w:w="1740" w:type="dxa"/>
            <w:vAlign w:val="bottom"/>
            <w:gridSpan w:val="2"/>
          </w:tcPr>
          <w:p>
            <w:pPr>
              <w:ind w:left="420"/>
              <w:spacing w:after="0" w:line="120" w:lineRule="exact"/>
              <w:rPr>
                <w:sz w:val="20"/>
                <w:szCs w:val="20"/>
                <w:color w:val="auto"/>
              </w:rPr>
            </w:pPr>
            <w:r>
              <w:rPr>
                <w:rFonts w:ascii="Times New Roman" w:cs="Times New Roman" w:eastAsia="Times New Roman" w:hAnsi="Times New Roman"/>
                <w:sz w:val="11"/>
                <w:szCs w:val="11"/>
                <w:color w:val="auto"/>
              </w:rPr>
              <w:t>ADAM J. SHAPIRO</w:t>
            </w:r>
          </w:p>
        </w:tc>
      </w:tr>
      <w:tr>
        <w:trPr>
          <w:trHeight w:val="119"/>
        </w:trPr>
        <w:tc>
          <w:tcPr>
            <w:tcW w:w="14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SELWYN B. GOLDBERG</w:t>
            </w:r>
          </w:p>
        </w:tc>
        <w:tc>
          <w:tcPr>
            <w:tcW w:w="80" w:type="dxa"/>
            <w:vAlign w:val="bottom"/>
          </w:tcPr>
          <w:p>
            <w:pPr>
              <w:spacing w:after="0"/>
              <w:rPr>
                <w:sz w:val="10"/>
                <w:szCs w:val="10"/>
                <w:color w:val="auto"/>
              </w:rPr>
            </w:pPr>
          </w:p>
        </w:tc>
        <w:tc>
          <w:tcPr>
            <w:tcW w:w="1740" w:type="dxa"/>
            <w:vAlign w:val="bottom"/>
            <w:gridSpan w:val="2"/>
          </w:tcPr>
          <w:p>
            <w:pPr>
              <w:ind w:left="420"/>
              <w:spacing w:after="0" w:line="120" w:lineRule="exact"/>
              <w:rPr>
                <w:sz w:val="20"/>
                <w:szCs w:val="20"/>
                <w:color w:val="auto"/>
              </w:rPr>
            </w:pPr>
            <w:r>
              <w:rPr>
                <w:rFonts w:ascii="Times New Roman" w:cs="Times New Roman" w:eastAsia="Times New Roman" w:hAnsi="Times New Roman"/>
                <w:sz w:val="11"/>
                <w:szCs w:val="11"/>
                <w:color w:val="auto"/>
              </w:rPr>
              <w:t>WON S. SHIN</w:t>
            </w:r>
          </w:p>
        </w:tc>
      </w:tr>
      <w:tr>
        <w:trPr>
          <w:trHeight w:val="119"/>
        </w:trPr>
        <w:tc>
          <w:tcPr>
            <w:tcW w:w="14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PETER C. HEIN</w:t>
            </w:r>
          </w:p>
        </w:tc>
        <w:tc>
          <w:tcPr>
            <w:tcW w:w="80" w:type="dxa"/>
            <w:vAlign w:val="bottom"/>
          </w:tcPr>
          <w:p>
            <w:pPr>
              <w:spacing w:after="0"/>
              <w:rPr>
                <w:sz w:val="10"/>
                <w:szCs w:val="10"/>
                <w:color w:val="auto"/>
              </w:rPr>
            </w:pPr>
          </w:p>
        </w:tc>
        <w:tc>
          <w:tcPr>
            <w:tcW w:w="1740" w:type="dxa"/>
            <w:vAlign w:val="bottom"/>
            <w:gridSpan w:val="2"/>
          </w:tcPr>
          <w:p>
            <w:pPr>
              <w:ind w:left="420"/>
              <w:spacing w:after="0" w:line="120" w:lineRule="exact"/>
              <w:rPr>
                <w:sz w:val="20"/>
                <w:szCs w:val="20"/>
                <w:color w:val="auto"/>
              </w:rPr>
            </w:pPr>
            <w:r>
              <w:rPr>
                <w:rFonts w:ascii="Times New Roman" w:cs="Times New Roman" w:eastAsia="Times New Roman" w:hAnsi="Times New Roman"/>
                <w:sz w:val="11"/>
                <w:szCs w:val="11"/>
                <w:color w:val="auto"/>
              </w:rPr>
              <w:t>DAVID M. SILK</w:t>
            </w:r>
          </w:p>
        </w:tc>
      </w:tr>
      <w:tr>
        <w:trPr>
          <w:trHeight w:val="119"/>
        </w:trPr>
        <w:tc>
          <w:tcPr>
            <w:tcW w:w="14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DAVID E. KAHAN</w:t>
            </w:r>
          </w:p>
        </w:tc>
        <w:tc>
          <w:tcPr>
            <w:tcW w:w="80" w:type="dxa"/>
            <w:vAlign w:val="bottom"/>
          </w:tcPr>
          <w:p>
            <w:pPr>
              <w:spacing w:after="0"/>
              <w:rPr>
                <w:sz w:val="10"/>
                <w:szCs w:val="10"/>
                <w:color w:val="auto"/>
              </w:rPr>
            </w:pPr>
          </w:p>
        </w:tc>
        <w:tc>
          <w:tcPr>
            <w:tcW w:w="1740" w:type="dxa"/>
            <w:vAlign w:val="bottom"/>
            <w:gridSpan w:val="2"/>
          </w:tcPr>
          <w:p>
            <w:pPr>
              <w:ind w:left="420"/>
              <w:spacing w:after="0" w:line="120" w:lineRule="exact"/>
              <w:rPr>
                <w:sz w:val="20"/>
                <w:szCs w:val="20"/>
                <w:color w:val="auto"/>
              </w:rPr>
            </w:pPr>
            <w:r>
              <w:rPr>
                <w:rFonts w:ascii="Times New Roman" w:cs="Times New Roman" w:eastAsia="Times New Roman" w:hAnsi="Times New Roman"/>
                <w:sz w:val="11"/>
                <w:szCs w:val="11"/>
                <w:color w:val="auto"/>
              </w:rPr>
              <w:t>ELLIOTT V. STEIN</w:t>
            </w:r>
          </w:p>
        </w:tc>
      </w:tr>
      <w:tr>
        <w:trPr>
          <w:trHeight w:val="119"/>
        </w:trPr>
        <w:tc>
          <w:tcPr>
            <w:tcW w:w="14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JB KELLY*</w:t>
            </w:r>
          </w:p>
        </w:tc>
        <w:tc>
          <w:tcPr>
            <w:tcW w:w="80" w:type="dxa"/>
            <w:vAlign w:val="bottom"/>
          </w:tcPr>
          <w:p>
            <w:pPr>
              <w:spacing w:after="0"/>
              <w:rPr>
                <w:sz w:val="10"/>
                <w:szCs w:val="10"/>
                <w:color w:val="auto"/>
              </w:rPr>
            </w:pPr>
          </w:p>
        </w:tc>
        <w:tc>
          <w:tcPr>
            <w:tcW w:w="1740" w:type="dxa"/>
            <w:vAlign w:val="bottom"/>
            <w:gridSpan w:val="2"/>
          </w:tcPr>
          <w:p>
            <w:pPr>
              <w:ind w:left="420"/>
              <w:spacing w:after="0" w:line="120" w:lineRule="exact"/>
              <w:rPr>
                <w:sz w:val="20"/>
                <w:szCs w:val="20"/>
                <w:color w:val="auto"/>
              </w:rPr>
            </w:pPr>
            <w:r>
              <w:rPr>
                <w:rFonts w:ascii="Times New Roman" w:cs="Times New Roman" w:eastAsia="Times New Roman" w:hAnsi="Times New Roman"/>
                <w:sz w:val="11"/>
                <w:szCs w:val="11"/>
                <w:color w:val="auto"/>
              </w:rPr>
              <w:t>LEO E. STRINE, JR.**</w:t>
            </w:r>
          </w:p>
        </w:tc>
      </w:tr>
      <w:tr>
        <w:trPr>
          <w:trHeight w:val="119"/>
        </w:trPr>
        <w:tc>
          <w:tcPr>
            <w:tcW w:w="14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JOSEPH D. LARSON</w:t>
            </w:r>
          </w:p>
        </w:tc>
        <w:tc>
          <w:tcPr>
            <w:tcW w:w="80" w:type="dxa"/>
            <w:vAlign w:val="bottom"/>
          </w:tcPr>
          <w:p>
            <w:pPr>
              <w:spacing w:after="0"/>
              <w:rPr>
                <w:sz w:val="10"/>
                <w:szCs w:val="10"/>
                <w:color w:val="auto"/>
              </w:rPr>
            </w:pPr>
          </w:p>
        </w:tc>
        <w:tc>
          <w:tcPr>
            <w:tcW w:w="1740" w:type="dxa"/>
            <w:vAlign w:val="bottom"/>
            <w:gridSpan w:val="2"/>
          </w:tcPr>
          <w:p>
            <w:pPr>
              <w:ind w:left="420"/>
              <w:spacing w:after="0" w:line="120" w:lineRule="exact"/>
              <w:rPr>
                <w:sz w:val="20"/>
                <w:szCs w:val="20"/>
                <w:color w:val="auto"/>
              </w:rPr>
            </w:pPr>
            <w:r>
              <w:rPr>
                <w:rFonts w:ascii="Times New Roman" w:cs="Times New Roman" w:eastAsia="Times New Roman" w:hAnsi="Times New Roman"/>
                <w:sz w:val="11"/>
                <w:szCs w:val="11"/>
                <w:color w:val="auto"/>
              </w:rPr>
              <w:t>STEPHANIE L. TEICHER</w:t>
            </w:r>
          </w:p>
        </w:tc>
      </w:tr>
      <w:tr>
        <w:trPr>
          <w:trHeight w:val="119"/>
        </w:trPr>
        <w:tc>
          <w:tcPr>
            <w:tcW w:w="14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RICHARD G. MASON</w:t>
            </w:r>
          </w:p>
        </w:tc>
        <w:tc>
          <w:tcPr>
            <w:tcW w:w="80" w:type="dxa"/>
            <w:vAlign w:val="bottom"/>
          </w:tcPr>
          <w:p>
            <w:pPr>
              <w:spacing w:after="0"/>
              <w:rPr>
                <w:sz w:val="10"/>
                <w:szCs w:val="10"/>
                <w:color w:val="auto"/>
              </w:rPr>
            </w:pPr>
          </w:p>
        </w:tc>
        <w:tc>
          <w:tcPr>
            <w:tcW w:w="1740" w:type="dxa"/>
            <w:vAlign w:val="bottom"/>
            <w:gridSpan w:val="2"/>
          </w:tcPr>
          <w:p>
            <w:pPr>
              <w:ind w:left="420"/>
              <w:spacing w:after="0" w:line="120" w:lineRule="exact"/>
              <w:rPr>
                <w:sz w:val="20"/>
                <w:szCs w:val="20"/>
                <w:color w:val="auto"/>
              </w:rPr>
            </w:pPr>
            <w:r>
              <w:rPr>
                <w:rFonts w:ascii="Times New Roman" w:cs="Times New Roman" w:eastAsia="Times New Roman" w:hAnsi="Times New Roman"/>
                <w:sz w:val="11"/>
                <w:szCs w:val="11"/>
                <w:color w:val="auto"/>
                <w:w w:val="98"/>
              </w:rPr>
              <w:t>PAUL VIZCARRONDO, JR.</w:t>
            </w:r>
          </w:p>
        </w:tc>
      </w:tr>
      <w:tr>
        <w:trPr>
          <w:trHeight w:val="119"/>
        </w:trPr>
        <w:tc>
          <w:tcPr>
            <w:tcW w:w="14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PHILIP MINDLIN</w:t>
            </w:r>
          </w:p>
        </w:tc>
        <w:tc>
          <w:tcPr>
            <w:tcW w:w="80" w:type="dxa"/>
            <w:vAlign w:val="bottom"/>
          </w:tcPr>
          <w:p>
            <w:pPr>
              <w:spacing w:after="0"/>
              <w:rPr>
                <w:sz w:val="10"/>
                <w:szCs w:val="10"/>
                <w:color w:val="auto"/>
              </w:rPr>
            </w:pPr>
          </w:p>
        </w:tc>
        <w:tc>
          <w:tcPr>
            <w:tcW w:w="1740" w:type="dxa"/>
            <w:vAlign w:val="bottom"/>
            <w:gridSpan w:val="2"/>
          </w:tcPr>
          <w:p>
            <w:pPr>
              <w:ind w:left="420"/>
              <w:spacing w:after="0" w:line="120" w:lineRule="exact"/>
              <w:rPr>
                <w:sz w:val="20"/>
                <w:szCs w:val="20"/>
                <w:color w:val="auto"/>
              </w:rPr>
            </w:pPr>
            <w:r>
              <w:rPr>
                <w:rFonts w:ascii="Times New Roman" w:cs="Times New Roman" w:eastAsia="Times New Roman" w:hAnsi="Times New Roman"/>
                <w:sz w:val="11"/>
                <w:szCs w:val="11"/>
                <w:color w:val="auto"/>
              </w:rPr>
              <w:t>JEFFREY M. WINTNER</w:t>
            </w:r>
          </w:p>
        </w:tc>
      </w:tr>
      <w:tr>
        <w:trPr>
          <w:trHeight w:val="119"/>
        </w:trPr>
        <w:tc>
          <w:tcPr>
            <w:tcW w:w="14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THEODORE N. MIRVIS</w:t>
            </w:r>
          </w:p>
        </w:tc>
        <w:tc>
          <w:tcPr>
            <w:tcW w:w="80" w:type="dxa"/>
            <w:vAlign w:val="bottom"/>
          </w:tcPr>
          <w:p>
            <w:pPr>
              <w:spacing w:after="0"/>
              <w:rPr>
                <w:sz w:val="10"/>
                <w:szCs w:val="10"/>
                <w:color w:val="auto"/>
              </w:rPr>
            </w:pPr>
          </w:p>
        </w:tc>
        <w:tc>
          <w:tcPr>
            <w:tcW w:w="1740" w:type="dxa"/>
            <w:vAlign w:val="bottom"/>
            <w:gridSpan w:val="2"/>
          </w:tcPr>
          <w:p>
            <w:pPr>
              <w:ind w:left="420"/>
              <w:spacing w:after="0" w:line="120" w:lineRule="exact"/>
              <w:rPr>
                <w:sz w:val="20"/>
                <w:szCs w:val="20"/>
                <w:color w:val="auto"/>
              </w:rPr>
            </w:pPr>
            <w:r>
              <w:rPr>
                <w:rFonts w:ascii="Times New Roman" w:cs="Times New Roman" w:eastAsia="Times New Roman" w:hAnsi="Times New Roman"/>
                <w:sz w:val="11"/>
                <w:szCs w:val="11"/>
                <w:color w:val="auto"/>
              </w:rPr>
              <w:t>AMY R. WOLF</w:t>
            </w:r>
          </w:p>
        </w:tc>
      </w:tr>
      <w:tr>
        <w:trPr>
          <w:trHeight w:val="145"/>
        </w:trPr>
        <w:tc>
          <w:tcPr>
            <w:tcW w:w="1440" w:type="dxa"/>
            <w:vAlign w:val="bottom"/>
          </w:tcPr>
          <w:p>
            <w:pPr>
              <w:spacing w:after="0"/>
              <w:rPr>
                <w:sz w:val="20"/>
                <w:szCs w:val="20"/>
                <w:color w:val="auto"/>
              </w:rPr>
            </w:pPr>
            <w:r>
              <w:rPr>
                <w:rFonts w:ascii="Times New Roman" w:cs="Times New Roman" w:eastAsia="Times New Roman" w:hAnsi="Times New Roman"/>
                <w:sz w:val="11"/>
                <w:szCs w:val="11"/>
                <w:color w:val="auto"/>
              </w:rPr>
              <w:t>ERIC S. ROBINSON</w:t>
            </w:r>
          </w:p>
        </w:tc>
        <w:tc>
          <w:tcPr>
            <w:tcW w:w="80" w:type="dxa"/>
            <w:vAlign w:val="bottom"/>
          </w:tcPr>
          <w:p>
            <w:pPr>
              <w:spacing w:after="0"/>
              <w:rPr>
                <w:sz w:val="12"/>
                <w:szCs w:val="12"/>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MARC WOLINSKY</w:t>
            </w:r>
          </w:p>
        </w:tc>
      </w:tr>
      <w:tr>
        <w:trPr>
          <w:trHeight w:val="97"/>
        </w:trPr>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r>
      <w:tr>
        <w:trPr>
          <w:trHeight w:val="169"/>
        </w:trPr>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COUNSEL</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GREGORY E. PESSIN</w:t>
      </w:r>
      <w:r>
        <w:rPr>
          <w:sz w:val="20"/>
          <w:szCs w:val="20"/>
          <w:color w:val="auto"/>
        </w:rPr>
        <w:tab/>
      </w:r>
      <w:r>
        <w:rPr>
          <w:rFonts w:ascii="Times New Roman" w:cs="Times New Roman" w:eastAsia="Times New Roman" w:hAnsi="Times New Roman"/>
          <w:sz w:val="11"/>
          <w:szCs w:val="11"/>
          <w:color w:val="auto"/>
        </w:rPr>
        <w:t>RACHEL B. REISBERG</w:t>
      </w:r>
    </w:p>
    <w:p>
      <w:pPr>
        <w:spacing w:after="0" w:line="234" w:lineRule="auto"/>
        <w:tabs>
          <w:tab w:leader="none" w:pos="1780" w:val="left"/>
        </w:tabs>
        <w:rPr>
          <w:sz w:val="20"/>
          <w:szCs w:val="20"/>
          <w:color w:val="auto"/>
        </w:rPr>
      </w:pPr>
      <w:r>
        <w:rPr>
          <w:rFonts w:ascii="Times New Roman" w:cs="Times New Roman" w:eastAsia="Times New Roman" w:hAnsi="Times New Roman"/>
          <w:sz w:val="11"/>
          <w:szCs w:val="11"/>
          <w:color w:val="auto"/>
        </w:rPr>
        <w:t>CARRIE M. REILLY</w:t>
      </w:r>
      <w:r>
        <w:rPr>
          <w:sz w:val="20"/>
          <w:szCs w:val="20"/>
          <w:color w:val="auto"/>
        </w:rPr>
        <w:tab/>
      </w:r>
      <w:r>
        <w:rPr>
          <w:rFonts w:ascii="Times New Roman" w:cs="Times New Roman" w:eastAsia="Times New Roman" w:hAnsi="Times New Roman"/>
          <w:sz w:val="11"/>
          <w:szCs w:val="11"/>
          <w:color w:val="auto"/>
        </w:rPr>
        <w:t>CYNTHIA FERNANDEZ</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MARK F. VEBLEN</w:t>
      </w:r>
      <w:r>
        <w:rPr>
          <w:sz w:val="20"/>
          <w:szCs w:val="20"/>
          <w:color w:val="auto"/>
        </w:rPr>
        <w:tab/>
      </w:r>
      <w:r>
        <w:rPr>
          <w:rFonts w:ascii="Times New Roman" w:cs="Times New Roman" w:eastAsia="Times New Roman" w:hAnsi="Times New Roman"/>
          <w:sz w:val="10"/>
          <w:szCs w:val="10"/>
          <w:color w:val="auto"/>
        </w:rPr>
        <w:t>LUMERMANN</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SARAH K. EDDY</w:t>
      </w:r>
      <w:r>
        <w:rPr>
          <w:sz w:val="20"/>
          <w:szCs w:val="20"/>
          <w:color w:val="auto"/>
        </w:rPr>
        <w:tab/>
      </w:r>
      <w:r>
        <w:rPr>
          <w:rFonts w:ascii="Times New Roman" w:cs="Times New Roman" w:eastAsia="Times New Roman" w:hAnsi="Times New Roman"/>
          <w:sz w:val="10"/>
          <w:szCs w:val="10"/>
          <w:color w:val="auto"/>
        </w:rPr>
        <w:t>CHRISTINA C. MA</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VICTOR GOLDFELD</w:t>
      </w:r>
      <w:r>
        <w:rPr>
          <w:sz w:val="20"/>
          <w:szCs w:val="20"/>
          <w:color w:val="auto"/>
        </w:rPr>
        <w:tab/>
      </w:r>
      <w:r>
        <w:rPr>
          <w:rFonts w:ascii="Times New Roman" w:cs="Times New Roman" w:eastAsia="Times New Roman" w:hAnsi="Times New Roman"/>
          <w:sz w:val="10"/>
          <w:szCs w:val="10"/>
          <w:color w:val="auto"/>
        </w:rPr>
        <w:t>BENJAMIN S. ARFA</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RANDALL W. JACKSON</w:t>
      </w:r>
      <w:r>
        <w:rPr>
          <w:sz w:val="20"/>
          <w:szCs w:val="20"/>
          <w:color w:val="auto"/>
        </w:rPr>
        <w:tab/>
      </w:r>
      <w:r>
        <w:rPr>
          <w:rFonts w:ascii="Times New Roman" w:cs="Times New Roman" w:eastAsia="Times New Roman" w:hAnsi="Times New Roman"/>
          <w:sz w:val="10"/>
          <w:szCs w:val="10"/>
          <w:color w:val="auto"/>
        </w:rPr>
        <w:t>NATHANIEL D. CULLERTON</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BRANDON C. PRICE</w:t>
      </w:r>
      <w:r>
        <w:rPr>
          <w:sz w:val="20"/>
          <w:szCs w:val="20"/>
          <w:color w:val="auto"/>
        </w:rPr>
        <w:tab/>
      </w:r>
      <w:r>
        <w:rPr>
          <w:rFonts w:ascii="Times New Roman" w:cs="Times New Roman" w:eastAsia="Times New Roman" w:hAnsi="Times New Roman"/>
          <w:sz w:val="11"/>
          <w:szCs w:val="11"/>
          <w:color w:val="auto"/>
        </w:rPr>
        <w:t>ERIC M. FEINSTEIN</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KEVIN S. SCHWARTZ</w:t>
      </w:r>
      <w:r>
        <w:rPr>
          <w:sz w:val="20"/>
          <w:szCs w:val="20"/>
          <w:color w:val="auto"/>
        </w:rPr>
        <w:tab/>
      </w:r>
      <w:r>
        <w:rPr>
          <w:rFonts w:ascii="Times New Roman" w:cs="Times New Roman" w:eastAsia="Times New Roman" w:hAnsi="Times New Roman"/>
          <w:sz w:val="10"/>
          <w:szCs w:val="10"/>
          <w:color w:val="auto"/>
        </w:rPr>
        <w:t>ADAM L. GOODMAN</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MICHAEL S. BENN</w:t>
      </w:r>
      <w:r>
        <w:rPr>
          <w:sz w:val="20"/>
          <w:szCs w:val="20"/>
          <w:color w:val="auto"/>
        </w:rPr>
        <w:tab/>
      </w:r>
      <w:r>
        <w:rPr>
          <w:rFonts w:ascii="Times New Roman" w:cs="Times New Roman" w:eastAsia="Times New Roman" w:hAnsi="Times New Roman"/>
          <w:sz w:val="10"/>
          <w:szCs w:val="10"/>
          <w:color w:val="auto"/>
        </w:rPr>
        <w:t>STEVEN R. GREEN</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TIJANA J. DVORNIC</w:t>
      </w:r>
      <w:r>
        <w:rPr>
          <w:sz w:val="20"/>
          <w:szCs w:val="20"/>
          <w:color w:val="auto"/>
        </w:rPr>
        <w:tab/>
      </w:r>
      <w:r>
        <w:rPr>
          <w:rFonts w:ascii="Times New Roman" w:cs="Times New Roman" w:eastAsia="Times New Roman" w:hAnsi="Times New Roman"/>
          <w:sz w:val="11"/>
          <w:szCs w:val="11"/>
          <w:color w:val="auto"/>
        </w:rPr>
        <w:t>MENG LU</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JENNA E. LEVINE</w:t>
      </w:r>
      <w:r>
        <w:rPr>
          <w:sz w:val="20"/>
          <w:szCs w:val="20"/>
          <w:color w:val="auto"/>
        </w:rPr>
        <w:tab/>
      </w:r>
      <w:r>
        <w:rPr>
          <w:rFonts w:ascii="Times New Roman" w:cs="Times New Roman" w:eastAsia="Times New Roman" w:hAnsi="Times New Roman"/>
          <w:sz w:val="10"/>
          <w:szCs w:val="10"/>
          <w:color w:val="auto"/>
        </w:rPr>
        <w:t>AHSAN M. BARKATULLAH</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RYAN A. McLEOD</w:t>
      </w:r>
      <w:r>
        <w:rPr>
          <w:sz w:val="20"/>
          <w:szCs w:val="20"/>
          <w:color w:val="auto"/>
        </w:rPr>
        <w:tab/>
      </w:r>
      <w:r>
        <w:rPr>
          <w:rFonts w:ascii="Times New Roman" w:cs="Times New Roman" w:eastAsia="Times New Roman" w:hAnsi="Times New Roman"/>
          <w:sz w:val="10"/>
          <w:szCs w:val="10"/>
          <w:color w:val="auto"/>
        </w:rPr>
        <w:t>MATTHEW T. CARPENTER</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ANITHA REDDY</w:t>
      </w:r>
      <w:r>
        <w:rPr>
          <w:sz w:val="20"/>
          <w:szCs w:val="20"/>
          <w:color w:val="auto"/>
        </w:rPr>
        <w:tab/>
      </w:r>
      <w:r>
        <w:rPr>
          <w:rFonts w:ascii="Times New Roman" w:cs="Times New Roman" w:eastAsia="Times New Roman" w:hAnsi="Times New Roman"/>
          <w:sz w:val="11"/>
          <w:szCs w:val="11"/>
          <w:color w:val="auto"/>
        </w:rPr>
        <w:t>MICHAEL H. CASSEL</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JOHN L. ROBINSON</w:t>
      </w:r>
      <w:r>
        <w:rPr>
          <w:sz w:val="20"/>
          <w:szCs w:val="20"/>
          <w:color w:val="auto"/>
        </w:rPr>
        <w:tab/>
      </w:r>
      <w:r>
        <w:rPr>
          <w:rFonts w:ascii="Times New Roman" w:cs="Times New Roman" w:eastAsia="Times New Roman" w:hAnsi="Times New Roman"/>
          <w:sz w:val="11"/>
          <w:szCs w:val="11"/>
          <w:color w:val="auto"/>
        </w:rPr>
        <w:t>HANNAH CLARK</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STEVEN WINTER</w:t>
      </w:r>
      <w:r>
        <w:rPr>
          <w:sz w:val="20"/>
          <w:szCs w:val="20"/>
          <w:color w:val="auto"/>
        </w:rPr>
        <w:tab/>
      </w:r>
      <w:r>
        <w:rPr>
          <w:rFonts w:ascii="Times New Roman" w:cs="Times New Roman" w:eastAsia="Times New Roman" w:hAnsi="Times New Roman"/>
          <w:sz w:val="10"/>
          <w:szCs w:val="10"/>
          <w:color w:val="auto"/>
        </w:rPr>
        <w:t>KYLE M. DIAMOND</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JACOB A. KLING</w:t>
      </w:r>
      <w:r>
        <w:rPr>
          <w:sz w:val="20"/>
          <w:szCs w:val="20"/>
          <w:color w:val="auto"/>
        </w:rPr>
        <w:tab/>
      </w:r>
      <w:r>
        <w:rPr>
          <w:rFonts w:ascii="Times New Roman" w:cs="Times New Roman" w:eastAsia="Times New Roman" w:hAnsi="Times New Roman"/>
          <w:sz w:val="10"/>
          <w:szCs w:val="10"/>
          <w:color w:val="auto"/>
        </w:rPr>
        <w:t>JUSTIN R. ORR</w:t>
      </w:r>
    </w:p>
    <w:p>
      <w:pPr>
        <w:spacing w:after="0"/>
        <w:tabs>
          <w:tab w:leader="none" w:pos="1780" w:val="left"/>
        </w:tabs>
        <w:rPr>
          <w:sz w:val="20"/>
          <w:szCs w:val="20"/>
          <w:color w:val="auto"/>
        </w:rPr>
      </w:pPr>
      <w:r>
        <w:rPr>
          <w:rFonts w:ascii="Times New Roman" w:cs="Times New Roman" w:eastAsia="Times New Roman" w:hAnsi="Times New Roman"/>
          <w:sz w:val="11"/>
          <w:szCs w:val="11"/>
          <w:color w:val="auto"/>
        </w:rPr>
        <w:t>RAAJ S. NARAYAN</w:t>
      </w:r>
      <w:r>
        <w:rPr>
          <w:sz w:val="20"/>
          <w:szCs w:val="20"/>
          <w:color w:val="auto"/>
        </w:rPr>
        <w:tab/>
      </w:r>
      <w:r>
        <w:rPr>
          <w:rFonts w:ascii="Times New Roman" w:cs="Times New Roman" w:eastAsia="Times New Roman" w:hAnsi="Times New Roman"/>
          <w:sz w:val="10"/>
          <w:szCs w:val="10"/>
          <w:color w:val="auto"/>
        </w:rPr>
        <w:t>EMILY E. SAMRA</w:t>
      </w:r>
    </w:p>
    <w:p>
      <w:pPr>
        <w:spacing w:after="0" w:line="226" w:lineRule="auto"/>
        <w:tabs>
          <w:tab w:leader="none" w:pos="1780" w:val="left"/>
        </w:tabs>
        <w:rPr>
          <w:sz w:val="20"/>
          <w:szCs w:val="20"/>
          <w:color w:val="auto"/>
        </w:rPr>
      </w:pPr>
      <w:r>
        <w:rPr>
          <w:rFonts w:ascii="Times New Roman" w:cs="Times New Roman" w:eastAsia="Times New Roman" w:hAnsi="Times New Roman"/>
          <w:sz w:val="11"/>
          <w:szCs w:val="11"/>
          <w:color w:val="auto"/>
        </w:rPr>
        <w:t>MICHAEL J. SCHOBEL</w:t>
      </w:r>
      <w:r>
        <w:rPr>
          <w:sz w:val="20"/>
          <w:szCs w:val="20"/>
          <w:color w:val="auto"/>
        </w:rPr>
        <w:tab/>
      </w:r>
      <w:r>
        <w:rPr>
          <w:rFonts w:ascii="Times New Roman" w:cs="Times New Roman" w:eastAsia="Times New Roman" w:hAnsi="Times New Roman"/>
          <w:sz w:val="11"/>
          <w:szCs w:val="11"/>
          <w:color w:val="auto"/>
        </w:rPr>
        <w:t>GEORGE N. TEPE</w:t>
      </w:r>
    </w:p>
    <w:p>
      <w:pPr>
        <w:spacing w:after="0" w:line="226" w:lineRule="auto"/>
        <w:rPr>
          <w:sz w:val="20"/>
          <w:szCs w:val="20"/>
          <w:color w:val="auto"/>
        </w:rPr>
      </w:pPr>
      <w:r>
        <w:rPr>
          <w:rFonts w:ascii="Times New Roman" w:cs="Times New Roman" w:eastAsia="Times New Roman" w:hAnsi="Times New Roman"/>
          <w:sz w:val="11"/>
          <w:szCs w:val="11"/>
          <w:color w:val="auto"/>
        </w:rPr>
        <w:t>ELINA TETELBAUM</w:t>
      </w:r>
    </w:p>
    <w:p>
      <w:pPr>
        <w:spacing w:after="0"/>
        <w:rPr>
          <w:sz w:val="20"/>
          <w:szCs w:val="20"/>
          <w:color w:val="auto"/>
        </w:rPr>
      </w:pPr>
      <w:r>
        <w:rPr>
          <w:rFonts w:ascii="Times New Roman" w:cs="Times New Roman" w:eastAsia="Times New Roman" w:hAnsi="Times New Roman"/>
          <w:sz w:val="11"/>
          <w:szCs w:val="11"/>
          <w:color w:val="auto"/>
        </w:rPr>
        <w:t>LAUREN M. KOFKE</w:t>
      </w:r>
    </w:p>
    <w:p>
      <w:pPr>
        <w:spacing w:after="0" w:line="1314" w:lineRule="exact"/>
        <w:rPr>
          <w:sz w:val="20"/>
          <w:szCs w:val="20"/>
          <w:color w:val="auto"/>
        </w:rPr>
      </w:pPr>
    </w:p>
    <w:p>
      <w:pPr>
        <w:sectPr>
          <w:pgSz w:w="11900" w:h="16838" w:orient="portrait"/>
          <w:cols w:equalWidth="0" w:num="3">
            <w:col w:w="3100" w:space="720"/>
            <w:col w:w="3260" w:space="700"/>
            <w:col w:w="3480"/>
          </w:cols>
          <w:pgMar w:left="320" w:top="327" w:right="319" w:bottom="1440" w:gutter="0" w:footer="0" w:header="0"/>
          <w:type w:val="continuous"/>
        </w:sectPr>
      </w:pPr>
    </w:p>
    <w:p>
      <w:pPr>
        <w:ind w:left="3820"/>
        <w:spacing w:after="0"/>
        <w:rPr>
          <w:sz w:val="20"/>
          <w:szCs w:val="20"/>
          <w:color w:val="auto"/>
        </w:rPr>
      </w:pPr>
      <w:r>
        <w:rPr>
          <w:rFonts w:ascii="Times New Roman" w:cs="Times New Roman" w:eastAsia="Times New Roman" w:hAnsi="Times New Roman"/>
          <w:sz w:val="11"/>
          <w:szCs w:val="11"/>
          <w:color w:val="auto"/>
        </w:rPr>
        <w:t>LOREN BRASWELL</w:t>
      </w:r>
    </w:p>
    <w:p>
      <w:pPr>
        <w:ind w:left="3820"/>
        <w:spacing w:after="0" w:line="234" w:lineRule="auto"/>
        <w:rPr>
          <w:sz w:val="20"/>
          <w:szCs w:val="20"/>
          <w:color w:val="auto"/>
        </w:rPr>
      </w:pPr>
      <w:r>
        <w:rPr>
          <w:rFonts w:ascii="Times New Roman" w:cs="Times New Roman" w:eastAsia="Times New Roman" w:hAnsi="Times New Roman"/>
          <w:sz w:val="11"/>
          <w:szCs w:val="11"/>
          <w:color w:val="auto"/>
        </w:rPr>
        <w:t>HEATHER D. CASTEEL</w:t>
      </w:r>
    </w:p>
    <w:p>
      <w:pPr>
        <w:ind w:left="3820"/>
        <w:spacing w:after="0" w:line="226" w:lineRule="auto"/>
        <w:rPr>
          <w:sz w:val="20"/>
          <w:szCs w:val="20"/>
          <w:color w:val="auto"/>
        </w:rPr>
      </w:pPr>
      <w:r>
        <w:rPr>
          <w:rFonts w:ascii="Times New Roman" w:cs="Times New Roman" w:eastAsia="Times New Roman" w:hAnsi="Times New Roman"/>
          <w:sz w:val="11"/>
          <w:szCs w:val="11"/>
          <w:color w:val="auto"/>
        </w:rPr>
        <w:t>FRANCO CASTELLI</w:t>
      </w:r>
    </w:p>
    <w:p>
      <w:pPr>
        <w:ind w:left="3820"/>
        <w:spacing w:after="0" w:line="226" w:lineRule="auto"/>
        <w:rPr>
          <w:sz w:val="20"/>
          <w:szCs w:val="20"/>
          <w:color w:val="auto"/>
        </w:rPr>
      </w:pPr>
      <w:r>
        <w:rPr>
          <w:rFonts w:ascii="Times New Roman" w:cs="Times New Roman" w:eastAsia="Times New Roman" w:hAnsi="Times New Roman"/>
          <w:sz w:val="11"/>
          <w:szCs w:val="11"/>
          <w:color w:val="auto"/>
        </w:rPr>
        <w:t>ANDREW J.H. CHEUNG</w:t>
      </w:r>
    </w:p>
    <w:p>
      <w:pPr>
        <w:ind w:left="3820"/>
        <w:spacing w:after="0" w:line="226" w:lineRule="auto"/>
        <w:rPr>
          <w:sz w:val="20"/>
          <w:szCs w:val="20"/>
          <w:color w:val="auto"/>
        </w:rPr>
      </w:pPr>
      <w:r>
        <w:rPr>
          <w:rFonts w:ascii="Times New Roman" w:cs="Times New Roman" w:eastAsia="Times New Roman" w:hAnsi="Times New Roman"/>
          <w:sz w:val="11"/>
          <w:szCs w:val="11"/>
          <w:color w:val="auto"/>
        </w:rPr>
        <w:t>PAMELA EHRENKRANZ</w:t>
      </w:r>
    </w:p>
    <w:p>
      <w:pPr>
        <w:ind w:left="3820"/>
        <w:spacing w:after="0" w:line="226" w:lineRule="auto"/>
        <w:rPr>
          <w:sz w:val="20"/>
          <w:szCs w:val="20"/>
          <w:color w:val="auto"/>
        </w:rPr>
      </w:pPr>
      <w:r>
        <w:rPr>
          <w:rFonts w:ascii="Times New Roman" w:cs="Times New Roman" w:eastAsia="Times New Roman" w:hAnsi="Times New Roman"/>
          <w:sz w:val="11"/>
          <w:szCs w:val="11"/>
          <w:color w:val="auto"/>
        </w:rPr>
        <w:t>ALINE R. FLODR</w:t>
      </w:r>
    </w:p>
    <w:p>
      <w:pPr>
        <w:ind w:left="3820"/>
        <w:spacing w:after="0"/>
        <w:rPr>
          <w:sz w:val="20"/>
          <w:szCs w:val="20"/>
          <w:color w:val="auto"/>
        </w:rPr>
      </w:pPr>
      <w:r>
        <w:rPr>
          <w:rFonts w:ascii="Times New Roman" w:cs="Times New Roman" w:eastAsia="Times New Roman" w:hAnsi="Times New Roman"/>
          <w:sz w:val="10"/>
          <w:szCs w:val="10"/>
          <w:color w:val="auto"/>
        </w:rPr>
        <w:t>KATHRYN GETTLES-ATWA</w:t>
      </w:r>
    </w:p>
    <w:p>
      <w:pPr>
        <w:ind w:left="3820"/>
        <w:spacing w:after="0" w:line="233" w:lineRule="auto"/>
        <w:rPr>
          <w:sz w:val="20"/>
          <w:szCs w:val="20"/>
          <w:color w:val="auto"/>
        </w:rPr>
      </w:pPr>
      <w:r>
        <w:rPr>
          <w:rFonts w:ascii="Times New Roman" w:cs="Times New Roman" w:eastAsia="Times New Roman" w:hAnsi="Times New Roman"/>
          <w:sz w:val="11"/>
          <w:szCs w:val="11"/>
          <w:color w:val="auto"/>
        </w:rPr>
        <w:t>LEDINA GOCAJ</w:t>
      </w:r>
    </w:p>
    <w:p>
      <w:pPr>
        <w:ind w:left="3820"/>
        <w:spacing w:after="0" w:line="226" w:lineRule="auto"/>
        <w:rPr>
          <w:sz w:val="20"/>
          <w:szCs w:val="20"/>
          <w:color w:val="auto"/>
        </w:rPr>
      </w:pPr>
      <w:r>
        <w:rPr>
          <w:rFonts w:ascii="Times New Roman" w:cs="Times New Roman" w:eastAsia="Times New Roman" w:hAnsi="Times New Roman"/>
          <w:sz w:val="11"/>
          <w:szCs w:val="11"/>
          <w:color w:val="auto"/>
        </w:rPr>
        <w:t>ADAM M. GOGOLAK</w:t>
      </w:r>
    </w:p>
    <w:p>
      <w:pPr>
        <w:ind w:left="3820"/>
        <w:spacing w:after="0" w:line="226" w:lineRule="auto"/>
        <w:rPr>
          <w:sz w:val="20"/>
          <w:szCs w:val="20"/>
          <w:color w:val="auto"/>
        </w:rPr>
      </w:pPr>
      <w:r>
        <w:rPr>
          <w:rFonts w:ascii="Times New Roman" w:cs="Times New Roman" w:eastAsia="Times New Roman" w:hAnsi="Times New Roman"/>
          <w:sz w:val="11"/>
          <w:szCs w:val="11"/>
          <w:color w:val="auto"/>
        </w:rPr>
        <w:t>ANGELA K. HERRING</w:t>
      </w:r>
    </w:p>
    <w:p>
      <w:pPr>
        <w:ind w:left="3820"/>
        <w:spacing w:after="0"/>
        <w:rPr>
          <w:sz w:val="20"/>
          <w:szCs w:val="20"/>
          <w:color w:val="auto"/>
        </w:rPr>
      </w:pPr>
      <w:r>
        <w:rPr>
          <w:rFonts w:ascii="Times New Roman" w:cs="Times New Roman" w:eastAsia="Times New Roman" w:hAnsi="Times New Roman"/>
          <w:sz w:val="11"/>
          <w:szCs w:val="11"/>
          <w:color w:val="auto"/>
        </w:rPr>
        <w:t>MICHAEL W. HOLT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DONGHWA KIM</w:t>
      </w:r>
    </w:p>
    <w:p>
      <w:pPr>
        <w:spacing w:after="0" w:line="234" w:lineRule="auto"/>
        <w:rPr>
          <w:sz w:val="20"/>
          <w:szCs w:val="20"/>
          <w:color w:val="auto"/>
        </w:rPr>
      </w:pPr>
      <w:r>
        <w:rPr>
          <w:rFonts w:ascii="Times New Roman" w:cs="Times New Roman" w:eastAsia="Times New Roman" w:hAnsi="Times New Roman"/>
          <w:sz w:val="11"/>
          <w:szCs w:val="11"/>
          <w:color w:val="auto"/>
        </w:rPr>
        <w:t>MARK A. KOENIG</w:t>
      </w:r>
    </w:p>
    <w:p>
      <w:pPr>
        <w:spacing w:after="0" w:line="226" w:lineRule="auto"/>
        <w:rPr>
          <w:sz w:val="20"/>
          <w:szCs w:val="20"/>
          <w:color w:val="auto"/>
        </w:rPr>
      </w:pPr>
      <w:r>
        <w:rPr>
          <w:rFonts w:ascii="Times New Roman" w:cs="Times New Roman" w:eastAsia="Times New Roman" w:hAnsi="Times New Roman"/>
          <w:sz w:val="11"/>
          <w:szCs w:val="11"/>
          <w:color w:val="auto"/>
        </w:rPr>
        <w:t>J. AUSTIN LYONS</w:t>
      </w:r>
    </w:p>
    <w:p>
      <w:pPr>
        <w:spacing w:after="0" w:line="226" w:lineRule="auto"/>
        <w:rPr>
          <w:sz w:val="20"/>
          <w:szCs w:val="20"/>
          <w:color w:val="auto"/>
        </w:rPr>
      </w:pPr>
      <w:r>
        <w:rPr>
          <w:rFonts w:ascii="Times New Roman" w:cs="Times New Roman" w:eastAsia="Times New Roman" w:hAnsi="Times New Roman"/>
          <w:sz w:val="11"/>
          <w:szCs w:val="11"/>
          <w:color w:val="auto"/>
        </w:rPr>
        <w:t>ALEXANDER S. MACKLER**</w:t>
      </w:r>
    </w:p>
    <w:p>
      <w:pPr>
        <w:spacing w:after="0" w:line="226" w:lineRule="auto"/>
        <w:rPr>
          <w:sz w:val="20"/>
          <w:szCs w:val="20"/>
          <w:color w:val="auto"/>
        </w:rPr>
      </w:pPr>
      <w:r>
        <w:rPr>
          <w:rFonts w:ascii="Times New Roman" w:cs="Times New Roman" w:eastAsia="Times New Roman" w:hAnsi="Times New Roman"/>
          <w:sz w:val="11"/>
          <w:szCs w:val="11"/>
          <w:color w:val="auto"/>
        </w:rPr>
        <w:t>STEPHANIE A. MARSHAK</w:t>
      </w:r>
    </w:p>
    <w:p>
      <w:pPr>
        <w:spacing w:after="0" w:line="226" w:lineRule="auto"/>
        <w:rPr>
          <w:sz w:val="20"/>
          <w:szCs w:val="20"/>
          <w:color w:val="auto"/>
        </w:rPr>
      </w:pPr>
      <w:r>
        <w:rPr>
          <w:rFonts w:ascii="Times New Roman" w:cs="Times New Roman" w:eastAsia="Times New Roman" w:hAnsi="Times New Roman"/>
          <w:sz w:val="11"/>
          <w:szCs w:val="11"/>
          <w:color w:val="auto"/>
        </w:rPr>
        <w:t>ALICIA C. McCARTHY</w:t>
      </w:r>
    </w:p>
    <w:p>
      <w:pPr>
        <w:spacing w:after="0" w:line="226" w:lineRule="auto"/>
        <w:rPr>
          <w:sz w:val="20"/>
          <w:szCs w:val="20"/>
          <w:color w:val="auto"/>
        </w:rPr>
      </w:pPr>
      <w:r>
        <w:rPr>
          <w:rFonts w:ascii="Times New Roman" w:cs="Times New Roman" w:eastAsia="Times New Roman" w:hAnsi="Times New Roman"/>
          <w:sz w:val="11"/>
          <w:szCs w:val="11"/>
          <w:color w:val="auto"/>
        </w:rPr>
        <w:t>JOSEPH S. PAYNE</w:t>
      </w:r>
    </w:p>
    <w:p>
      <w:pPr>
        <w:spacing w:after="0" w:line="226" w:lineRule="auto"/>
        <w:rPr>
          <w:sz w:val="20"/>
          <w:szCs w:val="20"/>
          <w:color w:val="auto"/>
        </w:rPr>
      </w:pPr>
      <w:r>
        <w:rPr>
          <w:rFonts w:ascii="Times New Roman" w:cs="Times New Roman" w:eastAsia="Times New Roman" w:hAnsi="Times New Roman"/>
          <w:sz w:val="11"/>
          <w:szCs w:val="11"/>
          <w:color w:val="auto"/>
        </w:rPr>
        <w:t>NICOLE D. SHARER</w:t>
      </w:r>
    </w:p>
    <w:p>
      <w:pPr>
        <w:spacing w:after="0" w:line="227" w:lineRule="auto"/>
        <w:rPr>
          <w:sz w:val="20"/>
          <w:szCs w:val="20"/>
          <w:color w:val="auto"/>
        </w:rPr>
      </w:pPr>
      <w:r>
        <w:rPr>
          <w:rFonts w:ascii="Times New Roman" w:cs="Times New Roman" w:eastAsia="Times New Roman" w:hAnsi="Times New Roman"/>
          <w:sz w:val="11"/>
          <w:szCs w:val="11"/>
          <w:color w:val="auto"/>
        </w:rPr>
        <w:t>NEIL M. SNYDER</w:t>
      </w:r>
    </w:p>
    <w:p>
      <w:pPr>
        <w:spacing w:after="0" w:line="226" w:lineRule="auto"/>
        <w:rPr>
          <w:sz w:val="20"/>
          <w:szCs w:val="20"/>
          <w:color w:val="auto"/>
        </w:rPr>
      </w:pPr>
      <w:r>
        <w:rPr>
          <w:rFonts w:ascii="Times New Roman" w:cs="Times New Roman" w:eastAsia="Times New Roman" w:hAnsi="Times New Roman"/>
          <w:sz w:val="11"/>
          <w:szCs w:val="11"/>
          <w:color w:val="auto"/>
        </w:rPr>
        <w:t>JEFFREY A. WATIKER</w:t>
      </w:r>
    </w:p>
    <w:p>
      <w:pPr>
        <w:spacing w:after="0"/>
        <w:rPr>
          <w:sz w:val="20"/>
          <w:szCs w:val="20"/>
          <w:color w:val="auto"/>
        </w:rPr>
      </w:pPr>
      <w:r>
        <w:rPr>
          <w:rFonts w:ascii="Times New Roman" w:cs="Times New Roman" w:eastAsia="Times New Roman" w:hAnsi="Times New Roman"/>
          <w:sz w:val="11"/>
          <w:szCs w:val="11"/>
          <w:color w:val="auto"/>
        </w:rPr>
        <w:t>DAVID P.T. WEBB</w:t>
      </w:r>
    </w:p>
    <w:p>
      <w:pPr>
        <w:spacing w:after="0" w:line="112" w:lineRule="exact"/>
        <w:rPr>
          <w:sz w:val="20"/>
          <w:szCs w:val="20"/>
          <w:color w:val="auto"/>
        </w:rPr>
      </w:pPr>
    </w:p>
    <w:p>
      <w:pPr>
        <w:sectPr>
          <w:pgSz w:w="11900" w:h="16838" w:orient="portrait"/>
          <w:cols w:equalWidth="0" w:num="2">
            <w:col w:w="5200" w:space="560"/>
            <w:col w:w="5500"/>
          </w:cols>
          <w:pgMar w:left="320" w:top="32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Community Banks,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 East Camperdown 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Greenville, South Carolina 29601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Times New Roman" w:cs="Times New Roman" w:eastAsia="Times New Roman" w:hAnsi="Times New Roman"/>
          <w:sz w:val="11"/>
          <w:szCs w:val="11"/>
          <w:color w:val="auto"/>
        </w:rPr>
        <w:t>*ADMITTED IN THE DISTRICT OF COLUMBIA AND NORTH CAROLINA</w:t>
      </w:r>
    </w:p>
    <w:p>
      <w:pPr>
        <w:spacing w:after="0" w:line="5" w:lineRule="exact"/>
        <w:rPr>
          <w:sz w:val="20"/>
          <w:szCs w:val="20"/>
          <w:color w:val="auto"/>
        </w:rPr>
      </w:pPr>
    </w:p>
    <w:p>
      <w:pPr>
        <w:jc w:val="center"/>
        <w:ind w:right="3880"/>
        <w:spacing w:after="0"/>
        <w:rPr>
          <w:sz w:val="20"/>
          <w:szCs w:val="20"/>
          <w:color w:val="auto"/>
        </w:rPr>
      </w:pPr>
      <w:r>
        <w:rPr>
          <w:rFonts w:ascii="Times New Roman" w:cs="Times New Roman" w:eastAsia="Times New Roman" w:hAnsi="Times New Roman"/>
          <w:sz w:val="11"/>
          <w:szCs w:val="11"/>
          <w:color w:val="auto"/>
        </w:rPr>
        <w:t>**ADMITTED IN DELAWARE</w:t>
      </w:r>
    </w:p>
    <w:p>
      <w:pPr>
        <w:spacing w:after="0" w:line="194"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6"/>
          <w:szCs w:val="16"/>
          <w:color w:val="auto"/>
        </w:rPr>
        <w:t>June 8, 2026</w:t>
      </w:r>
    </w:p>
    <w:p>
      <w:pPr>
        <w:spacing w:after="0" w:line="1340" w:lineRule="exact"/>
        <w:rPr>
          <w:sz w:val="20"/>
          <w:szCs w:val="20"/>
          <w:color w:val="auto"/>
        </w:rPr>
      </w:pPr>
    </w:p>
    <w:p>
      <w:pPr>
        <w:sectPr>
          <w:pgSz w:w="11900" w:h="16838" w:orient="portrait"/>
          <w:cols w:equalWidth="0" w:num="2">
            <w:col w:w="3100" w:space="720"/>
            <w:col w:w="7440"/>
          </w:cols>
          <w:pgMar w:left="320" w:top="327" w:right="319" w:bottom="1440" w:gutter="0" w:footer="0" w:header="0"/>
          <w:type w:val="continuous"/>
        </w:sectPr>
      </w:pPr>
    </w:p>
    <w:p>
      <w:pPr>
        <w:ind w:right="20" w:firstLine="1144"/>
        <w:spacing w:after="0" w:line="263" w:lineRule="auto"/>
        <w:rPr>
          <w:sz w:val="20"/>
          <w:szCs w:val="20"/>
          <w:color w:val="auto"/>
        </w:rPr>
      </w:pPr>
      <w:r>
        <w:rPr>
          <w:rFonts w:ascii="Times New Roman" w:cs="Times New Roman" w:eastAsia="Times New Roman" w:hAnsi="Times New Roman"/>
          <w:sz w:val="16"/>
          <w:szCs w:val="16"/>
          <w:color w:val="auto"/>
        </w:rPr>
        <w:t>Reference is made to the Registration Statement on Form S-4 (as amended or supplemented through the date hereof,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of United Community Banks, Inc., a Georgia corporation (“</w:t>
      </w:r>
      <w:r>
        <w:rPr>
          <w:rFonts w:ascii="Times New Roman" w:cs="Times New Roman" w:eastAsia="Times New Roman" w:hAnsi="Times New Roman"/>
          <w:sz w:val="16"/>
          <w:szCs w:val="16"/>
          <w:u w:val="single" w:color="auto"/>
          <w:color w:val="auto"/>
        </w:rPr>
        <w:t>UCB</w:t>
      </w:r>
      <w:r>
        <w:rPr>
          <w:rFonts w:ascii="Times New Roman" w:cs="Times New Roman" w:eastAsia="Times New Roman" w:hAnsi="Times New Roman"/>
          <w:sz w:val="16"/>
          <w:szCs w:val="16"/>
          <w:color w:val="auto"/>
        </w:rPr>
        <w:t>”), including the proxy statement/prospectus forming a part thereof, relating to the proposed transaction between UCB and Peach State Bancshares, Inc., a Georgia corporation.</w:t>
      </w:r>
    </w:p>
    <w:p>
      <w:pPr>
        <w:spacing w:after="0" w:line="15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We have participated in the preparation of the discussion set forth in the section entitled “MATERIAL U.S. FEDERAL INCOME TAX CONSEQUENCES OF THE MERGER” in the Registration Statement. In our opinion, such discussion of those consequences, insofar as it summarizes United States federal income tax law, and subject to the qualifications, exceptions, assumptions and limitations described therein, is accurate in all material respects.</w:t>
      </w:r>
    </w:p>
    <w:p>
      <w:pPr>
        <w:spacing w:after="0" w:line="158"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6"/>
          <w:szCs w:val="16"/>
          <w:color w:val="auto"/>
        </w:rPr>
        <w:t>We hereby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w:t>
      </w:r>
    </w:p>
    <w:p>
      <w:pPr>
        <w:spacing w:after="0" w:line="1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847090</wp:posOffset>
            </wp:positionV>
            <wp:extent cx="714819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135890</wp:posOffset>
            </wp:positionV>
            <wp:extent cx="1633855" cy="3327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1633855" cy="3327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type w:val="continuous"/>
        </w:sectPr>
      </w:pPr>
    </w:p>
    <w:bookmarkStart w:id="207" w:name="page208"/>
    <w:bookmarkEnd w:id="207"/>
    <w:p>
      <w:pPr>
        <w:jc w:val="right"/>
        <w:spacing w:after="0"/>
        <w:rPr>
          <w:sz w:val="20"/>
          <w:szCs w:val="20"/>
          <w:color w:val="auto"/>
        </w:rPr>
      </w:pPr>
      <w:r>
        <w:rPr>
          <w:rFonts w:ascii="Times New Roman" w:cs="Times New Roman" w:eastAsia="Times New Roman" w:hAnsi="Times New Roman"/>
          <w:sz w:val="19"/>
          <w:szCs w:val="19"/>
          <w:b w:val="1"/>
          <w:bCs w:val="1"/>
          <w:color w:val="auto"/>
        </w:rPr>
        <w:t>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150495</wp:posOffset>
            </wp:positionV>
            <wp:extent cx="1618615" cy="2190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1618615" cy="21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 Park Avenue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NY 10016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212-210-9400 | Fax: 212-210-9444</w:t>
      </w:r>
    </w:p>
    <w:p>
      <w:pPr>
        <w:spacing w:after="0" w:line="178" w:lineRule="exact"/>
        <w:rPr>
          <w:sz w:val="20"/>
          <w:szCs w:val="20"/>
          <w:color w:val="auto"/>
        </w:rPr>
      </w:pPr>
    </w:p>
    <w:p>
      <w:pPr>
        <w:spacing w:after="0"/>
        <w:tabs>
          <w:tab w:leader="none" w:pos="4680" w:val="left"/>
          <w:tab w:leader="none" w:pos="7640" w:val="left"/>
        </w:tabs>
        <w:rPr>
          <w:sz w:val="20"/>
          <w:szCs w:val="20"/>
          <w:color w:val="auto"/>
        </w:rPr>
      </w:pPr>
      <w:r>
        <w:rPr>
          <w:rFonts w:ascii="Times New Roman" w:cs="Times New Roman" w:eastAsia="Times New Roman" w:hAnsi="Times New Roman"/>
          <w:sz w:val="16"/>
          <w:szCs w:val="16"/>
          <w:b w:val="1"/>
          <w:bCs w:val="1"/>
          <w:color w:val="auto"/>
        </w:rPr>
        <w:t>Heather M. Ripley</w:t>
      </w:r>
      <w:r>
        <w:rPr>
          <w:sz w:val="20"/>
          <w:szCs w:val="20"/>
          <w:color w:val="auto"/>
        </w:rPr>
        <w:tab/>
      </w:r>
      <w:r>
        <w:rPr>
          <w:rFonts w:ascii="Times New Roman" w:cs="Times New Roman" w:eastAsia="Times New Roman" w:hAnsi="Times New Roman"/>
          <w:sz w:val="16"/>
          <w:szCs w:val="16"/>
          <w:color w:val="auto"/>
        </w:rPr>
        <w:t xml:space="preserve">Direct Dial: </w:t>
      </w:r>
      <w:r>
        <w:rPr>
          <w:rFonts w:ascii="Times New Roman" w:cs="Times New Roman" w:eastAsia="Times New Roman" w:hAnsi="Times New Roman"/>
          <w:sz w:val="16"/>
          <w:szCs w:val="16"/>
          <w:b w:val="1"/>
          <w:bCs w:val="1"/>
          <w:color w:val="auto"/>
        </w:rPr>
        <w:t>+1 212 210 9549</w:t>
      </w:r>
      <w:r>
        <w:rPr>
          <w:sz w:val="20"/>
          <w:szCs w:val="20"/>
          <w:color w:val="auto"/>
        </w:rPr>
        <w:tab/>
      </w:r>
      <w:r>
        <w:rPr>
          <w:rFonts w:ascii="Times New Roman" w:cs="Times New Roman" w:eastAsia="Times New Roman" w:hAnsi="Times New Roman"/>
          <w:sz w:val="15"/>
          <w:szCs w:val="15"/>
          <w:color w:val="auto"/>
        </w:rPr>
        <w:t xml:space="preserve">Email: </w:t>
      </w:r>
      <w:r>
        <w:rPr>
          <w:rFonts w:ascii="Times New Roman" w:cs="Times New Roman" w:eastAsia="Times New Roman" w:hAnsi="Times New Roman"/>
          <w:sz w:val="15"/>
          <w:szCs w:val="15"/>
          <w:b w:val="1"/>
          <w:bCs w:val="1"/>
          <w:color w:val="auto"/>
        </w:rPr>
        <w:t>heather.ripley@alston.com</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June 8,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Peach State Bancshares,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121 E Butler Parkway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Gainesville, Georgia 30501</w:t>
      </w:r>
    </w:p>
    <w:p>
      <w:pPr>
        <w:spacing w:after="0" w:line="18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Re:</w:t>
      </w:r>
      <w:r>
        <w:rPr>
          <w:sz w:val="20"/>
          <w:szCs w:val="20"/>
          <w:color w:val="auto"/>
        </w:rPr>
        <w:tab/>
      </w:r>
      <w:r>
        <w:rPr>
          <w:rFonts w:ascii="Times New Roman" w:cs="Times New Roman" w:eastAsia="Times New Roman" w:hAnsi="Times New Roman"/>
          <w:sz w:val="16"/>
          <w:szCs w:val="16"/>
          <w:color w:val="auto"/>
        </w:rPr>
        <w:t>S-4 Accuracy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7" w:lineRule="exact"/>
        <w:rPr>
          <w:sz w:val="20"/>
          <w:szCs w:val="20"/>
          <w:color w:val="auto"/>
        </w:rPr>
      </w:pPr>
    </w:p>
    <w:p>
      <w:pPr>
        <w:jc w:val="both"/>
        <w:ind w:right="20" w:firstLine="572"/>
        <w:spacing w:after="0" w:line="263" w:lineRule="auto"/>
        <w:rPr>
          <w:sz w:val="20"/>
          <w:szCs w:val="20"/>
          <w:color w:val="auto"/>
        </w:rPr>
      </w:pPr>
      <w:r>
        <w:rPr>
          <w:rFonts w:ascii="Times New Roman" w:cs="Times New Roman" w:eastAsia="Times New Roman" w:hAnsi="Times New Roman"/>
          <w:sz w:val="16"/>
          <w:szCs w:val="16"/>
          <w:color w:val="auto"/>
        </w:rPr>
        <w:t>Reference is made to the Registration Statement on Form S-4 (as amended or supplemented through the date hereof,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of United Community Banks, Inc., a Georgia corporation (“</w:t>
      </w:r>
      <w:r>
        <w:rPr>
          <w:rFonts w:ascii="Times New Roman" w:cs="Times New Roman" w:eastAsia="Times New Roman" w:hAnsi="Times New Roman"/>
          <w:sz w:val="16"/>
          <w:szCs w:val="16"/>
          <w:u w:val="single" w:color="auto"/>
          <w:color w:val="auto"/>
        </w:rPr>
        <w:t>UCB</w:t>
      </w:r>
      <w:r>
        <w:rPr>
          <w:rFonts w:ascii="Times New Roman" w:cs="Times New Roman" w:eastAsia="Times New Roman" w:hAnsi="Times New Roman"/>
          <w:sz w:val="16"/>
          <w:szCs w:val="16"/>
          <w:color w:val="auto"/>
        </w:rPr>
        <w:t>”), including the proxy statement/prospectus forming a part thereof, relating to the proposed transaction between UCB and Peach State Bancshares, Inc., a Georgia corporation.</w:t>
      </w:r>
    </w:p>
    <w:p>
      <w:pPr>
        <w:spacing w:after="0" w:line="158" w:lineRule="exact"/>
        <w:rPr>
          <w:sz w:val="20"/>
          <w:szCs w:val="20"/>
          <w:color w:val="auto"/>
        </w:rPr>
      </w:pPr>
    </w:p>
    <w:p>
      <w:pPr>
        <w:jc w:val="both"/>
        <w:ind w:firstLine="572"/>
        <w:spacing w:after="0" w:line="263" w:lineRule="auto"/>
        <w:rPr>
          <w:sz w:val="20"/>
          <w:szCs w:val="20"/>
          <w:color w:val="auto"/>
        </w:rPr>
      </w:pPr>
      <w:r>
        <w:rPr>
          <w:rFonts w:ascii="Times New Roman" w:cs="Times New Roman" w:eastAsia="Times New Roman" w:hAnsi="Times New Roman"/>
          <w:sz w:val="16"/>
          <w:szCs w:val="16"/>
          <w:color w:val="auto"/>
        </w:rPr>
        <w:t>We have participated in the preparation of the discussion set forth in the section entitled “MATERIAL U.S. FEDERAL INCOME TAX CONSEQUENCES OF THE MERGER” in the Registration Statement. In our opinion, such discussion of those consequences, insofar as it summarizes United States federal income tax law, and subject to the qualifications, exceptions, assumptions and limitations described therein, is accurate in all material respects.</w:t>
      </w:r>
    </w:p>
    <w:p>
      <w:pPr>
        <w:spacing w:after="0" w:line="158" w:lineRule="exact"/>
        <w:rPr>
          <w:sz w:val="20"/>
          <w:szCs w:val="20"/>
          <w:color w:val="auto"/>
        </w:rPr>
      </w:pPr>
    </w:p>
    <w:p>
      <w:pPr>
        <w:jc w:val="both"/>
        <w:ind w:right="20" w:firstLine="572"/>
        <w:spacing w:after="0" w:line="263" w:lineRule="auto"/>
        <w:rPr>
          <w:sz w:val="20"/>
          <w:szCs w:val="20"/>
          <w:color w:val="auto"/>
        </w:rPr>
      </w:pPr>
      <w:r>
        <w:rPr>
          <w:rFonts w:ascii="Times New Roman" w:cs="Times New Roman" w:eastAsia="Times New Roman" w:hAnsi="Times New Roman"/>
          <w:sz w:val="16"/>
          <w:szCs w:val="16"/>
          <w:color w:val="auto"/>
        </w:rPr>
        <w:t>We hereby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ALSTON &amp; BIRD LLP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ALSTON &amp; BIRD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Heather M. Ripley</w:t>
      </w:r>
    </w:p>
    <w:p>
      <w:pPr>
        <w:spacing w:after="0" w:line="177"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3"/>
          <w:szCs w:val="13"/>
          <w:color w:val="auto"/>
        </w:rPr>
        <w:t>Alston &amp; Bird LLP</w:t>
      </w:r>
      <w:r>
        <w:rPr>
          <w:sz w:val="20"/>
          <w:szCs w:val="20"/>
          <w:color w:val="auto"/>
        </w:rPr>
        <w:tab/>
      </w:r>
      <w:r>
        <w:rPr>
          <w:rFonts w:ascii="Times New Roman" w:cs="Times New Roman" w:eastAsia="Times New Roman" w:hAnsi="Times New Roman"/>
          <w:sz w:val="12"/>
          <w:szCs w:val="12"/>
          <w:color w:val="auto"/>
        </w:rPr>
        <w:t>www.alston.com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7148195"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Atlanta  | Brussels  | Century City  | Charlotte  | Chicago  | Dallas  | London  | Los Angeles  | New York  | Raleigh  | San Francisco  | Silicon Valley  |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379095</wp:posOffset>
            </wp:positionV>
            <wp:extent cx="7148195"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9"/>
          <w:szCs w:val="19"/>
          <w:b w:val="1"/>
          <w:bCs w:val="1"/>
          <w:color w:val="auto"/>
        </w:rPr>
        <w:t>Exhibit 23.4</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19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We hereby consent to the incorporation by reference in this Registration Statement on Form S-4/A of United Community Banks, Inc. of our report dated February 17, 2026 relating to the financial statements and the effectiveness of internal control over financial reporting, which appears in United Community Banks, Inc.'s Annual Report on Form 10-K for the year ended December 31, 2025. We also consent to the reference to us under the heading “Experts” in such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Charlotte, North Carolina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8, 2026</w:t>
      </w: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195"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209" w:name="page210"/>
    <w:bookmarkEnd w:id="209"/>
    <w:p>
      <w:pPr>
        <w:ind w:left="1026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2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1251 AVENUE OF THE AMERICAS, 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-105410</wp:posOffset>
            </wp:positionV>
            <wp:extent cx="7620" cy="6051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7620" cy="6051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-105410</wp:posOffset>
            </wp:positionV>
            <wp:extent cx="1777365" cy="2876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1777365" cy="287655"/>
                    </a:xfrm>
                    <a:prstGeom prst="rect">
                      <a:avLst/>
                    </a:prstGeom>
                    <a:noFill/>
                  </pic:spPr>
                </pic:pic>
              </a:graphicData>
            </a:graphic>
          </wp:anchor>
        </w:drawing>
      </w:r>
    </w:p>
    <w:p>
      <w:pPr>
        <w:spacing w:after="0" w:line="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NEW YORK, NY 10020</w:t>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xml:space="preserve">P </w:t>
      </w:r>
      <w:r>
        <w:rPr>
          <w:rFonts w:ascii="Times New Roman" w:cs="Times New Roman" w:eastAsia="Times New Roman" w:hAnsi="Times New Roman"/>
          <w:sz w:val="16"/>
          <w:szCs w:val="16"/>
          <w:color w:val="auto"/>
        </w:rPr>
        <w:t>212 466-7800</w:t>
      </w:r>
      <w:r>
        <w:rPr>
          <w:rFonts w:ascii="Times New Roman" w:cs="Times New Roman" w:eastAsia="Times New Roman" w:hAnsi="Times New Roman"/>
          <w:sz w:val="16"/>
          <w:szCs w:val="16"/>
          <w:b w:val="1"/>
          <w:bCs w:val="1"/>
          <w:color w:val="auto"/>
        </w:rPr>
        <w:t xml:space="preserve"> | TF </w:t>
      </w:r>
      <w:r>
        <w:rPr>
          <w:rFonts w:ascii="Times New Roman" w:cs="Times New Roman" w:eastAsia="Times New Roman" w:hAnsi="Times New Roman"/>
          <w:sz w:val="16"/>
          <w:szCs w:val="16"/>
          <w:color w:val="auto"/>
        </w:rPr>
        <w:t>800 635-6851</w:t>
      </w:r>
    </w:p>
    <w:p>
      <w:pPr>
        <w:spacing w:after="0" w:line="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6"/>
          <w:szCs w:val="16"/>
          <w:color w:val="auto"/>
        </w:rPr>
        <w:t>Piper Sandler &amp; Co. Since 1885.</w:t>
      </w:r>
    </w:p>
    <w:p>
      <w:pPr>
        <w:spacing w:after="0" w:line="7"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6"/>
          <w:szCs w:val="16"/>
          <w:color w:val="auto"/>
        </w:rPr>
        <w:t>Member SIPC and NYSE.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PIPER SANDLER &amp; CO.</w:t>
      </w:r>
    </w:p>
    <w:p>
      <w:pPr>
        <w:spacing w:after="0" w:line="199" w:lineRule="exact"/>
        <w:rPr>
          <w:sz w:val="20"/>
          <w:szCs w:val="20"/>
          <w:color w:val="auto"/>
        </w:rPr>
      </w:pPr>
    </w:p>
    <w:p>
      <w:pPr>
        <w:jc w:val="both"/>
        <w:ind w:right="20" w:firstLine="715"/>
        <w:spacing w:after="0" w:line="253" w:lineRule="auto"/>
        <w:rPr>
          <w:sz w:val="20"/>
          <w:szCs w:val="20"/>
          <w:color w:val="auto"/>
        </w:rPr>
      </w:pPr>
      <w:r>
        <w:rPr>
          <w:rFonts w:ascii="Times New Roman" w:cs="Times New Roman" w:eastAsia="Times New Roman" w:hAnsi="Times New Roman"/>
          <w:sz w:val="16"/>
          <w:szCs w:val="16"/>
          <w:color w:val="auto"/>
        </w:rPr>
        <w:t>We hereby consent to the inclusion of our opinion letter to the Board of Directors of Peach State Bancshares, Inc. (the “Company”) as an Annex to the Proxy Statement/Prospectus relating to the proposed merger of the Company with United Community Banks, Inc. contained in Amendment No. 1 to the Registration Statement on Form S-4, as filed with the Securities and Exchange Commission, and to references to such opinion and the quotation or summarization of such opinion in such Proxy Statement/Prospectus and Amendment No. 1 to the Registration Statement. In giving such consent, we do not admit that we come within the category of persons whose consent is required under Section 7 of the Securities Act of 1933, as amended (the “Act”), or the rules and regulations of the Securities and Exchange Commission thereunder (the “Regulations”), nor do we admit that we are experts with respect to any part of such Proxy Statement/Prospectus and Amendment No. 1 to the Registration Statement within the meaning of the term “experts” as used in the Act or the Regulations.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Piper Sandler &amp; 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48195"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210" w:name="page211"/>
    <w:bookmarkEnd w:id="210"/>
    <w:p>
      <w:pPr>
        <w:ind w:left="9320"/>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23495</wp:posOffset>
            </wp:positionV>
            <wp:extent cx="6785610" cy="86461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6785610" cy="864616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70370" cy="86461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6770370" cy="86461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46B5A9"/>
    <w:multiLevelType w:val="hybridMultilevel"/>
    <w:lvl w:ilvl="0">
      <w:lvlJc w:val="left"/>
      <w:lvlText w:val="%1."/>
      <w:numFmt w:val="decimal"/>
      <w:start w:val="1"/>
    </w:lvl>
  </w:abstractNum>
  <w:abstractNum w:abstractNumId="1">
    <w:nsid w:val="5D888A08"/>
    <w:multiLevelType w:val="hybridMultilevel"/>
    <w:lvl w:ilvl="0">
      <w:lvlJc w:val="left"/>
      <w:lvlText w:val="%1:"/>
      <w:numFmt w:val="upperLetter"/>
      <w:start w:val="1"/>
    </w:lvl>
  </w:abstractNum>
  <w:abstractNum w:abstractNumId="2">
    <w:nsid w:val="2A082C70"/>
    <w:multiLevelType w:val="hybridMultilevel"/>
    <w:lvl w:ilvl="0">
      <w:lvlJc w:val="left"/>
      <w:lvlText w:val="%1:"/>
      <w:numFmt w:val="upperLetter"/>
      <w:start w:val="1"/>
    </w:lvl>
  </w:abstractNum>
  <w:abstractNum w:abstractNumId="3">
    <w:nsid w:val="5EC6AFD4"/>
    <w:multiLevelType w:val="hybridMultilevel"/>
    <w:lvl w:ilvl="0">
      <w:lvlJc w:val="left"/>
      <w:lvlText w:val="%1:"/>
      <w:numFmt w:val="upperLetter"/>
      <w:start w:val="1"/>
    </w:lvl>
    <w:lvl w:ilvl="1">
      <w:lvlJc w:val="left"/>
      <w:lvlText w:val="•"/>
      <w:numFmt w:val="bullet"/>
      <w:start w:val="1"/>
    </w:lvl>
  </w:abstractNum>
  <w:abstractNum w:abstractNumId="4">
    <w:nsid w:val="19E21BB2"/>
    <w:multiLevelType w:val="hybridMultilevel"/>
    <w:lvl w:ilvl="0">
      <w:lvlJc w:val="left"/>
      <w:lvlText w:val="%1:"/>
      <w:numFmt w:val="upperLetter"/>
      <w:start w:val="1"/>
    </w:lvl>
  </w:abstractNum>
  <w:abstractNum w:abstractNumId="5">
    <w:nsid w:val="75E0858A"/>
    <w:multiLevelType w:val="hybridMultilevel"/>
    <w:lvl w:ilvl="0">
      <w:lvlJc w:val="left"/>
      <w:lvlText w:val="%1:"/>
      <w:numFmt w:val="upperLetter"/>
      <w:start w:val="17"/>
    </w:lvl>
  </w:abstractNum>
  <w:abstractNum w:abstractNumId="6">
    <w:nsid w:val="57A61A29"/>
    <w:multiLevelType w:val="hybridMultilevel"/>
    <w:lvl w:ilvl="0">
      <w:lvlJc w:val="left"/>
      <w:lvlText w:val="%1:"/>
      <w:numFmt w:val="upperLetter"/>
      <w:start w:val="1"/>
    </w:lvl>
  </w:abstractNum>
  <w:abstractNum w:abstractNumId="7">
    <w:nsid w:val="5399C654"/>
    <w:multiLevelType w:val="hybridMultilevel"/>
    <w:lvl w:ilvl="0">
      <w:lvlJc w:val="left"/>
      <w:lvlText w:val="%1:"/>
      <w:numFmt w:val="upperLetter"/>
      <w:start w:val="1"/>
    </w:lvl>
  </w:abstractNum>
  <w:abstractNum w:abstractNumId="8">
    <w:nsid w:val="20EE1348"/>
    <w:multiLevelType w:val="hybridMultilevel"/>
    <w:lvl w:ilvl="0">
      <w:lvlJc w:val="left"/>
      <w:lvlText w:val="%1:"/>
      <w:numFmt w:val="upperLetter"/>
      <w:start w:val="1"/>
    </w:lvl>
  </w:abstractNum>
  <w:abstractNum w:abstractNumId="9">
    <w:nsid w:val="4427069A"/>
    <w:multiLevelType w:val="hybridMultilevel"/>
    <w:lvl w:ilvl="0">
      <w:lvlJc w:val="left"/>
      <w:lvlText w:val="•"/>
      <w:numFmt w:val="bullet"/>
      <w:start w:val="1"/>
    </w:lvl>
  </w:abstractNum>
  <w:abstractNum w:abstractNumId="10">
    <w:nsid w:val="B37E80A"/>
    <w:multiLevelType w:val="hybridMultilevel"/>
    <w:lvl w:ilvl="0">
      <w:lvlJc w:val="left"/>
      <w:lvlText w:val="%1:"/>
      <w:numFmt w:val="upperLetter"/>
      <w:start w:val="17"/>
    </w:lvl>
  </w:abstractNum>
  <w:abstractNum w:abstractNumId="11">
    <w:nsid w:val="2157F6BC"/>
    <w:multiLevelType w:val="hybridMultilevel"/>
    <w:lvl w:ilvl="0">
      <w:lvlJc w:val="left"/>
      <w:lvlText w:val="%1:"/>
      <w:numFmt w:val="upperLetter"/>
      <w:start w:val="1"/>
    </w:lvl>
  </w:abstractNum>
  <w:abstractNum w:abstractNumId="12">
    <w:nsid w:val="704E1DD5"/>
    <w:multiLevelType w:val="hybridMultilevel"/>
    <w:lvl w:ilvl="0">
      <w:lvlJc w:val="left"/>
      <w:lvlText w:val="%1:"/>
      <w:numFmt w:val="upperLetter"/>
      <w:start w:val="17"/>
    </w:lvl>
  </w:abstractNum>
  <w:abstractNum w:abstractNumId="13">
    <w:nsid w:val="57D2F10E"/>
    <w:multiLevelType w:val="hybridMultilevel"/>
    <w:lvl w:ilvl="0">
      <w:lvlJc w:val="left"/>
      <w:lvlText w:val="%1:"/>
      <w:numFmt w:val="upperLetter"/>
      <w:start w:val="1"/>
    </w:lvl>
  </w:abstractNum>
  <w:abstractNum w:abstractNumId="14">
    <w:nsid w:val="BFFAE18"/>
    <w:multiLevelType w:val="hybridMultilevel"/>
    <w:lvl w:ilvl="0">
      <w:lvlJc w:val="left"/>
      <w:lvlText w:val="%1:"/>
      <w:numFmt w:val="upperLetter"/>
      <w:start w:val="1"/>
    </w:lvl>
  </w:abstractNum>
  <w:abstractNum w:abstractNumId="15">
    <w:nsid w:val="E3E47A8"/>
    <w:multiLevelType w:val="hybridMultilevel"/>
    <w:lvl w:ilvl="0">
      <w:lvlJc w:val="left"/>
      <w:lvlText w:val="%1:"/>
      <w:numFmt w:val="upperLetter"/>
      <w:start w:val="1"/>
    </w:lvl>
  </w:abstractNum>
  <w:abstractNum w:abstractNumId="16">
    <w:nsid w:val="2E48F044"/>
    <w:multiLevelType w:val="hybridMultilevel"/>
    <w:lvl w:ilvl="0">
      <w:lvlJc w:val="left"/>
      <w:lvlText w:val="%1:"/>
      <w:numFmt w:val="upperLetter"/>
      <w:start w:val="1"/>
    </w:lvl>
  </w:abstractNum>
  <w:abstractNum w:abstractNumId="17">
    <w:nsid w:val="49D0FEAC"/>
    <w:multiLevelType w:val="hybridMultilevel"/>
    <w:lvl w:ilvl="0">
      <w:lvlJc w:val="left"/>
      <w:lvlText w:val="%1:"/>
      <w:numFmt w:val="upperLetter"/>
      <w:start w:val="1"/>
    </w:lvl>
  </w:abstractNum>
  <w:abstractNum w:abstractNumId="18">
    <w:nsid w:val="4BEE5A5B"/>
    <w:multiLevelType w:val="hybridMultilevel"/>
    <w:lvl w:ilvl="0">
      <w:lvlJc w:val="left"/>
      <w:lvlText w:val="%1:"/>
      <w:numFmt w:val="upperLetter"/>
      <w:start w:val="1"/>
    </w:lvl>
  </w:abstractNum>
  <w:abstractNum w:abstractNumId="19">
    <w:nsid w:val="5551B9F3"/>
    <w:multiLevelType w:val="hybridMultilevel"/>
    <w:lvl w:ilvl="0">
      <w:lvlJc w:val="left"/>
      <w:lvlText w:val="%1:"/>
      <w:numFmt w:val="upperLetter"/>
      <w:start w:val="1"/>
    </w:lvl>
  </w:abstractNum>
  <w:abstractNum w:abstractNumId="20">
    <w:nsid w:val="24F6AB8E"/>
    <w:multiLevelType w:val="hybridMultilevel"/>
    <w:lvl w:ilvl="0">
      <w:lvlJc w:val="left"/>
      <w:lvlText w:val="%1:"/>
      <w:numFmt w:val="upperLetter"/>
      <w:start w:val="1"/>
    </w:lvl>
    <w:lvl w:ilvl="1">
      <w:lvlJc w:val="left"/>
      <w:lvlText w:val="•"/>
      <w:numFmt w:val="bullet"/>
      <w:start w:val="1"/>
    </w:lvl>
  </w:abstractNum>
  <w:abstractNum w:abstractNumId="21">
    <w:nsid w:val="634C574C"/>
    <w:multiLevelType w:val="hybridMultilevel"/>
    <w:lvl w:ilvl="0">
      <w:lvlJc w:val="left"/>
      <w:lvlText w:val="%1:"/>
      <w:numFmt w:val="upperLetter"/>
      <w:start w:val="16"/>
    </w:lvl>
    <w:lvl w:ilvl="1">
      <w:lvlJc w:val="left"/>
      <w:lvlText w:val="•"/>
      <w:numFmt w:val="bullet"/>
      <w:start w:val="1"/>
    </w:lvl>
  </w:abstractNum>
  <w:abstractNum w:abstractNumId="22">
    <w:nsid w:val="24E99DD7"/>
    <w:multiLevelType w:val="hybridMultilevel"/>
    <w:lvl w:ilvl="0">
      <w:lvlJc w:val="left"/>
      <w:lvlText w:val="%1:"/>
      <w:numFmt w:val="upperLetter"/>
      <w:start w:val="1"/>
    </w:lvl>
  </w:abstractNum>
  <w:abstractNum w:abstractNumId="23">
    <w:nsid w:val="2A31B62D"/>
    <w:multiLevelType w:val="hybridMultilevel"/>
    <w:lvl w:ilvl="0">
      <w:lvlJc w:val="left"/>
      <w:lvlText w:val="%1:"/>
      <w:numFmt w:val="upperLetter"/>
      <w:start w:val="1"/>
    </w:lvl>
  </w:abstractNum>
  <w:abstractNum w:abstractNumId="24">
    <w:nsid w:val="1849C29B"/>
    <w:multiLevelType w:val="hybridMultilevel"/>
    <w:lvl w:ilvl="0">
      <w:lvlJc w:val="left"/>
      <w:lvlText w:val="%1:"/>
      <w:numFmt w:val="upperLetter"/>
      <w:start w:val="1"/>
    </w:lvl>
  </w:abstractNum>
  <w:abstractNum w:abstractNumId="25">
    <w:nsid w:val="7DFF9D09"/>
    <w:multiLevelType w:val="hybridMultilevel"/>
    <w:lvl w:ilvl="0">
      <w:lvlJc w:val="left"/>
      <w:lvlText w:val="%1:"/>
      <w:numFmt w:val="upperLetter"/>
      <w:start w:val="17"/>
    </w:lvl>
  </w:abstractNum>
  <w:abstractNum w:abstractNumId="26">
    <w:nsid w:val="754342"/>
    <w:multiLevelType w:val="hybridMultilevel"/>
    <w:lvl w:ilvl="0">
      <w:lvlJc w:val="left"/>
      <w:lvlText w:val="%1:"/>
      <w:numFmt w:val="upperLetter"/>
      <w:start w:val="1"/>
    </w:lvl>
  </w:abstractNum>
  <w:abstractNum w:abstractNumId="27">
    <w:nsid w:val="69E7F3E5"/>
    <w:multiLevelType w:val="hybridMultilevel"/>
    <w:lvl w:ilvl="0">
      <w:lvlJc w:val="left"/>
      <w:lvlText w:val="%1:"/>
      <w:numFmt w:val="upperLetter"/>
      <w:start w:val="1"/>
    </w:lvl>
  </w:abstractNum>
  <w:abstractNum w:abstractNumId="28">
    <w:nsid w:val="2A6DE806"/>
    <w:multiLevelType w:val="hybridMultilevel"/>
    <w:lvl w:ilvl="0">
      <w:lvlJc w:val="left"/>
      <w:lvlText w:val="%1:"/>
      <w:numFmt w:val="upperLetter"/>
      <w:start w:val="17"/>
    </w:lvl>
  </w:abstractNum>
  <w:abstractNum w:abstractNumId="29">
    <w:nsid w:val="1816F8C4"/>
    <w:multiLevelType w:val="hybridMultilevel"/>
    <w:lvl w:ilvl="0">
      <w:lvlJc w:val="left"/>
      <w:lvlText w:val="%1:"/>
      <w:numFmt w:val="upperLetter"/>
      <w:start w:val="1"/>
    </w:lvl>
  </w:abstractNum>
  <w:abstractNum w:abstractNumId="30">
    <w:nsid w:val="37DF2233"/>
    <w:multiLevelType w:val="hybridMultilevel"/>
    <w:lvl w:ilvl="0">
      <w:lvlJc w:val="left"/>
      <w:lvlText w:val="%1:"/>
      <w:numFmt w:val="upperLetter"/>
      <w:start w:val="1"/>
    </w:lvl>
  </w:abstractNum>
  <w:abstractNum w:abstractNumId="31">
    <w:nsid w:val="7AB49DAF"/>
    <w:multiLevelType w:val="hybridMultilevel"/>
    <w:lvl w:ilvl="0">
      <w:lvlJc w:val="left"/>
      <w:lvlText w:val="%1:"/>
      <w:numFmt w:val="upperLetter"/>
      <w:start w:val="1"/>
    </w:lvl>
  </w:abstractNum>
  <w:abstractNum w:abstractNumId="32">
    <w:nsid w:val="759F82CD"/>
    <w:multiLevelType w:val="hybridMultilevel"/>
    <w:lvl w:ilvl="0">
      <w:lvlJc w:val="left"/>
      <w:lvlText w:val="%1:"/>
      <w:numFmt w:val="upperLetter"/>
      <w:start w:val="1"/>
    </w:lvl>
  </w:abstractNum>
  <w:abstractNum w:abstractNumId="33">
    <w:nsid w:val="61E74EA3"/>
    <w:multiLevelType w:val="hybridMultilevel"/>
    <w:lvl w:ilvl="0">
      <w:lvlJc w:val="left"/>
      <w:lvlText w:val="%1:"/>
      <w:numFmt w:val="upperLetter"/>
      <w:start w:val="1"/>
    </w:lvl>
  </w:abstractNum>
  <w:abstractNum w:abstractNumId="34">
    <w:nsid w:val="597B4D84"/>
    <w:multiLevelType w:val="hybridMultilevel"/>
    <w:lvl w:ilvl="0">
      <w:lvlJc w:val="left"/>
      <w:lvlText w:val="(%1)"/>
      <w:numFmt w:val="lowerRoman"/>
      <w:start w:val="2"/>
    </w:lvl>
  </w:abstractNum>
  <w:abstractNum w:abstractNumId="35">
    <w:nsid w:val="F819E7F"/>
    <w:multiLevelType w:val="hybridMultilevel"/>
    <w:lvl w:ilvl="0">
      <w:lvlJc w:val="left"/>
      <w:lvlText w:val="(%1)"/>
      <w:numFmt w:val="decimal"/>
      <w:start w:val="1"/>
    </w:lvl>
  </w:abstractNum>
  <w:abstractNum w:abstractNumId="36">
    <w:nsid w:val="57C7D42D"/>
    <w:multiLevelType w:val="hybridMultilevel"/>
    <w:lvl w:ilvl="0">
      <w:lvlJc w:val="left"/>
      <w:lvlText w:val="•"/>
      <w:numFmt w:val="bullet"/>
      <w:start w:val="1"/>
    </w:lvl>
  </w:abstractNum>
  <w:abstractNum w:abstractNumId="37">
    <w:nsid w:val="312167AD"/>
    <w:multiLevelType w:val="hybridMultilevel"/>
    <w:lvl w:ilvl="0">
      <w:lvlJc w:val="left"/>
      <w:lvlText w:val="•"/>
      <w:numFmt w:val="bullet"/>
      <w:start w:val="1"/>
    </w:lvl>
  </w:abstractNum>
  <w:abstractNum w:abstractNumId="38">
    <w:nsid w:val="631B64D4"/>
    <w:multiLevelType w:val="hybridMultilevel"/>
    <w:lvl w:ilvl="0">
      <w:lvlJc w:val="left"/>
      <w:lvlText w:val="•"/>
      <w:numFmt w:val="bullet"/>
      <w:start w:val="1"/>
    </w:lvl>
  </w:abstractNum>
  <w:abstractNum w:abstractNumId="39">
    <w:nsid w:val="78B5E776"/>
    <w:multiLevelType w:val="hybridMultilevel"/>
    <w:lvl w:ilvl="0">
      <w:lvlJc w:val="left"/>
      <w:lvlText w:val="(%1)"/>
      <w:numFmt w:val="decimal"/>
      <w:start w:val="4"/>
    </w:lvl>
  </w:abstractNum>
  <w:abstractNum w:abstractNumId="40">
    <w:nsid w:val="75486E47"/>
    <w:multiLevelType w:val="hybridMultilevel"/>
    <w:lvl w:ilvl="0">
      <w:lvlJc w:val="left"/>
      <w:lvlText w:val="•"/>
      <w:numFmt w:val="bullet"/>
      <w:start w:val="1"/>
    </w:lvl>
  </w:abstractNum>
  <w:abstractNum w:abstractNumId="41">
    <w:nsid w:val="6E534CDE"/>
    <w:multiLevelType w:val="hybridMultilevel"/>
    <w:lvl w:ilvl="0">
      <w:lvlJc w:val="left"/>
      <w:lvlText w:val="(%1)"/>
      <w:numFmt w:val="decimal"/>
      <w:start w:val="1"/>
    </w:lvl>
  </w:abstractNum>
  <w:abstractNum w:abstractNumId="42">
    <w:nsid w:val="1A0DDE32"/>
    <w:multiLevelType w:val="hybridMultilevel"/>
    <w:lvl w:ilvl="0">
      <w:lvlJc w:val="left"/>
      <w:lvlText w:val="•"/>
      <w:numFmt w:val="bullet"/>
      <w:start w:val="1"/>
    </w:lvl>
  </w:abstractNum>
  <w:abstractNum w:abstractNumId="43">
    <w:nsid w:val="65968C1C"/>
    <w:multiLevelType w:val="hybridMultilevel"/>
    <w:lvl w:ilvl="0">
      <w:lvlJc w:val="left"/>
      <w:lvlText w:val="•"/>
      <w:numFmt w:val="bullet"/>
      <w:start w:val="1"/>
    </w:lvl>
  </w:abstractNum>
  <w:abstractNum w:abstractNumId="44">
    <w:nsid w:val="46263DEC"/>
    <w:multiLevelType w:val="hybridMultilevel"/>
    <w:lvl w:ilvl="0">
      <w:lvlJc w:val="left"/>
      <w:lvlText w:val="•"/>
      <w:numFmt w:val="bullet"/>
      <w:start w:val="1"/>
    </w:lvl>
  </w:abstractNum>
  <w:abstractNum w:abstractNumId="45">
    <w:nsid w:val="260D8C4A"/>
    <w:multiLevelType w:val="hybridMultilevel"/>
    <w:lvl w:ilvl="0">
      <w:lvlJc w:val="left"/>
      <w:lvlText w:val="•"/>
      <w:numFmt w:val="bullet"/>
      <w:start w:val="1"/>
    </w:lvl>
  </w:abstractNum>
  <w:abstractNum w:abstractNumId="46">
    <w:nsid w:val="73D4D3C4"/>
    <w:multiLevelType w:val="hybridMultilevel"/>
    <w:lvl w:ilvl="0">
      <w:lvlJc w:val="left"/>
      <w:lvlText w:val="•"/>
      <w:numFmt w:val="bullet"/>
      <w:start w:val="1"/>
    </w:lvl>
  </w:abstractNum>
  <w:abstractNum w:abstractNumId="47">
    <w:nsid w:val="746F2E30"/>
    <w:multiLevelType w:val="hybridMultilevel"/>
    <w:lvl w:ilvl="0">
      <w:lvlJc w:val="left"/>
      <w:lvlText w:val="•"/>
      <w:numFmt w:val="bullet"/>
      <w:start w:val="1"/>
    </w:lvl>
  </w:abstractNum>
  <w:abstractNum w:abstractNumId="48">
    <w:nsid w:val="6FDE8AF6"/>
    <w:multiLevelType w:val="hybridMultilevel"/>
    <w:lvl w:ilvl="0">
      <w:lvlJc w:val="left"/>
      <w:lvlText w:val="•"/>
      <w:numFmt w:val="bullet"/>
      <w:start w:val="1"/>
    </w:lvl>
    <w:lvl w:ilvl="1">
      <w:lvlJc w:val="left"/>
      <w:lvlText w:val="•"/>
      <w:numFmt w:val="bullet"/>
      <w:start w:val="1"/>
    </w:lvl>
  </w:abstractNum>
  <w:abstractNum w:abstractNumId="49">
    <w:nsid w:val="3FC32E20"/>
    <w:multiLevelType w:val="hybridMultilevel"/>
    <w:lvl w:ilvl="0">
      <w:lvlJc w:val="left"/>
      <w:lvlText w:val="•"/>
      <w:numFmt w:val="bullet"/>
      <w:start w:val="1"/>
    </w:lvl>
  </w:abstractNum>
  <w:abstractNum w:abstractNumId="50">
    <w:nsid w:val="49C0E823"/>
    <w:multiLevelType w:val="hybridMultilevel"/>
    <w:lvl w:ilvl="0">
      <w:lvlJc w:val="left"/>
      <w:lvlText w:val="•"/>
      <w:numFmt w:val="bullet"/>
      <w:start w:val="1"/>
    </w:lvl>
  </w:abstractNum>
  <w:abstractNum w:abstractNumId="51">
    <w:nsid w:val="14D53685"/>
    <w:multiLevelType w:val="hybridMultilevel"/>
    <w:lvl w:ilvl="0">
      <w:lvlJc w:val="left"/>
      <w:lvlText w:val="•"/>
      <w:numFmt w:val="bullet"/>
      <w:start w:val="1"/>
    </w:lvl>
  </w:abstractNum>
  <w:abstractNum w:abstractNumId="52">
    <w:nsid w:val="230F856C"/>
    <w:multiLevelType w:val="hybridMultilevel"/>
    <w:lvl w:ilvl="0">
      <w:lvlJc w:val="left"/>
      <w:lvlText w:val="•"/>
      <w:numFmt w:val="bullet"/>
      <w:start w:val="1"/>
    </w:lvl>
  </w:abstractNum>
  <w:abstractNum w:abstractNumId="53">
    <w:nsid w:val="6EAA85FB"/>
    <w:multiLevelType w:val="hybridMultilevel"/>
    <w:lvl w:ilvl="0">
      <w:lvlJc w:val="left"/>
      <w:lvlText w:val="•"/>
      <w:numFmt w:val="bullet"/>
      <w:start w:val="1"/>
    </w:lvl>
  </w:abstractNum>
  <w:abstractNum w:abstractNumId="54">
    <w:nsid w:val="3F06ECB2"/>
    <w:multiLevelType w:val="hybridMultilevel"/>
    <w:lvl w:ilvl="0">
      <w:lvlJc w:val="left"/>
      <w:lvlText w:val="•"/>
      <w:numFmt w:val="bullet"/>
      <w:start w:val="1"/>
    </w:lvl>
  </w:abstractNum>
  <w:abstractNum w:abstractNumId="55">
    <w:nsid w:val="3B594807"/>
    <w:multiLevelType w:val="hybridMultilevel"/>
    <w:lvl w:ilvl="0">
      <w:lvlJc w:val="left"/>
      <w:lvlText w:val="(%1)"/>
      <w:numFmt w:val="decimal"/>
      <w:start w:val="1"/>
    </w:lvl>
  </w:abstractNum>
  <w:abstractNum w:abstractNumId="56">
    <w:nsid w:val="6CAA2304"/>
    <w:multiLevelType w:val="hybridMultilevel"/>
    <w:lvl w:ilvl="0">
      <w:lvlJc w:val="left"/>
      <w:lvlText w:val="(%1)"/>
      <w:numFmt w:val="decimal"/>
      <w:start w:val="1"/>
    </w:lvl>
  </w:abstractNum>
  <w:abstractNum w:abstractNumId="57">
    <w:nsid w:val="3F7C2FF4"/>
    <w:multiLevelType w:val="hybridMultilevel"/>
    <w:lvl w:ilvl="0">
      <w:lvlJc w:val="left"/>
      <w:lvlText w:val="(%1)"/>
      <w:numFmt w:val="decimal"/>
      <w:start w:val="1"/>
    </w:lvl>
  </w:abstractNum>
  <w:abstractNum w:abstractNumId="58">
    <w:nsid w:val="25413BEC"/>
    <w:multiLevelType w:val="hybridMultilevel"/>
    <w:lvl w:ilvl="0">
      <w:lvlJc w:val="left"/>
      <w:lvlText w:val="​"/>
      <w:numFmt w:val="bullet"/>
      <w:start w:val="1"/>
    </w:lvl>
  </w:abstractNum>
  <w:abstractNum w:abstractNumId="59">
    <w:nsid w:val="17180B0B"/>
    <w:multiLevelType w:val="hybridMultilevel"/>
    <w:lvl w:ilvl="0">
      <w:lvlJc w:val="left"/>
      <w:lvlText w:val="(%1)"/>
      <w:numFmt w:val="decimal"/>
      <w:start w:val="1"/>
    </w:lvl>
  </w:abstractNum>
  <w:abstractNum w:abstractNumId="60">
    <w:nsid w:val="579328B9"/>
    <w:multiLevelType w:val="hybridMultilevel"/>
    <w:lvl w:ilvl="0">
      <w:lvlJc w:val="left"/>
      <w:lvlText w:val="(%1)"/>
      <w:numFmt w:val="decimal"/>
      <w:start w:val="1"/>
    </w:lvl>
  </w:abstractNum>
  <w:abstractNum w:abstractNumId="61">
    <w:nsid w:val="5D205E20"/>
    <w:multiLevelType w:val="hybridMultilevel"/>
    <w:lvl w:ilvl="0">
      <w:lvlJc w:val="left"/>
      <w:lvlText w:val="(%1)"/>
      <w:numFmt w:val="lowerRoman"/>
      <w:start w:val="2"/>
    </w:lvl>
  </w:abstractNum>
  <w:abstractNum w:abstractNumId="62">
    <w:nsid w:val="11CCA8BA"/>
    <w:multiLevelType w:val="hybridMultilevel"/>
    <w:lvl w:ilvl="0">
      <w:lvlJc w:val="left"/>
      <w:lvlText w:val="(%1)"/>
      <w:numFmt w:val="decimal"/>
      <w:start w:val="1"/>
    </w:lvl>
  </w:abstractNum>
  <w:abstractNum w:abstractNumId="63">
    <w:nsid w:val="4D32AB86"/>
    <w:multiLevelType w:val="hybridMultilevel"/>
    <w:lvl w:ilvl="0">
      <w:lvlJc w:val="left"/>
      <w:lvlText w:val="(%1)"/>
      <w:numFmt w:val="decimal"/>
      <w:start w:val="1"/>
    </w:lvl>
  </w:abstractNum>
  <w:abstractNum w:abstractNumId="64">
    <w:nsid w:val="3F07ACC3"/>
    <w:multiLevelType w:val="hybridMultilevel"/>
    <w:lvl w:ilvl="0">
      <w:lvlJc w:val="left"/>
      <w:lvlText w:val="•"/>
      <w:numFmt w:val="bullet"/>
      <w:start w:val="1"/>
    </w:lvl>
  </w:abstractNum>
  <w:abstractNum w:abstractNumId="65">
    <w:nsid w:val="6B47F63E"/>
    <w:multiLevelType w:val="hybridMultilevel"/>
    <w:lvl w:ilvl="0">
      <w:lvlJc w:val="left"/>
      <w:lvlText w:val="•"/>
      <w:numFmt w:val="bullet"/>
      <w:start w:val="1"/>
    </w:lvl>
  </w:abstractNum>
  <w:abstractNum w:abstractNumId="66">
    <w:nsid w:val="5CB44A05"/>
    <w:multiLevelType w:val="hybridMultilevel"/>
    <w:lvl w:ilvl="0">
      <w:lvlJc w:val="left"/>
      <w:lvlText w:val="•"/>
      <w:numFmt w:val="bullet"/>
      <w:start w:val="1"/>
    </w:lvl>
    <w:lvl w:ilvl="1">
      <w:lvlJc w:val="left"/>
      <w:lvlText w:val="•"/>
      <w:numFmt w:val="bullet"/>
      <w:start w:val="1"/>
    </w:lvl>
  </w:abstractNum>
  <w:abstractNum w:abstractNumId="67">
    <w:nsid w:val="16CF80F1"/>
    <w:multiLevelType w:val="hybridMultilevel"/>
    <w:lvl w:ilvl="0">
      <w:lvlJc w:val="left"/>
      <w:lvlText w:val="•"/>
      <w:numFmt w:val="bullet"/>
      <w:start w:val="1"/>
    </w:lvl>
  </w:abstractNum>
  <w:abstractNum w:abstractNumId="68">
    <w:nsid w:val="1C695DEC"/>
    <w:multiLevelType w:val="hybridMultilevel"/>
    <w:lvl w:ilvl="0">
      <w:lvlJc w:val="left"/>
      <w:lvlText w:val="(%1)"/>
      <w:numFmt w:val="lowerRoman"/>
      <w:start w:val="1"/>
    </w:lvl>
  </w:abstractNum>
  <w:abstractNum w:abstractNumId="69">
    <w:nsid w:val="3FCFAED9"/>
    <w:multiLevelType w:val="hybridMultilevel"/>
    <w:lvl w:ilvl="0">
      <w:lvlJc w:val="left"/>
      <w:lvlText w:val="•"/>
      <w:numFmt w:val="bullet"/>
      <w:start w:val="1"/>
    </w:lvl>
  </w:abstractNum>
  <w:abstractNum w:abstractNumId="70">
    <w:nsid w:val="F856867"/>
    <w:multiLevelType w:val="hybridMultilevel"/>
    <w:lvl w:ilvl="0">
      <w:lvlJc w:val="left"/>
      <w:lvlText w:val="•"/>
      <w:numFmt w:val="bullet"/>
      <w:start w:val="1"/>
    </w:lvl>
  </w:abstractNum>
  <w:abstractNum w:abstractNumId="71">
    <w:nsid w:val="11B1CC33"/>
    <w:multiLevelType w:val="hybridMultilevel"/>
    <w:lvl w:ilvl="0">
      <w:lvlJc w:val="left"/>
      <w:lvlText w:val="•"/>
      <w:numFmt w:val="bullet"/>
      <w:start w:val="1"/>
    </w:lvl>
  </w:abstractNum>
  <w:abstractNum w:abstractNumId="72">
    <w:nsid w:val="2E22FBB7"/>
    <w:multiLevelType w:val="hybridMultilevel"/>
    <w:lvl w:ilvl="0">
      <w:lvlJc w:val="left"/>
      <w:lvlText w:val="•"/>
      <w:numFmt w:val="bullet"/>
      <w:start w:val="1"/>
    </w:lvl>
  </w:abstractNum>
  <w:abstractNum w:abstractNumId="73">
    <w:nsid w:val="29934699"/>
    <w:multiLevelType w:val="hybridMultilevel"/>
    <w:lvl w:ilvl="0">
      <w:lvlJc w:val="left"/>
      <w:lvlText w:val="(%1)"/>
      <w:numFmt w:val="upperLetter"/>
      <w:start w:val="5"/>
    </w:lvl>
  </w:abstractNum>
  <w:abstractNum w:abstractNumId="74">
    <w:nsid w:val="77485850"/>
    <w:multiLevelType w:val="hybridMultilevel"/>
    <w:lvl w:ilvl="0">
      <w:lvlJc w:val="left"/>
      <w:lvlText w:val="(%1)"/>
      <w:numFmt w:val="upperLetter"/>
      <w:start w:val="7"/>
    </w:lvl>
  </w:abstractNum>
  <w:abstractNum w:abstractNumId="75">
    <w:nsid w:val="744939A3"/>
    <w:multiLevelType w:val="hybridMultilevel"/>
    <w:lvl w:ilvl="0">
      <w:lvlJc w:val="left"/>
      <w:lvlText w:val="•"/>
      <w:numFmt w:val="bullet"/>
      <w:start w:val="1"/>
    </w:lvl>
  </w:abstractNum>
  <w:abstractNum w:abstractNumId="76">
    <w:nsid w:val="4FA0D2E3"/>
    <w:multiLevelType w:val="hybridMultilevel"/>
    <w:lvl w:ilvl="0">
      <w:lvlJc w:val="left"/>
      <w:lvlText w:val="•"/>
      <w:numFmt w:val="bullet"/>
      <w:start w:val="1"/>
    </w:lvl>
  </w:abstractNum>
  <w:abstractNum w:abstractNumId="77">
    <w:nsid w:val="6B1D2C14"/>
    <w:multiLevelType w:val="hybridMultilevel"/>
    <w:lvl w:ilvl="0">
      <w:lvlJc w:val="left"/>
      <w:lvlText w:val="•"/>
      <w:numFmt w:val="bullet"/>
      <w:start w:val="1"/>
    </w:lvl>
  </w:abstractNum>
  <w:abstractNum w:abstractNumId="78">
    <w:nsid w:val="68B867D3"/>
    <w:multiLevelType w:val="hybridMultilevel"/>
    <w:lvl w:ilvl="0">
      <w:lvlJc w:val="left"/>
      <w:lvlText w:val="•"/>
      <w:numFmt w:val="bullet"/>
      <w:start w:val="1"/>
    </w:lvl>
  </w:abstractNum>
  <w:abstractNum w:abstractNumId="79">
    <w:nsid w:val="3F7F5DD9"/>
    <w:multiLevelType w:val="hybridMultilevel"/>
    <w:lvl w:ilvl="0">
      <w:lvlJc w:val="left"/>
      <w:lvlText w:val="•"/>
      <w:numFmt w:val="bullet"/>
      <w:start w:val="1"/>
    </w:lvl>
  </w:abstractNum>
  <w:abstractNum w:abstractNumId="80">
    <w:nsid w:val="2AE05A34"/>
    <w:multiLevelType w:val="hybridMultilevel"/>
    <w:lvl w:ilvl="0">
      <w:lvlJc w:val="left"/>
      <w:lvlText w:val="(%1)"/>
      <w:numFmt w:val="upperLetter"/>
      <w:start w:val="3"/>
    </w:lvl>
  </w:abstractNum>
  <w:abstractNum w:abstractNumId="81">
    <w:nsid w:val="32794FF7"/>
    <w:multiLevelType w:val="hybridMultilevel"/>
    <w:lvl w:ilvl="0">
      <w:lvlJc w:val="left"/>
      <w:lvlText w:val="(%1)"/>
      <w:numFmt w:val="decimal"/>
      <w:start w:val="1"/>
    </w:lvl>
  </w:abstractNum>
  <w:abstractNum w:abstractNumId="82">
    <w:nsid w:val="5454945E"/>
    <w:multiLevelType w:val="hybridMultilevel"/>
    <w:lvl w:ilvl="0">
      <w:lvlJc w:val="left"/>
      <w:lvlText w:val="•"/>
      <w:numFmt w:val="bullet"/>
      <w:start w:val="1"/>
    </w:lvl>
  </w:abstractNum>
  <w:abstractNum w:abstractNumId="83">
    <w:nsid w:val="4DEFDFA0"/>
    <w:multiLevelType w:val="hybridMultilevel"/>
    <w:lvl w:ilvl="0">
      <w:lvlJc w:val="left"/>
      <w:lvlText w:val="•"/>
      <w:numFmt w:val="bullet"/>
      <w:start w:val="1"/>
    </w:lvl>
  </w:abstractNum>
  <w:abstractNum w:abstractNumId="84">
    <w:nsid w:val="2123D5F2"/>
    <w:multiLevelType w:val="hybridMultilevel"/>
    <w:lvl w:ilvl="0">
      <w:lvlJc w:val="left"/>
      <w:lvlText w:val="•"/>
      <w:numFmt w:val="bullet"/>
      <w:start w:val="1"/>
    </w:lvl>
  </w:abstractNum>
  <w:abstractNum w:abstractNumId="85">
    <w:nsid w:val="135B8110"/>
    <w:multiLevelType w:val="hybridMultilevel"/>
    <w:lvl w:ilvl="0">
      <w:lvlJc w:val="left"/>
      <w:lvlText w:val="•"/>
      <w:numFmt w:val="bullet"/>
      <w:start w:val="1"/>
    </w:lvl>
    <w:lvl w:ilvl="1">
      <w:lvlJc w:val="left"/>
      <w:lvlText w:val="•"/>
      <w:numFmt w:val="bullet"/>
      <w:start w:val="1"/>
    </w:lvl>
  </w:abstractNum>
  <w:abstractNum w:abstractNumId="86">
    <w:nsid w:val="94927A8"/>
    <w:multiLevelType w:val="hybridMultilevel"/>
    <w:lvl w:ilvl="0">
      <w:lvlJc w:val="left"/>
      <w:lvlText w:val="(%1)"/>
      <w:numFmt w:val="decimal"/>
      <w:start w:val="2"/>
    </w:lvl>
  </w:abstractNum>
  <w:abstractNum w:abstractNumId="87">
    <w:nsid w:val="DCDF8F6"/>
    <w:multiLevelType w:val="hybridMultilevel"/>
    <w:lvl w:ilvl="0">
      <w:lvlJc w:val="left"/>
      <w:lvlText w:val="•"/>
      <w:numFmt w:val="bullet"/>
      <w:start w:val="1"/>
    </w:lvl>
  </w:abstractNum>
  <w:abstractNum w:abstractNumId="88">
    <w:nsid w:val="52D7B105"/>
    <w:multiLevelType w:val="hybridMultilevel"/>
    <w:lvl w:ilvl="0">
      <w:lvlJc w:val="left"/>
      <w:lvlText w:val="•"/>
      <w:numFmt w:val="bullet"/>
      <w:start w:val="1"/>
    </w:lvl>
  </w:abstractNum>
  <w:abstractNum w:abstractNumId="89">
    <w:nsid w:val="2E8A6394"/>
    <w:multiLevelType w:val="hybridMultilevel"/>
    <w:lvl w:ilvl="0">
      <w:lvlJc w:val="left"/>
      <w:lvlText w:val="(%1)"/>
      <w:numFmt w:val="lowerRoman"/>
      <w:start w:val="1"/>
    </w:lvl>
  </w:abstractNum>
  <w:abstractNum w:abstractNumId="90">
    <w:nsid w:val="24E60401"/>
    <w:multiLevelType w:val="hybridMultilevel"/>
    <w:lvl w:ilvl="0">
      <w:lvlJc w:val="left"/>
      <w:lvlText w:val="(%1)"/>
      <w:numFmt w:val="lowerRoman"/>
      <w:start w:val="1"/>
    </w:lvl>
  </w:abstractNum>
  <w:abstractNum w:abstractNumId="91">
    <w:nsid w:val="2A6AD9BE"/>
    <w:multiLevelType w:val="hybridMultilevel"/>
    <w:lvl w:ilvl="0">
      <w:lvlJc w:val="left"/>
      <w:lvlText w:val="•"/>
      <w:numFmt w:val="bullet"/>
      <w:start w:val="1"/>
    </w:lvl>
  </w:abstractNum>
  <w:abstractNum w:abstractNumId="92">
    <w:nsid w:val="BAAC1B4"/>
    <w:multiLevelType w:val="hybridMultilevel"/>
    <w:lvl w:ilvl="0">
      <w:lvlJc w:val="left"/>
      <w:lvlText w:val="*"/>
      <w:numFmt w:val="bullet"/>
      <w:start w:val="1"/>
    </w:lvl>
  </w:abstractNum>
  <w:abstractNum w:abstractNumId="93">
    <w:nsid w:val="36B2ACBC"/>
    <w:multiLevelType w:val="hybridMultilevel"/>
    <w:lvl w:ilvl="0">
      <w:lvlJc w:val="left"/>
      <w:lvlText w:val="(%1)"/>
      <w:numFmt w:val="lowerLetter"/>
      <w:start w:val="1"/>
    </w:lvl>
  </w:abstractNum>
  <w:abstractNum w:abstractNumId="94">
    <w:nsid w:val="779D8544"/>
    <w:multiLevelType w:val="hybridMultilevel"/>
    <w:lvl w:ilvl="0">
      <w:lvlJc w:val="left"/>
      <w:lvlText w:val="(%1)"/>
      <w:numFmt w:val="lowerRoman"/>
      <w:start w:val="2"/>
    </w:lvl>
  </w:abstractNum>
  <w:abstractNum w:abstractNumId="95">
    <w:nsid w:val="4AB26E78"/>
    <w:multiLevelType w:val="hybridMultilevel"/>
    <w:lvl w:ilvl="0">
      <w:lvlJc w:val="left"/>
      <w:lvlText w:val="(%1)"/>
      <w:numFmt w:val="decimal"/>
      <w:start w:val="3"/>
    </w:lvl>
  </w:abstractNum>
  <w:abstractNum w:abstractNumId="96">
    <w:nsid w:val="21FAA2FA"/>
    <w:multiLevelType w:val="hybridMultilevel"/>
    <w:lvl w:ilvl="0">
      <w:lvlJc w:val="left"/>
      <w:lvlText w:val="​"/>
      <w:numFmt w:val="bullet"/>
      <w:start w:val="1"/>
    </w:lvl>
  </w:abstractNum>
  <w:abstractNum w:abstractNumId="97">
    <w:nsid w:val="5451CF49"/>
    <w:multiLevelType w:val="hybridMultilevel"/>
    <w:lvl w:ilvl="0">
      <w:lvlJc w:val="left"/>
      <w:lvlText w:val="(%1)"/>
      <w:numFmt w:val="lowerRoman"/>
      <w:start w:val="4"/>
    </w:lvl>
  </w:abstractNum>
  <w:abstractNum w:abstractNumId="98">
    <w:nsid w:val="6181EF69"/>
    <w:multiLevelType w:val="hybridMultilevel"/>
    <w:lvl w:ilvl="0">
      <w:lvlJc w:val="left"/>
      <w:lvlText w:val="​"/>
      <w:numFmt w:val="bullet"/>
      <w:start w:val="1"/>
    </w:lvl>
  </w:abstractNum>
  <w:abstractNum w:abstractNumId="99">
    <w:nsid w:val="3E6400E6"/>
    <w:multiLevelType w:val="hybridMultilevel"/>
    <w:lvl w:ilvl="0">
      <w:lvlJc w:val="left"/>
      <w:lvlText w:val="(%1)"/>
      <w:numFmt w:val="lowerLetter"/>
      <w:start w:val="1"/>
    </w:lvl>
  </w:abstractNum>
  <w:abstractNum w:abstractNumId="100">
    <w:nsid w:val="14217E23"/>
    <w:multiLevelType w:val="hybridMultilevel"/>
    <w:lvl w:ilvl="0">
      <w:lvlJc w:val="left"/>
      <w:lvlText w:val="(%1)"/>
      <w:numFmt w:val="lowerLetter"/>
      <w:start w:val="3"/>
    </w:lvl>
  </w:abstractNum>
  <w:abstractNum w:abstractNumId="101">
    <w:nsid w:val="710757D0"/>
    <w:multiLevelType w:val="hybridMultilevel"/>
    <w:lvl w:ilvl="0">
      <w:lvlJc w:val="left"/>
      <w:lvlText w:val="(%1)"/>
      <w:numFmt w:val="lowerLetter"/>
      <w:start w:val="1"/>
    </w:lvl>
  </w:abstractNum>
  <w:abstractNum w:abstractNumId="102">
    <w:nsid w:val="5015CD1A"/>
    <w:multiLevelType w:val="hybridMultilevel"/>
    <w:lvl w:ilvl="0">
      <w:lvlJc w:val="left"/>
      <w:lvlText w:val="(%1)"/>
      <w:numFmt w:val="lowerLetter"/>
      <w:start w:val="1"/>
    </w:lvl>
    <w:lvl w:ilvl="1">
      <w:lvlJc w:val="left"/>
      <w:lvlText w:val="(%2)"/>
      <w:numFmt w:val="lowerRoman"/>
      <w:start w:val="1"/>
    </w:lvl>
  </w:abstractNum>
  <w:abstractNum w:abstractNumId="103">
    <w:nsid w:val="424479DA"/>
    <w:multiLevelType w:val="hybridMultilevel"/>
    <w:lvl w:ilvl="0">
      <w:lvlJc w:val="left"/>
      <w:lvlText w:val="(%1)"/>
      <w:numFmt w:val="lowerLetter"/>
      <w:start w:val="4"/>
    </w:lvl>
  </w:abstractNum>
  <w:abstractNum w:abstractNumId="104">
    <w:nsid w:val="1A9A9E69"/>
    <w:multiLevelType w:val="hybridMultilevel"/>
    <w:lvl w:ilvl="0">
      <w:lvlJc w:val="left"/>
      <w:lvlText w:val="(%1)"/>
      <w:numFmt w:val="lowerLetter"/>
      <w:start w:val="1"/>
    </w:lvl>
  </w:abstractNum>
  <w:abstractNum w:abstractNumId="105">
    <w:nsid w:val="475E256A"/>
    <w:multiLevelType w:val="hybridMultilevel"/>
    <w:lvl w:ilvl="0">
      <w:lvlJc w:val="left"/>
      <w:lvlText w:val="(%1)"/>
      <w:numFmt w:val="lowerLetter"/>
      <w:start w:val="2"/>
    </w:lvl>
  </w:abstractNum>
  <w:abstractNum w:abstractNumId="106">
    <w:nsid w:val="368DB3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7">
    <w:nsid w:val="6A3B714C"/>
    <w:multiLevelType w:val="hybridMultilevel"/>
    <w:lvl w:ilvl="0">
      <w:lvlJc w:val="left"/>
      <w:lvlText w:val="(%1)"/>
      <w:numFmt w:val="lowerLetter"/>
      <w:start w:val="1"/>
    </w:lvl>
  </w:abstractNum>
  <w:abstractNum w:abstractNumId="108">
    <w:nsid w:val="327B517E"/>
    <w:multiLevelType w:val="hybridMultilevel"/>
    <w:lvl w:ilvl="0">
      <w:lvlJc w:val="left"/>
      <w:lvlText w:val="%1"/>
      <w:numFmt w:val="decimal"/>
      <w:start w:val="1"/>
    </w:lvl>
    <w:lvl w:ilvl="1">
      <w:lvlJc w:val="left"/>
      <w:lvlText w:val="(%2)"/>
      <w:numFmt w:val="lowerLetter"/>
      <w:start w:val="3"/>
    </w:lvl>
  </w:abstractNum>
  <w:abstractNum w:abstractNumId="109">
    <w:nsid w:val="1F461B51"/>
    <w:multiLevelType w:val="hybridMultilevel"/>
    <w:lvl w:ilvl="0">
      <w:lvlJc w:val="left"/>
      <w:lvlText w:val="(%1)"/>
      <w:numFmt w:val="decimal"/>
      <w:start w:val="15"/>
    </w:lvl>
    <w:lvl w:ilvl="1">
      <w:lvlJc w:val="left"/>
      <w:lvlText w:val="(%2)"/>
      <w:numFmt w:val="lowerLetter"/>
      <w:start w:val="5"/>
    </w:lvl>
  </w:abstractNum>
  <w:abstractNum w:abstractNumId="110">
    <w:nsid w:val="29BACF25"/>
    <w:multiLevelType w:val="hybridMultilevel"/>
    <w:lvl w:ilvl="0">
      <w:lvlJc w:val="left"/>
      <w:lvlText w:val="(%1)"/>
      <w:numFmt w:val="lowerLetter"/>
      <w:start w:val="35"/>
    </w:lvl>
  </w:abstractNum>
  <w:abstractNum w:abstractNumId="111">
    <w:nsid w:val="5D5BABB3"/>
    <w:multiLevelType w:val="hybridMultilevel"/>
    <w:lvl w:ilvl="0">
      <w:lvlJc w:val="left"/>
      <w:lvlText w:val="(%1)"/>
      <w:numFmt w:val="lowerLetter"/>
      <w:start w:val="1"/>
    </w:lvl>
  </w:abstractNum>
  <w:abstractNum w:abstractNumId="112">
    <w:nsid w:val="51BF6B48"/>
    <w:multiLevelType w:val="hybridMultilevel"/>
    <w:lvl w:ilvl="0">
      <w:lvlJc w:val="left"/>
      <w:lvlText w:val="(%1)"/>
      <w:numFmt w:val="lowerLetter"/>
      <w:start w:val="1"/>
    </w:lvl>
  </w:abstractNum>
  <w:abstractNum w:abstractNumId="113">
    <w:nsid w:val="7E0F6384"/>
    <w:multiLevelType w:val="hybridMultilevel"/>
    <w:lvl w:ilvl="0">
      <w:lvlJc w:val="left"/>
      <w:lvlText w:val="(%1)"/>
      <w:numFmt w:val="lowerLetter"/>
      <w:start w:val="6"/>
    </w:lvl>
  </w:abstractNum>
  <w:abstractNum w:abstractNumId="114">
    <w:nsid w:val="2B4B8B53"/>
    <w:multiLevelType w:val="hybridMultilevel"/>
    <w:lvl w:ilvl="0">
      <w:lvlJc w:val="left"/>
      <w:lvlText w:val="(%1)"/>
      <w:numFmt w:val="lowerLetter"/>
      <w:start w:val="1"/>
    </w:lvl>
  </w:abstractNum>
  <w:abstractNum w:abstractNumId="115">
    <w:nsid w:val="72E3413A"/>
    <w:multiLevelType w:val="hybridMultilevel"/>
    <w:lvl w:ilvl="0">
      <w:lvlJc w:val="left"/>
      <w:lvlText w:val="%1"/>
      <w:numFmt w:val="lowerRoman"/>
      <w:start w:val="1"/>
    </w:lvl>
    <w:lvl w:ilvl="1">
      <w:lvlJc w:val="left"/>
      <w:lvlText w:val="(%2)"/>
      <w:numFmt w:val="lowerLetter"/>
      <w:start w:val="1"/>
    </w:lvl>
  </w:abstractNum>
  <w:abstractNum w:abstractNumId="116">
    <w:nsid w:val="116AE494"/>
    <w:multiLevelType w:val="hybridMultilevel"/>
    <w:lvl w:ilvl="0">
      <w:lvlJc w:val="left"/>
      <w:lvlText w:val="(%1)"/>
      <w:numFmt w:val="lowerRoman"/>
      <w:start w:val="2"/>
    </w:lvl>
    <w:lvl w:ilvl="1">
      <w:lvlJc w:val="left"/>
      <w:lvlText w:val="%2"/>
      <w:numFmt w:val="lowerLetter"/>
      <w:start w:val="1"/>
    </w:lvl>
  </w:abstractNum>
  <w:abstractNum w:abstractNumId="117">
    <w:nsid w:val="3494B2FB"/>
    <w:multiLevelType w:val="hybridMultilevel"/>
    <w:lvl w:ilvl="0">
      <w:lvlJc w:val="left"/>
      <w:lvlText w:val="(%1)"/>
      <w:numFmt w:val="lowerLetter"/>
      <w:start w:val="2"/>
    </w:lvl>
  </w:abstractNum>
  <w:abstractNum w:abstractNumId="118">
    <w:nsid w:val="B13A31"/>
    <w:multiLevelType w:val="hybridMultilevel"/>
    <w:lvl w:ilvl="0">
      <w:lvlJc w:val="left"/>
      <w:lvlText w:val="%1"/>
      <w:numFmt w:val="decimal"/>
      <w:start w:val="1"/>
    </w:lvl>
    <w:lvl w:ilvl="1">
      <w:lvlJc w:val="left"/>
      <w:lvlText w:val="(%2)"/>
      <w:numFmt w:val="lowerLetter"/>
      <w:start w:val="1"/>
    </w:lvl>
  </w:abstractNum>
  <w:abstractNum w:abstractNumId="119">
    <w:nsid w:val="64429599"/>
    <w:multiLevelType w:val="hybridMultilevel"/>
    <w:lvl w:ilvl="0">
      <w:lvlJc w:val="left"/>
      <w:lvlText w:val="(%1)"/>
      <w:numFmt w:val="decimal"/>
      <w:start w:val="2"/>
    </w:lvl>
    <w:lvl w:ilvl="1">
      <w:lvlJc w:val="left"/>
      <w:lvlText w:val="%2"/>
      <w:numFmt w:val="lowerLetter"/>
      <w:start w:val="1"/>
    </w:lvl>
  </w:abstractNum>
  <w:abstractNum w:abstractNumId="120">
    <w:nsid w:val="631F1690"/>
    <w:multiLevelType w:val="hybridMultilevel"/>
    <w:lvl w:ilvl="0">
      <w:lvlJc w:val="left"/>
      <w:lvlText w:val="(%1)"/>
      <w:numFmt w:val="upperLetter"/>
      <w:start w:val="2"/>
    </w:lvl>
  </w:abstractNum>
  <w:abstractNum w:abstractNumId="121">
    <w:nsid w:val="25973E32"/>
    <w:multiLevelType w:val="hybridMultilevel"/>
    <w:lvl w:ilvl="0">
      <w:lvlJc w:val="left"/>
      <w:lvlText w:val="%1"/>
      <w:numFmt w:val="lowerRoman"/>
      <w:start w:val="1"/>
    </w:lvl>
    <w:lvl w:ilvl="1">
      <w:lvlJc w:val="left"/>
      <w:lvlText w:val="(%2)"/>
      <w:numFmt w:val="lowerLetter"/>
      <w:start w:val="2"/>
    </w:lvl>
  </w:abstractNum>
  <w:abstractNum w:abstractNumId="122">
    <w:nsid w:val="EAD6F57"/>
    <w:multiLevelType w:val="hybridMultilevel"/>
    <w:lvl w:ilvl="0">
      <w:lvlJc w:val="left"/>
      <w:lvlText w:val="(%1)"/>
      <w:numFmt w:val="lowerRoman"/>
      <w:start w:val="6"/>
    </w:lvl>
    <w:lvl w:ilvl="1">
      <w:lvlJc w:val="left"/>
      <w:lvlText w:val="(%2)"/>
      <w:numFmt w:val="lowerLetter"/>
      <w:start w:val="3"/>
    </w:lvl>
  </w:abstractNum>
  <w:abstractNum w:abstractNumId="123">
    <w:nsid w:val="6EC9D844"/>
    <w:multiLevelType w:val="hybridMultilevel"/>
    <w:lvl w:ilvl="0">
      <w:lvlJc w:val="left"/>
      <w:lvlText w:val="%1"/>
      <w:numFmt w:val="lowerLetter"/>
      <w:start w:val="1"/>
    </w:lvl>
    <w:lvl w:ilvl="1">
      <w:lvlJc w:val="left"/>
      <w:lvlText w:val="(%2)"/>
      <w:numFmt w:val="lowerLetter"/>
      <w:start w:val="1"/>
    </w:lvl>
  </w:abstractNum>
  <w:abstractNum w:abstractNumId="124">
    <w:nsid w:val="5C49EAEE"/>
    <w:multiLevelType w:val="hybridMultilevel"/>
    <w:lvl w:ilvl="0">
      <w:lvlJc w:val="left"/>
      <w:lvlText w:val="(%1)"/>
      <w:numFmt w:val="lowerLetter"/>
      <w:start w:val="35"/>
    </w:lvl>
    <w:lvl w:ilvl="1">
      <w:lvlJc w:val="left"/>
      <w:lvlText w:val="(%2)"/>
      <w:numFmt w:val="lowerLetter"/>
      <w:start w:val="2"/>
    </w:lvl>
  </w:abstractNum>
  <w:abstractNum w:abstractNumId="125">
    <w:nsid w:val="64AF49B"/>
    <w:multiLevelType w:val="hybridMultilevel"/>
    <w:lvl w:ilvl="0">
      <w:lvlJc w:val="left"/>
      <w:lvlText w:val="(%1)"/>
      <w:numFmt w:val="lowerLetter"/>
      <w:start w:val="3"/>
    </w:lvl>
  </w:abstractNum>
  <w:abstractNum w:abstractNumId="126">
    <w:nsid w:val="397C46BC"/>
    <w:multiLevelType w:val="hybridMultilevel"/>
    <w:lvl w:ilvl="0">
      <w:lvlJc w:val="left"/>
      <w:lvlText w:val="(%1)"/>
      <w:numFmt w:val="lowerLetter"/>
      <w:start w:val="1"/>
    </w:lvl>
  </w:abstractNum>
  <w:abstractNum w:abstractNumId="127">
    <w:nsid w:val="7E448DE9"/>
    <w:multiLevelType w:val="hybridMultilevel"/>
    <w:lvl w:ilvl="0">
      <w:lvlJc w:val="left"/>
      <w:lvlText w:val="(%1)"/>
      <w:numFmt w:val="lowerLetter"/>
      <w:start w:val="2"/>
    </w:lvl>
  </w:abstractNum>
  <w:abstractNum w:abstractNumId="128">
    <w:nsid w:val="5A9CC3E5"/>
    <w:multiLevelType w:val="hybridMultilevel"/>
    <w:lvl w:ilvl="0">
      <w:lvlJc w:val="left"/>
      <w:lvlText w:val="%1"/>
      <w:numFmt w:val="lowerLetter"/>
      <w:start w:val="1"/>
    </w:lvl>
    <w:lvl w:ilvl="1">
      <w:lvlJc w:val="left"/>
      <w:lvlText w:val="(%2)"/>
      <w:numFmt w:val="lowerLetter"/>
      <w:start w:val="1"/>
    </w:lvl>
  </w:abstractNum>
  <w:abstractNum w:abstractNumId="129">
    <w:nsid w:val="1AFE3625"/>
    <w:multiLevelType w:val="hybridMultilevel"/>
    <w:lvl w:ilvl="0">
      <w:lvlJc w:val="left"/>
      <w:lvlText w:val="(%1)"/>
      <w:numFmt w:val="lowerLetter"/>
      <w:start w:val="61"/>
    </w:lvl>
    <w:lvl w:ilvl="1">
      <w:lvlJc w:val="left"/>
      <w:lvlText w:val="(%2)"/>
      <w:numFmt w:val="lowerLetter"/>
      <w:start w:val="4"/>
    </w:lvl>
  </w:abstractNum>
  <w:abstractNum w:abstractNumId="130">
    <w:nsid w:val="3CA88ECF"/>
    <w:multiLevelType w:val="hybridMultilevel"/>
    <w:lvl w:ilvl="0">
      <w:lvlJc w:val="left"/>
      <w:lvlText w:val="(%1)"/>
      <w:numFmt w:val="lowerLetter"/>
      <w:start w:val="61"/>
    </w:lvl>
    <w:lvl w:ilvl="1">
      <w:lvlJc w:val="left"/>
      <w:lvlText w:val="(%2)"/>
      <w:numFmt w:val="lowerLetter"/>
      <w:start w:val="5"/>
    </w:lvl>
  </w:abstractNum>
  <w:abstractNum w:abstractNumId="131">
    <w:nsid w:val="6EBE4208"/>
    <w:multiLevelType w:val="hybridMultilevel"/>
    <w:lvl w:ilvl="0">
      <w:lvlJc w:val="left"/>
      <w:lvlText w:val="(%1)"/>
      <w:numFmt w:val="lowerLetter"/>
      <w:start w:val="61"/>
    </w:lvl>
    <w:lvl w:ilvl="1">
      <w:lvlJc w:val="left"/>
      <w:lvlText w:val="%2"/>
      <w:numFmt w:val="lowerLetter"/>
      <w:start w:val="1"/>
    </w:lvl>
  </w:abstractNum>
  <w:abstractNum w:abstractNumId="132">
    <w:nsid w:val="C058DF5"/>
    <w:multiLevelType w:val="hybridMultilevel"/>
    <w:lvl w:ilvl="0">
      <w:lvlJc w:val="left"/>
      <w:lvlText w:val="(%1)"/>
      <w:numFmt w:val="lowerLetter"/>
      <w:start w:val="9"/>
    </w:lvl>
    <w:lvl w:ilvl="1">
      <w:lvlJc w:val="left"/>
      <w:lvlText w:val="%2"/>
      <w:numFmt w:val="lowerLetter"/>
      <w:start w:val="1"/>
    </w:lvl>
  </w:abstractNum>
  <w:abstractNum w:abstractNumId="133">
    <w:nsid w:val="CBE5BE9"/>
    <w:multiLevelType w:val="hybridMultilevel"/>
    <w:lvl w:ilvl="0">
      <w:lvlJc w:val="left"/>
      <w:lvlText w:val="(%1)"/>
      <w:numFmt w:val="lowerLetter"/>
      <w:start w:val="1"/>
    </w:lvl>
  </w:abstractNum>
  <w:abstractNum w:abstractNumId="134">
    <w:nsid w:val="3102BBE2"/>
    <w:multiLevelType w:val="hybridMultilevel"/>
    <w:lvl w:ilvl="0">
      <w:lvlJc w:val="left"/>
      <w:lvlText w:val="%1"/>
      <w:numFmt w:val="lowerLetter"/>
      <w:start w:val="1"/>
    </w:lvl>
    <w:lvl w:ilvl="1">
      <w:lvlJc w:val="left"/>
      <w:lvlText w:val="(%2)"/>
      <w:numFmt w:val="lowerLetter"/>
      <w:start w:val="1"/>
    </w:lvl>
  </w:abstractNum>
  <w:abstractNum w:abstractNumId="135">
    <w:nsid w:val="26A02C5E"/>
    <w:multiLevelType w:val="hybridMultilevel"/>
    <w:lvl w:ilvl="0">
      <w:lvlJc w:val="left"/>
      <w:lvlText w:val="(%1)"/>
      <w:numFmt w:val="lowerLetter"/>
      <w:start w:val="35"/>
    </w:lvl>
    <w:lvl w:ilvl="1">
      <w:lvlJc w:val="left"/>
      <w:lvlText w:val="(%2)"/>
      <w:numFmt w:val="lowerLetter"/>
      <w:start w:val="2"/>
    </w:lvl>
  </w:abstractNum>
  <w:abstractNum w:abstractNumId="136">
    <w:nsid w:val="541C8153"/>
    <w:multiLevelType w:val="hybridMultilevel"/>
    <w:lvl w:ilvl="0">
      <w:lvlJc w:val="left"/>
      <w:lvlText w:val="(%1)"/>
      <w:numFmt w:val="lowerLetter"/>
      <w:start w:val="7"/>
    </w:lvl>
  </w:abstractNum>
  <w:abstractNum w:abstractNumId="137">
    <w:nsid w:val="67906F60"/>
    <w:multiLevelType w:val="hybridMultilevel"/>
    <w:lvl w:ilvl="0">
      <w:lvlJc w:val="left"/>
      <w:lvlText w:val="(%1)"/>
      <w:numFmt w:val="lowerLetter"/>
      <w:start w:val="19"/>
    </w:lvl>
  </w:abstractNum>
  <w:abstractNum w:abstractNumId="138">
    <w:nsid w:val="10DB9DAA"/>
    <w:multiLevelType w:val="hybridMultilevel"/>
    <w:lvl w:ilvl="0">
      <w:lvlJc w:val="left"/>
      <w:lvlText w:val="(%1)"/>
      <w:numFmt w:val="lowerLetter"/>
      <w:start w:val="1"/>
    </w:lvl>
  </w:abstractNum>
  <w:abstractNum w:abstractNumId="139">
    <w:nsid w:val="697D2D2"/>
    <w:multiLevelType w:val="hybridMultilevel"/>
    <w:lvl w:ilvl="0">
      <w:lvlJc w:val="left"/>
      <w:lvlText w:val="(%1)"/>
      <w:numFmt w:val="lowerLetter"/>
      <w:start w:val="6"/>
    </w:lvl>
  </w:abstractNum>
  <w:abstractNum w:abstractNumId="140">
    <w:nsid w:val="6D68AB2"/>
    <w:multiLevelType w:val="hybridMultilevel"/>
    <w:lvl w:ilvl="0">
      <w:lvlJc w:val="left"/>
      <w:lvlText w:val="(%1)"/>
      <w:numFmt w:val="lowerLetter"/>
      <w:start w:val="1"/>
    </w:lvl>
  </w:abstractNum>
  <w:abstractNum w:abstractNumId="141">
    <w:nsid w:val="3A966CD0"/>
    <w:multiLevelType w:val="hybridMultilevel"/>
    <w:lvl w:ilvl="0">
      <w:lvlJc w:val="left"/>
      <w:lvlText w:val="%1"/>
      <w:numFmt w:val="lowerRoman"/>
      <w:start w:val="1"/>
    </w:lvl>
    <w:lvl w:ilvl="1">
      <w:lvlJc w:val="left"/>
      <w:lvlText w:val="(%2)"/>
      <w:numFmt w:val="lowerLetter"/>
      <w:start w:val="3"/>
    </w:lvl>
  </w:abstractNum>
  <w:abstractNum w:abstractNumId="142">
    <w:nsid w:val="63F37E85"/>
    <w:multiLevelType w:val="hybridMultilevel"/>
    <w:lvl w:ilvl="0">
      <w:lvlJc w:val="left"/>
      <w:lvlText w:val="(%1)"/>
      <w:numFmt w:val="lowerRoman"/>
      <w:start w:val="2"/>
    </w:lvl>
    <w:lvl w:ilvl="1">
      <w:lvlJc w:val="left"/>
      <w:lvlText w:val="(%2)"/>
      <w:numFmt w:val="lowerLetter"/>
      <w:start w:val="9"/>
    </w:lvl>
  </w:abstractNum>
  <w:abstractNum w:abstractNumId="143">
    <w:nsid w:val="5895F5FA"/>
    <w:multiLevelType w:val="hybridMultilevel"/>
    <w:lvl w:ilvl="0">
      <w:lvlJc w:val="left"/>
      <w:lvlText w:val="(%1)"/>
      <w:numFmt w:val="lowerLetter"/>
      <w:start w:val="10"/>
    </w:lvl>
  </w:abstractNum>
  <w:abstractNum w:abstractNumId="144">
    <w:nsid w:val="38A5D054"/>
    <w:multiLevelType w:val="hybridMultilevel"/>
    <w:lvl w:ilvl="0">
      <w:lvlJc w:val="left"/>
      <w:lvlText w:val="(%1)"/>
      <w:numFmt w:val="lowerLetter"/>
      <w:start w:val="20"/>
    </w:lvl>
  </w:abstractNum>
  <w:abstractNum w:abstractNumId="145">
    <w:nsid w:val="F3F09D8"/>
    <w:multiLevelType w:val="hybridMultilevel"/>
    <w:lvl w:ilvl="0">
      <w:lvlJc w:val="left"/>
      <w:lvlText w:val="(%1)"/>
      <w:numFmt w:val="lowerLetter"/>
      <w:start w:val="1"/>
    </w:lvl>
  </w:abstractNum>
  <w:abstractNum w:abstractNumId="146">
    <w:nsid w:val="4B793735"/>
    <w:multiLevelType w:val="hybridMultilevel"/>
    <w:lvl w:ilvl="0">
      <w:lvlJc w:val="left"/>
      <w:lvlText w:val="(%1)"/>
      <w:numFmt w:val="lowerLetter"/>
      <w:start w:val="12"/>
    </w:lvl>
  </w:abstractNum>
  <w:abstractNum w:abstractNumId="147">
    <w:nsid w:val="4A10B4E8"/>
    <w:multiLevelType w:val="hybridMultilevel"/>
    <w:lvl w:ilvl="0">
      <w:lvlJc w:val="left"/>
      <w:lvlText w:val="%1"/>
      <w:numFmt w:val="lowerLetter"/>
      <w:start w:val="1"/>
    </w:lvl>
    <w:lvl w:ilvl="1">
      <w:lvlJc w:val="left"/>
      <w:lvlText w:val="(%2)"/>
      <w:numFmt w:val="lowerLetter"/>
      <w:start w:val="1"/>
    </w:lvl>
  </w:abstractNum>
  <w:abstractNum w:abstractNumId="148">
    <w:nsid w:val="43D3BCD4"/>
    <w:multiLevelType w:val="hybridMultilevel"/>
    <w:lvl w:ilvl="0">
      <w:lvlJc w:val="left"/>
      <w:lvlText w:val="(%1)"/>
      <w:numFmt w:val="lowerLetter"/>
      <w:start w:val="9"/>
    </w:lvl>
    <w:lvl w:ilvl="1">
      <w:lvlJc w:val="left"/>
      <w:lvlText w:val="(%2)"/>
      <w:numFmt w:val="lowerLetter"/>
      <w:start w:val="2"/>
    </w:lvl>
  </w:abstractNum>
  <w:abstractNum w:abstractNumId="149">
    <w:nsid w:val="4C2A7166"/>
    <w:multiLevelType w:val="hybridMultilevel"/>
    <w:lvl w:ilvl="0">
      <w:lvlJc w:val="left"/>
      <w:lvlText w:val="(%1)"/>
      <w:numFmt w:val="lowerLetter"/>
      <w:start w:val="1"/>
    </w:lvl>
  </w:abstractNum>
  <w:abstractNum w:abstractNumId="150">
    <w:nsid w:val="2E534A82"/>
    <w:multiLevelType w:val="hybridMultilevel"/>
    <w:lvl w:ilvl="0">
      <w:lvlJc w:val="left"/>
      <w:lvlText w:val="(%1)"/>
      <w:numFmt w:val="lowerLetter"/>
      <w:start w:val="5"/>
    </w:lvl>
  </w:abstractNum>
  <w:abstractNum w:abstractNumId="151">
    <w:nsid w:val="26F2D364"/>
    <w:multiLevelType w:val="hybridMultilevel"/>
    <w:lvl w:ilvl="0">
      <w:lvlJc w:val="left"/>
      <w:lvlText w:val="(%1)"/>
      <w:numFmt w:val="lowerLetter"/>
      <w:start w:val="3"/>
    </w:lvl>
  </w:abstractNum>
  <w:abstractNum w:abstractNumId="152">
    <w:nsid w:val="71C1AF98"/>
    <w:multiLevelType w:val="hybridMultilevel"/>
    <w:lvl w:ilvl="0">
      <w:lvlJc w:val="left"/>
      <w:lvlText w:val="(%1)"/>
      <w:numFmt w:val="lowerLetter"/>
      <w:start w:val="1"/>
    </w:lvl>
  </w:abstractNum>
  <w:abstractNum w:abstractNumId="153">
    <w:nsid w:val="3D00B9D9"/>
    <w:multiLevelType w:val="hybridMultilevel"/>
    <w:lvl w:ilvl="0">
      <w:lvlJc w:val="left"/>
      <w:lvlText w:val="(%1)"/>
      <w:numFmt w:val="lowerLetter"/>
      <w:start w:val="8"/>
    </w:lvl>
  </w:abstractNum>
  <w:abstractNum w:abstractNumId="154">
    <w:nsid w:val="15BCABA8"/>
    <w:multiLevelType w:val="hybridMultilevel"/>
    <w:lvl w:ilvl="0">
      <w:lvlJc w:val="left"/>
      <w:lvlText w:val="(%1)"/>
      <w:numFmt w:val="lowerLetter"/>
      <w:start w:val="1"/>
    </w:lvl>
  </w:abstractNum>
  <w:abstractNum w:abstractNumId="155">
    <w:nsid w:val="4E0B9A87"/>
    <w:multiLevelType w:val="hybridMultilevel"/>
    <w:lvl w:ilvl="0">
      <w:lvlJc w:val="left"/>
      <w:lvlText w:val="(%1)"/>
      <w:numFmt w:val="lowerLetter"/>
      <w:start w:val="1"/>
    </w:lvl>
  </w:abstractNum>
  <w:abstractNum w:abstractNumId="156">
    <w:nsid w:val="434BAE75"/>
    <w:multiLevelType w:val="hybridMultilevel"/>
    <w:lvl w:ilvl="0">
      <w:lvlJc w:val="left"/>
      <w:lvlText w:val="(%1)"/>
      <w:numFmt w:val="lowerLetter"/>
      <w:start w:val="3"/>
    </w:lvl>
  </w:abstractNum>
  <w:abstractNum w:abstractNumId="157">
    <w:nsid w:val="4F38F265"/>
    <w:multiLevelType w:val="hybridMultilevel"/>
    <w:lvl w:ilvl="0">
      <w:lvlJc w:val="left"/>
      <w:lvlText w:val="(%1)"/>
      <w:numFmt w:val="lowerLetter"/>
      <w:start w:val="1"/>
    </w:lvl>
  </w:abstractNum>
  <w:abstractNum w:abstractNumId="158">
    <w:nsid w:val="4C502870"/>
    <w:multiLevelType w:val="hybridMultilevel"/>
    <w:lvl w:ilvl="0">
      <w:lvlJc w:val="left"/>
      <w:lvlText w:val="(%1)"/>
      <w:numFmt w:val="lowerLetter"/>
      <w:start w:val="1"/>
    </w:lvl>
  </w:abstractNum>
  <w:abstractNum w:abstractNumId="159">
    <w:nsid w:val="1DE8725A"/>
    <w:multiLevelType w:val="hybridMultilevel"/>
    <w:lvl w:ilvl="0">
      <w:lvlJc w:val="left"/>
      <w:lvlText w:val="(%1)"/>
      <w:numFmt w:val="lowerLetter"/>
      <w:start w:val="35"/>
    </w:lvl>
    <w:lvl w:ilvl="1">
      <w:lvlJc w:val="left"/>
      <w:lvlText w:val="(%2)"/>
      <w:numFmt w:val="lowerLetter"/>
      <w:start w:val="2"/>
    </w:lvl>
  </w:abstractNum>
  <w:abstractNum w:abstractNumId="160">
    <w:nsid w:val="6A37288A"/>
    <w:multiLevelType w:val="hybridMultilevel"/>
    <w:lvl w:ilvl="0">
      <w:lvlJc w:val="left"/>
      <w:lvlText w:val="(%1)"/>
      <w:numFmt w:val="lowerLetter"/>
      <w:start w:val="1"/>
    </w:lvl>
  </w:abstractNum>
  <w:abstractNum w:abstractNumId="161">
    <w:nsid w:val="8F8B73F"/>
    <w:multiLevelType w:val="hybridMultilevel"/>
    <w:lvl w:ilvl="0">
      <w:lvlJc w:val="left"/>
      <w:lvlText w:val="(%1)"/>
      <w:numFmt w:val="lowerLetter"/>
      <w:start w:val="3"/>
    </w:lvl>
  </w:abstractNum>
  <w:abstractNum w:abstractNumId="162">
    <w:nsid w:val="CA6B462"/>
    <w:multiLevelType w:val="hybridMultilevel"/>
    <w:lvl w:ilvl="0">
      <w:lvlJc w:val="left"/>
      <w:lvlText w:val="(%1)"/>
      <w:numFmt w:val="lowerLetter"/>
      <w:start w:val="1"/>
    </w:lvl>
  </w:abstractNum>
  <w:abstractNum w:abstractNumId="163">
    <w:nsid w:val="763CB680"/>
    <w:multiLevelType w:val="hybridMultilevel"/>
    <w:lvl w:ilvl="0">
      <w:lvlJc w:val="left"/>
      <w:lvlText w:val="%1"/>
      <w:numFmt w:val="lowerLetter"/>
      <w:start w:val="1"/>
    </w:lvl>
    <w:lvl w:ilvl="1">
      <w:lvlJc w:val="left"/>
      <w:lvlText w:val="(%2)"/>
      <w:numFmt w:val="lowerLetter"/>
      <w:start w:val="1"/>
    </w:lvl>
  </w:abstractNum>
  <w:abstractNum w:abstractNumId="164">
    <w:nsid w:val="15B71329"/>
    <w:multiLevelType w:val="hybridMultilevel"/>
    <w:lvl w:ilvl="0">
      <w:lvlJc w:val="left"/>
      <w:lvlText w:val="(%1)"/>
      <w:numFmt w:val="lowerLetter"/>
      <w:start w:val="9"/>
    </w:lvl>
    <w:lvl w:ilvl="1">
      <w:lvlJc w:val="left"/>
      <w:lvlText w:val="(%2)"/>
      <w:numFmt w:val="lowerLetter"/>
      <w:start w:val="2"/>
    </w:lvl>
  </w:abstractNum>
  <w:abstractNum w:abstractNumId="165">
    <w:nsid w:val="3DA97044"/>
    <w:multiLevelType w:val="hybridMultilevel"/>
    <w:lvl w:ilvl="0">
      <w:lvlJc w:val="left"/>
      <w:lvlText w:val="(%1)"/>
      <w:numFmt w:val="lowerLetter"/>
      <w:start w:val="1"/>
    </w:lvl>
  </w:abstractNum>
  <w:abstractNum w:abstractNumId="166">
    <w:nsid w:val="1CDCE2DE"/>
    <w:multiLevelType w:val="hybridMultilevel"/>
    <w:lvl w:ilvl="0">
      <w:lvlJc w:val="left"/>
      <w:lvlText w:val="(%1)"/>
      <w:numFmt w:val="lowerLetter"/>
      <w:start w:val="1"/>
    </w:lvl>
  </w:abstractNum>
  <w:abstractNum w:abstractNumId="167">
    <w:nsid w:val="69D3947C"/>
    <w:multiLevelType w:val="hybridMultilevel"/>
    <w:lvl w:ilvl="0">
      <w:lvlJc w:val="left"/>
      <w:lvlText w:val="(%1)"/>
      <w:numFmt w:val="lowerLetter"/>
      <w:start w:val="1"/>
    </w:lvl>
  </w:abstractNum>
  <w:abstractNum w:abstractNumId="168">
    <w:nsid w:val="2539DFA5"/>
    <w:multiLevelType w:val="hybridMultilevel"/>
    <w:lvl w:ilvl="0">
      <w:lvlJc w:val="left"/>
      <w:lvlText w:val="(%1)"/>
      <w:numFmt w:val="lowerLetter"/>
      <w:start w:val="2"/>
    </w:lvl>
  </w:abstractNum>
  <w:abstractNum w:abstractNumId="169">
    <w:nsid w:val="2DB88089"/>
    <w:multiLevelType w:val="hybridMultilevel"/>
    <w:lvl w:ilvl="0">
      <w:lvlJc w:val="left"/>
      <w:lvlText w:val="(%1)"/>
      <w:numFmt w:val="lowerLetter"/>
      <w:start w:val="3"/>
    </w:lvl>
    <w:lvl w:ilvl="1">
      <w:lvlJc w:val="left"/>
      <w:lvlText w:val="(%2)"/>
      <w:numFmt w:val="lowerLetter"/>
      <w:start w:val="1"/>
    </w:lvl>
  </w:abstractNum>
  <w:abstractNum w:abstractNumId="170">
    <w:nsid w:val="706B674E"/>
    <w:multiLevelType w:val="hybridMultilevel"/>
    <w:lvl w:ilvl="0">
      <w:lvlJc w:val="left"/>
      <w:lvlText w:val="%1"/>
      <w:numFmt w:val="lowerLetter"/>
      <w:start w:val="1"/>
    </w:lvl>
    <w:lvl w:ilvl="1">
      <w:lvlJc w:val="left"/>
      <w:lvlText w:val="(%2)"/>
      <w:numFmt w:val="lowerLetter"/>
      <w:start w:val="8"/>
    </w:lvl>
  </w:abstractNum>
  <w:abstractNum w:abstractNumId="171">
    <w:nsid w:val="2C106A57"/>
    <w:multiLevelType w:val="hybridMultilevel"/>
    <w:lvl w:ilvl="0">
      <w:lvlJc w:val="left"/>
      <w:lvlText w:val="(%1)"/>
      <w:numFmt w:val="lowerLetter"/>
      <w:start w:val="35"/>
    </w:lvl>
    <w:lvl w:ilvl="1">
      <w:lvlJc w:val="left"/>
      <w:lvlText w:val="(%2)"/>
      <w:numFmt w:val="lowerLetter"/>
      <w:start w:val="9"/>
    </w:lvl>
  </w:abstractNum>
  <w:abstractNum w:abstractNumId="172">
    <w:nsid w:val="684EED59"/>
    <w:multiLevelType w:val="hybridMultilevel"/>
    <w:lvl w:ilvl="0">
      <w:lvlJc w:val="left"/>
      <w:lvlText w:val="(%1)"/>
      <w:numFmt w:val="lowerLetter"/>
      <w:start w:val="61"/>
    </w:lvl>
    <w:lvl w:ilvl="1">
      <w:lvlJc w:val="left"/>
      <w:lvlText w:val="(%2)"/>
      <w:numFmt w:val="lowerLetter"/>
      <w:start w:val="11"/>
    </w:lvl>
  </w:abstractNum>
  <w:abstractNum w:abstractNumId="173">
    <w:nsid w:val="545EE5D3"/>
    <w:multiLevelType w:val="hybridMultilevel"/>
    <w:lvl w:ilvl="0">
      <w:lvlJc w:val="left"/>
      <w:lvlText w:val="(%1)"/>
      <w:numFmt w:val="lowerLetter"/>
      <w:start w:val="16"/>
    </w:lvl>
  </w:abstractNum>
  <w:abstractNum w:abstractNumId="174">
    <w:nsid w:val="4A66051"/>
    <w:multiLevelType w:val="hybridMultilevel"/>
    <w:lvl w:ilvl="0">
      <w:lvlJc w:val="left"/>
      <w:lvlText w:val="(%1)"/>
      <w:numFmt w:val="lowerLetter"/>
      <w:start w:val="27"/>
    </w:lvl>
  </w:abstractNum>
  <w:abstractNum w:abstractNumId="175">
    <w:nsid w:val="20F4BDAD"/>
    <w:multiLevelType w:val="hybridMultilevel"/>
    <w:lvl w:ilvl="0">
      <w:lvlJc w:val="left"/>
      <w:lvlText w:val="(%1)"/>
      <w:numFmt w:val="lowerLetter"/>
      <w:start w:val="29"/>
    </w:lvl>
  </w:abstractNum>
  <w:abstractNum w:abstractNumId="176">
    <w:nsid w:val="639DEFAC"/>
    <w:multiLevelType w:val="hybridMultilevel"/>
    <w:lvl w:ilvl="0">
      <w:lvlJc w:val="left"/>
      <w:lvlText w:val="(%1)"/>
      <w:numFmt w:val="lowerLetter"/>
      <w:start w:val="1"/>
    </w:lvl>
  </w:abstractNum>
  <w:abstractNum w:abstractNumId="177">
    <w:nsid w:val="501F9786"/>
    <w:multiLevelType w:val="hybridMultilevel"/>
    <w:lvl w:ilvl="0">
      <w:lvlJc w:val="left"/>
      <w:lvlText w:val="(%1)"/>
      <w:numFmt w:val="lowerLetter"/>
      <w:start w:val="1"/>
    </w:lvl>
  </w:abstractNum>
  <w:abstractNum w:abstractNumId="178">
    <w:nsid w:val="6B057295"/>
    <w:multiLevelType w:val="hybridMultilevel"/>
    <w:lvl w:ilvl="0">
      <w:lvlJc w:val="left"/>
      <w:lvlText w:val="(%1)"/>
      <w:numFmt w:val="lowerLetter"/>
      <w:start w:val="2"/>
    </w:lvl>
  </w:abstractNum>
  <w:abstractNum w:abstractNumId="179">
    <w:nsid w:val="2771AC80"/>
    <w:multiLevelType w:val="hybridMultilevel"/>
    <w:lvl w:ilvl="0">
      <w:lvlJc w:val="left"/>
      <w:lvlText w:val="(%1)"/>
      <w:numFmt w:val="lowerLetter"/>
      <w:start w:val="1"/>
    </w:lvl>
  </w:abstractNum>
  <w:abstractNum w:abstractNumId="180">
    <w:nsid w:val="1C4A08EC"/>
    <w:multiLevelType w:val="hybridMultilevel"/>
    <w:lvl w:ilvl="0">
      <w:lvlJc w:val="left"/>
      <w:lvlText w:val="%1"/>
      <w:numFmt w:val="upperLetter"/>
      <w:start w:val="1"/>
    </w:lvl>
    <w:lvl w:ilvl="1">
      <w:lvlJc w:val="left"/>
      <w:lvlText w:val="(%2)"/>
      <w:numFmt w:val="lowerLetter"/>
      <w:start w:val="3"/>
    </w:lvl>
  </w:abstractNum>
  <w:abstractNum w:abstractNumId="181">
    <w:nsid w:val="1958BD17"/>
    <w:multiLevelType w:val="hybridMultilevel"/>
    <w:lvl w:ilvl="0">
      <w:lvlJc w:val="left"/>
      <w:lvlText w:val="(%1)"/>
      <w:numFmt w:val="upperLetter"/>
      <w:start w:val="4"/>
    </w:lvl>
    <w:lvl w:ilvl="1">
      <w:lvlJc w:val="left"/>
      <w:lvlText w:val="%2"/>
      <w:numFmt w:val="lowerLetter"/>
      <w:start w:val="1"/>
    </w:lvl>
  </w:abstractNum>
  <w:abstractNum w:abstractNumId="182">
    <w:nsid w:val="4E647FE4"/>
    <w:multiLevelType w:val="hybridMultilevel"/>
    <w:lvl w:ilvl="0">
      <w:lvlJc w:val="left"/>
      <w:lvlText w:val="(%1)"/>
      <w:numFmt w:val="lowerRoman"/>
      <w:start w:val="2"/>
    </w:lvl>
  </w:abstractNum>
  <w:abstractNum w:abstractNumId="183">
    <w:nsid w:val="E0BB885"/>
    <w:multiLevelType w:val="hybridMultilevel"/>
    <w:lvl w:ilvl="0">
      <w:lvlJc w:val="left"/>
      <w:lvlText w:val="(%1)"/>
      <w:numFmt w:val="lowerLetter"/>
      <w:start w:val="1"/>
    </w:lvl>
  </w:abstractNum>
  <w:abstractNum w:abstractNumId="184">
    <w:nsid w:val="565976F1"/>
    <w:multiLevelType w:val="hybridMultilevel"/>
    <w:lvl w:ilvl="0">
      <w:lvlJc w:val="left"/>
      <w:lvlText w:val="(%1)"/>
      <w:numFmt w:val="lowerLetter"/>
      <w:start w:val="1"/>
    </w:lvl>
  </w:abstractNum>
  <w:abstractNum w:abstractNumId="185">
    <w:nsid w:val="64212B8C"/>
    <w:multiLevelType w:val="hybridMultilevel"/>
    <w:lvl w:ilvl="0">
      <w:lvlJc w:val="left"/>
      <w:lvlText w:val="(%1)"/>
      <w:numFmt w:val="lowerLetter"/>
      <w:start w:val="2"/>
    </w:lvl>
  </w:abstractNum>
  <w:abstractNum w:abstractNumId="186">
    <w:nsid w:val="5C17530C"/>
    <w:multiLevelType w:val="hybridMultilevel"/>
    <w:lvl w:ilvl="0">
      <w:lvlJc w:val="left"/>
      <w:lvlText w:val="%1"/>
      <w:numFmt w:val="lowerLetter"/>
      <w:start w:val="1"/>
    </w:lvl>
    <w:lvl w:ilvl="1">
      <w:lvlJc w:val="left"/>
      <w:lvlText w:val="(%2)"/>
      <w:numFmt w:val="lowerLetter"/>
      <w:start w:val="1"/>
    </w:lvl>
  </w:abstractNum>
  <w:abstractNum w:abstractNumId="187">
    <w:nsid w:val="19A52566"/>
    <w:multiLevelType w:val="hybridMultilevel"/>
    <w:lvl w:ilvl="0">
      <w:lvlJc w:val="left"/>
      <w:lvlText w:val="(%1)"/>
      <w:numFmt w:val="lowerLetter"/>
      <w:start w:val="9"/>
    </w:lvl>
    <w:lvl w:ilvl="1">
      <w:lvlJc w:val="left"/>
      <w:lvlText w:val="%2"/>
      <w:numFmt w:val="lowerLetter"/>
      <w:start w:val="1"/>
    </w:lvl>
  </w:abstractNum>
  <w:abstractNum w:abstractNumId="188">
    <w:nsid w:val="335A1DF1"/>
    <w:multiLevelType w:val="hybridMultilevel"/>
    <w:lvl w:ilvl="0">
      <w:lvlJc w:val="left"/>
      <w:lvlText w:val="(%1)"/>
      <w:numFmt w:val="lowerLetter"/>
      <w:start w:val="2"/>
    </w:lvl>
  </w:abstractNum>
  <w:abstractNum w:abstractNumId="189">
    <w:nsid w:val="28677B7C"/>
    <w:multiLevelType w:val="hybridMultilevel"/>
    <w:lvl w:ilvl="0">
      <w:lvlJc w:val="left"/>
      <w:lvlText w:val="(%1)"/>
      <w:numFmt w:val="lowerLetter"/>
      <w:start w:val="8"/>
    </w:lvl>
  </w:abstractNum>
  <w:abstractNum w:abstractNumId="190">
    <w:nsid w:val="378D97C0"/>
    <w:multiLevelType w:val="hybridMultilevel"/>
    <w:lvl w:ilvl="0">
      <w:lvlJc w:val="left"/>
      <w:lvlText w:val="(%1)"/>
      <w:numFmt w:val="lowerLetter"/>
      <w:start w:val="1"/>
    </w:lvl>
  </w:abstractNum>
  <w:abstractNum w:abstractNumId="191">
    <w:nsid w:val="1D91467C"/>
    <w:multiLevelType w:val="hybridMultilevel"/>
    <w:lvl w:ilvl="0">
      <w:lvlJc w:val="left"/>
      <w:lvlText w:val="(%1)"/>
      <w:numFmt w:val="lowerLetter"/>
      <w:start w:val="3"/>
    </w:lvl>
  </w:abstractNum>
  <w:abstractNum w:abstractNumId="192">
    <w:nsid w:val="316032BB"/>
    <w:multiLevelType w:val="hybridMultilevel"/>
    <w:lvl w:ilvl="0">
      <w:lvlJc w:val="left"/>
      <w:lvlText w:val="(%1)"/>
      <w:numFmt w:val="decimal"/>
      <w:start w:val="3"/>
    </w:lvl>
  </w:abstractNum>
  <w:abstractNum w:abstractNumId="193">
    <w:nsid w:val="44344C22"/>
    <w:multiLevelType w:val="hybridMultilevel"/>
    <w:lvl w:ilvl="0">
      <w:lvlJc w:val="left"/>
      <w:lvlText w:val="(%1)"/>
      <w:numFmt w:val="lowerLetter"/>
      <w:start w:val="2"/>
    </w:lvl>
  </w:abstractNum>
  <w:abstractNum w:abstractNumId="194">
    <w:nsid w:val="13CDFCFC"/>
    <w:multiLevelType w:val="hybridMultilevel"/>
    <w:lvl w:ilvl="0">
      <w:lvlJc w:val="left"/>
      <w:lvlText w:val="(%1)"/>
      <w:numFmt w:val="lowerLetter"/>
      <w:start w:val="1"/>
    </w:lvl>
  </w:abstractNum>
  <w:abstractNum w:abstractNumId="195">
    <w:nsid w:val="471745E4"/>
    <w:multiLevelType w:val="hybridMultilevel"/>
    <w:lvl w:ilvl="0">
      <w:lvlJc w:val="left"/>
      <w:lvlText w:val="(%1)"/>
      <w:numFmt w:val="lowerLetter"/>
      <w:start w:val="1"/>
    </w:lvl>
  </w:abstractNum>
  <w:abstractNum w:abstractNumId="196">
    <w:nsid w:val="1DDBC66"/>
    <w:multiLevelType w:val="hybridMultilevel"/>
    <w:lvl w:ilvl="0">
      <w:lvlJc w:val="left"/>
      <w:lvlText w:val="(%1)"/>
      <w:numFmt w:val="lowerLetter"/>
      <w:start w:val="8"/>
    </w:lvl>
  </w:abstractNum>
  <w:abstractNum w:abstractNumId="197">
    <w:nsid w:val="30AADFDA"/>
    <w:multiLevelType w:val="hybridMultilevel"/>
    <w:lvl w:ilvl="0">
      <w:lvlJc w:val="left"/>
      <w:lvlText w:val="(%1)"/>
      <w:numFmt w:val="lowerLetter"/>
      <w:start w:val="1"/>
    </w:lvl>
  </w:abstractNum>
  <w:abstractNum w:abstractNumId="198">
    <w:nsid w:val="30EADA61"/>
    <w:multiLevelType w:val="hybridMultilevel"/>
    <w:lvl w:ilvl="0">
      <w:lvlJc w:val="left"/>
      <w:lvlText w:val="(%1)"/>
      <w:numFmt w:val="lowerLetter"/>
      <w:start w:val="1"/>
    </w:lvl>
  </w:abstractNum>
  <w:abstractNum w:abstractNumId="199">
    <w:nsid w:val="27179C0B"/>
    <w:multiLevelType w:val="hybridMultilevel"/>
    <w:lvl w:ilvl="0">
      <w:lvlJc w:val="left"/>
      <w:lvlText w:val="%1"/>
      <w:numFmt w:val="lowerRoman"/>
      <w:start w:val="1"/>
    </w:lvl>
    <w:lvl w:ilvl="1">
      <w:lvlJc w:val="left"/>
      <w:lvlText w:val="(%2)"/>
      <w:numFmt w:val="lowerLetter"/>
      <w:start w:val="2"/>
    </w:lvl>
  </w:abstractNum>
  <w:abstractNum w:abstractNumId="200">
    <w:nsid w:val="5E636063"/>
    <w:multiLevelType w:val="hybridMultilevel"/>
    <w:lvl w:ilvl="0">
      <w:lvlJc w:val="left"/>
      <w:lvlText w:val="(%1)"/>
      <w:numFmt w:val="lowerRoman"/>
      <w:start w:val="1"/>
    </w:lvl>
    <w:lvl w:ilvl="1">
      <w:lvlJc w:val="left"/>
      <w:lvlText w:val="%2"/>
      <w:numFmt w:val="lowerLetter"/>
      <w:start w:val="1"/>
    </w:lvl>
  </w:abstractNum>
  <w:abstractNum w:abstractNumId="201">
    <w:nsid w:val="215641AF"/>
    <w:multiLevelType w:val="hybridMultilevel"/>
    <w:lvl w:ilvl="0">
      <w:lvlJc w:val="left"/>
      <w:lvlText w:val="(%1)"/>
      <w:numFmt w:val="lowerLetter"/>
      <w:start w:val="1"/>
    </w:lvl>
    <w:lvl w:ilvl="1">
      <w:lvlJc w:val="left"/>
      <w:lvlText w:val="(%2)"/>
      <w:numFmt w:val="lowerRoman"/>
      <w:start w:val="1"/>
    </w:lvl>
  </w:abstractNum>
  <w:abstractNum w:abstractNumId="202">
    <w:nsid w:val="53280662"/>
    <w:multiLevelType w:val="hybridMultilevel"/>
    <w:lvl w:ilvl="0">
      <w:lvlJc w:val="left"/>
      <w:lvlText w:val="(%1)"/>
      <w:numFmt w:val="lowerLetter"/>
      <w:start w:val="2"/>
    </w:lvl>
  </w:abstractNum>
  <w:abstractNum w:abstractNumId="203">
    <w:nsid w:val="46B24DBC"/>
    <w:multiLevelType w:val="hybridMultilevel"/>
    <w:lvl w:ilvl="0">
      <w:lvlJc w:val="left"/>
      <w:lvlText w:val="(%1)"/>
      <w:numFmt w:val="lowerLetter"/>
      <w:start w:val="1"/>
    </w:lvl>
    <w:lvl w:ilvl="1">
      <w:lvlJc w:val="left"/>
      <w:lvlText w:val="(%2)"/>
      <w:numFmt w:val="lowerRoman"/>
      <w:start w:val="1"/>
    </w:lvl>
  </w:abstractNum>
  <w:abstractNum w:abstractNumId="204">
    <w:nsid w:val="75B52783"/>
    <w:multiLevelType w:val="hybridMultilevel"/>
    <w:lvl w:ilvl="0">
      <w:lvlJc w:val="left"/>
      <w:lvlText w:val="(%1)"/>
      <w:numFmt w:val="lowerRoman"/>
      <w:start w:val="4"/>
    </w:lvl>
  </w:abstractNum>
  <w:abstractNum w:abstractNumId="205">
    <w:nsid w:val="57CE66B4"/>
    <w:multiLevelType w:val="hybridMultilevel"/>
    <w:lvl w:ilvl="0">
      <w:lvlJc w:val="left"/>
      <w:lvlText w:val="(%1)"/>
      <w:numFmt w:val="upperLetter"/>
      <w:start w:val="3"/>
    </w:lvl>
    <w:lvl w:ilvl="1">
      <w:lvlJc w:val="left"/>
      <w:lvlText w:val="%2"/>
      <w:numFmt w:val="lowerRoman"/>
      <w:start w:val="1"/>
    </w:lvl>
  </w:abstractNum>
  <w:abstractNum w:abstractNumId="206">
    <w:nsid w:val="67A70B69"/>
    <w:multiLevelType w:val="hybridMultilevel"/>
    <w:lvl w:ilvl="0">
      <w:lvlJc w:val="left"/>
      <w:lvlText w:val="(%1)"/>
      <w:numFmt w:val="upperLetter"/>
      <w:start w:val="6"/>
    </w:lvl>
    <w:lvl w:ilvl="1">
      <w:lvlJc w:val="left"/>
      <w:lvlText w:val="(%2)"/>
      <w:numFmt w:val="lowerRoman"/>
      <w:start w:val="7"/>
    </w:lvl>
  </w:abstractNum>
  <w:abstractNum w:abstractNumId="207">
    <w:nsid w:val="5953172F"/>
    <w:multiLevelType w:val="hybridMultilevel"/>
    <w:lvl w:ilvl="0">
      <w:lvlJc w:val="left"/>
      <w:lvlText w:val="(%1)"/>
      <w:numFmt w:val="lowerLetter"/>
      <w:start w:val="1"/>
    </w:lvl>
  </w:abstractNum>
  <w:abstractNum w:abstractNumId="208">
    <w:nsid w:val="27EDFE3A"/>
    <w:multiLevelType w:val="hybridMultilevel"/>
    <w:lvl w:ilvl="0">
      <w:lvlJc w:val="left"/>
      <w:lvlText w:val="(%1)"/>
      <w:numFmt w:val="lowerLetter"/>
      <w:start w:val="2"/>
    </w:lvl>
  </w:abstractNum>
  <w:abstractNum w:abstractNumId="209">
    <w:nsid w:val="52AC7DF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10">
    <w:nsid w:val="C4C3A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11">
    <w:nsid w:val="4438072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12">
    <w:nsid w:val="6C053B16"/>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213">
    <w:nsid w:val="4F29439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214">
    <w:nsid w:val="5243BFA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lvl w:ilvl="3">
      <w:lvlJc w:val="left"/>
      <w:lvlText w:val="%4"/>
      <w:numFmt w:val="lowerLetter"/>
      <w:start w:val="1"/>
    </w:lvl>
  </w:abstractNum>
  <w:abstractNum w:abstractNumId="215">
    <w:nsid w:val="425EB20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216">
    <w:nsid w:val="334A6F1F"/>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17">
    <w:nsid w:val="2E5B12B8"/>
    <w:multiLevelType w:val="hybridMultilevel"/>
    <w:lvl w:ilvl="0">
      <w:lvlJc w:val="left"/>
      <w:lvlText w:val="%1."/>
      <w:numFmt w:val="decimal"/>
      <w:start w:val="6"/>
    </w:lvl>
    <w:lvl w:ilvl="1">
      <w:lvlJc w:val="left"/>
      <w:lvlText w:val="(%2)"/>
      <w:numFmt w:val="lowerLetter"/>
      <w:start w:val="1"/>
    </w:lvl>
  </w:abstractNum>
  <w:abstractNum w:abstractNumId="218">
    <w:nsid w:val="5C03D76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19">
    <w:nsid w:val="66A48D11"/>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20">
    <w:nsid w:val="56C28E3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221">
    <w:nsid w:val="13916F2D"/>
    <w:multiLevelType w:val="hybridMultilevel"/>
    <w:lvl w:ilvl="0">
      <w:lvlJc w:val="left"/>
      <w:lvlText w:val="%1"/>
      <w:numFmt w:val="lowerLetter"/>
      <w:start w:val="1"/>
    </w:lvl>
    <w:lvl w:ilvl="1">
      <w:lvlJc w:val="left"/>
      <w:lvlText w:val="%2."/>
      <w:numFmt w:val="decimal"/>
      <w:start w:val="12"/>
    </w:lvl>
  </w:abstractNum>
  <w:abstractNum w:abstractNumId="222">
    <w:nsid w:val="435D38D"/>
    <w:multiLevelType w:val="hybridMultilevel"/>
    <w:lvl w:ilvl="0">
      <w:lvlJc w:val="left"/>
      <w:lvlText w:val="(%1)"/>
      <w:numFmt w:val="lowerLetter"/>
      <w:start w:val="1"/>
    </w:lvl>
    <w:lvl w:ilvl="1">
      <w:lvlJc w:val="left"/>
      <w:lvlText w:val="%2"/>
      <w:numFmt w:val="decimal"/>
      <w:start w:val="1"/>
    </w:lvl>
  </w:abstractNum>
  <w:abstractNum w:abstractNumId="223">
    <w:nsid w:val="822C0EF"/>
    <w:multiLevelType w:val="hybridMultilevel"/>
    <w:lvl w:ilvl="0">
      <w:lvlJc w:val="left"/>
      <w:lvlText w:val="%1."/>
      <w:numFmt w:val="decimal"/>
      <w:start w:val="13"/>
    </w:lvl>
  </w:abstractNum>
  <w:abstractNum w:abstractNumId="224">
    <w:nsid w:val="57C5BB4F"/>
    <w:multiLevelType w:val="hybridMultilevel"/>
    <w:lvl w:ilvl="0">
      <w:lvlJc w:val="left"/>
      <w:lvlText w:val="%1."/>
      <w:numFmt w:val="decimal"/>
      <w:start w:val="18"/>
    </w:lvl>
  </w:abstractNum>
  <w:abstractNum w:abstractNumId="225">
    <w:nsid w:val="1803D089"/>
    <w:multiLevelType w:val="hybridMultilevel"/>
    <w:lvl w:ilvl="0">
      <w:lvlJc w:val="left"/>
      <w:lvlText w:val="%1"/>
      <w:numFmt w:val="decimal"/>
      <w:start w:val="15"/>
    </w:lvl>
  </w:abstractNum>
  <w:abstractNum w:abstractNumId="226">
    <w:nsid w:val="4F3A06D4"/>
    <w:multiLevelType w:val="hybridMultilevel"/>
    <w:lvl w:ilvl="0">
      <w:lvlJc w:val="left"/>
      <w:lvlText w:val="(%1)"/>
      <w:numFmt w:val="lowerRoman"/>
      <w:start w:val="6"/>
    </w:lvl>
  </w:abstractNum>
  <w:abstractNum w:abstractNumId="227">
    <w:nsid w:val="59A377B6"/>
    <w:multiLevelType w:val="hybridMultilevel"/>
    <w:lvl w:ilvl="0">
      <w:lvlJc w:val="left"/>
      <w:lvlText w:val="(%1)"/>
      <w:numFmt w:val="decimal"/>
      <w:start w:val="1"/>
    </w:lvl>
  </w:abstractNum>
  <w:abstractNum w:abstractNumId="228">
    <w:nsid w:val="48AEB06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Letter"/>
      <w:start w:val="1"/>
    </w:lvl>
  </w:abstractNum>
  <w:abstractNum w:abstractNumId="229">
    <w:nsid w:val="24E13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230">
    <w:nsid w:val="BB13C1"/>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231">
    <w:nsid w:val="271210C7"/>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32">
    <w:nsid w:val="217B22E4"/>
    <w:multiLevelType w:val="hybridMultilevel"/>
    <w:lvl w:ilvl="0">
      <w:lvlJc w:val="left"/>
      <w:lvlText w:val="(%1)"/>
      <w:numFmt w:val="lowerLetter"/>
      <w:start w:val="1"/>
    </w:lvl>
  </w:abstractNum>
  <w:abstractNum w:abstractNumId="233">
    <w:nsid w:val="53E31A24"/>
    <w:multiLevelType w:val="hybridMultilevel"/>
    <w:lvl w:ilvl="0">
      <w:lvlJc w:val="left"/>
      <w:lvlText w:val="(%1)"/>
      <w:numFmt w:val="lowerLetter"/>
      <w:start w:val="1"/>
    </w:lvl>
    <w:lvl w:ilvl="1">
      <w:lvlJc w:val="left"/>
      <w:lvlText w:val="(%2)"/>
      <w:numFmt w:val="decimal"/>
      <w:start w:val="1"/>
    </w:lvl>
  </w:abstractNum>
  <w:abstractNum w:abstractNumId="234">
    <w:nsid w:val="6DC45E83"/>
    <w:multiLevelType w:val="hybridMultilevel"/>
    <w:lvl w:ilvl="0">
      <w:lvlJc w:val="left"/>
      <w:lvlText w:val="(%1)"/>
      <w:numFmt w:val="lowerLetter"/>
      <w:start w:val="1"/>
    </w:lvl>
    <w:lvl w:ilvl="1">
      <w:lvlJc w:val="left"/>
      <w:lvlText w:val="(%2)"/>
      <w:numFmt w:val="decimal"/>
      <w:start w:val="1"/>
    </w:lvl>
  </w:abstractNum>
  <w:abstractNum w:abstractNumId="235">
    <w:nsid w:val="17304A67"/>
    <w:multiLevelType w:val="hybridMultilevel"/>
    <w:lvl w:ilvl="0">
      <w:lvlJc w:val="left"/>
      <w:lvlText w:val="(%1)"/>
      <w:numFmt w:val="lowerLetter"/>
      <w:start w:val="1"/>
    </w:lvl>
  </w:abstractNum>
  <w:abstractNum w:abstractNumId="236">
    <w:nsid w:val="2BB180D8"/>
    <w:multiLevelType w:val="hybridMultilevel"/>
    <w:lvl w:ilvl="0">
      <w:lvlJc w:val="left"/>
      <w:lvlText w:val="(%1)"/>
      <w:numFmt w:val="lowerLetter"/>
      <w:start w:val="2"/>
    </w:lvl>
  </w:abstractNum>
  <w:abstractNum w:abstractNumId="237">
    <w:nsid w:val="556B69ED"/>
    <w:multiLevelType w:val="hybridMultilevel"/>
    <w:lvl w:ilvl="0">
      <w:lvlJc w:val="left"/>
      <w:lvlText w:val="(%1)"/>
      <w:numFmt w:val="lowerLetter"/>
      <w:start w:val="1"/>
    </w:lvl>
  </w:abstractNum>
  <w:abstractNum w:abstractNumId="238">
    <w:nsid w:val="70836196"/>
    <w:multiLevelType w:val="hybridMultilevel"/>
    <w:lvl w:ilvl="0">
      <w:lvlJc w:val="left"/>
      <w:lvlText w:val="(%1)"/>
      <w:numFmt w:val="lowerLetter"/>
      <w:start w:val="1"/>
    </w:lvl>
    <w:lvl w:ilvl="1">
      <w:lvlJc w:val="left"/>
      <w:lvlText w:val="(%2)"/>
      <w:numFmt w:val="decimal"/>
      <w:start w:val="1"/>
    </w:lvl>
  </w:abstractNum>
  <w:abstractNum w:abstractNumId="239">
    <w:nsid w:val="539F7F12"/>
    <w:multiLevelType w:val="hybridMultilevel"/>
    <w:lvl w:ilvl="0">
      <w:lvlJc w:val="left"/>
      <w:lvlText w:val="(%1)"/>
      <w:numFmt w:val="lowerLetter"/>
      <w:start w:val="1"/>
    </w:lvl>
  </w:abstractNum>
  <w:abstractNum w:abstractNumId="240">
    <w:nsid w:val="2817E7EC"/>
    <w:multiLevelType w:val="hybridMultilevel"/>
    <w:lvl w:ilvl="0">
      <w:lvlJc w:val="left"/>
      <w:lvlText w:val="(%1)"/>
      <w:numFmt w:val="lowerLetter"/>
      <w:start w:val="1"/>
    </w:lvl>
    <w:lvl w:ilvl="1">
      <w:lvlJc w:val="left"/>
      <w:lvlText w:val="(%2)"/>
      <w:numFmt w:val="decimal"/>
      <w:start w:val="1"/>
    </w:lvl>
  </w:abstractNum>
  <w:abstractNum w:abstractNumId="241">
    <w:nsid w:val="71482545"/>
    <w:multiLevelType w:val="hybridMultilevel"/>
    <w:lvl w:ilvl="0">
      <w:lvlJc w:val="left"/>
      <w:lvlText w:val="%1"/>
      <w:numFmt w:val="lowerLetter"/>
      <w:start w:val="1"/>
    </w:lvl>
    <w:lvl w:ilvl="1">
      <w:lvlJc w:val="left"/>
      <w:lvlText w:val="(%2)"/>
      <w:numFmt w:val="decimal"/>
      <w:start w:val="2"/>
    </w:lvl>
  </w:abstractNum>
  <w:abstractNum w:abstractNumId="242">
    <w:nsid w:val="17D78639"/>
    <w:multiLevelType w:val="hybridMultilevel"/>
    <w:lvl w:ilvl="0">
      <w:lvlJc w:val="left"/>
      <w:lvlText w:val="(%1)"/>
      <w:numFmt w:val="lowerLetter"/>
      <w:start w:val="2"/>
    </w:lvl>
    <w:lvl w:ilvl="1">
      <w:lvlJc w:val="left"/>
      <w:lvlText w:val="(%2)"/>
      <w:numFmt w:val="decimal"/>
      <w:start w:val="1"/>
    </w:lvl>
  </w:abstractNum>
  <w:abstractNum w:abstractNumId="243">
    <w:nsid w:val="141D2302"/>
    <w:multiLevelType w:val="hybridMultilevel"/>
    <w:lvl w:ilvl="0">
      <w:lvlJc w:val="left"/>
      <w:lvlText w:val="(%1)"/>
      <w:numFmt w:val="lowerLetter"/>
      <w:start w:val="1"/>
    </w:lvl>
  </w:abstractNum>
  <w:abstractNum w:abstractNumId="244">
    <w:nsid w:val="407168D8"/>
    <w:multiLevelType w:val="hybridMultilevel"/>
    <w:lvl w:ilvl="0">
      <w:lvlJc w:val="left"/>
      <w:lvlText w:val="(%1)"/>
      <w:numFmt w:val="lowerLetter"/>
      <w:start w:val="1"/>
    </w:lvl>
  </w:abstractNum>
  <w:abstractNum w:abstractNumId="245">
    <w:nsid w:val="6A1B45E5"/>
    <w:multiLevelType w:val="hybridMultilevel"/>
    <w:lvl w:ilvl="0">
      <w:lvlJc w:val="left"/>
      <w:lvlText w:val="(%1)"/>
      <w:numFmt w:val="lowerLetter"/>
      <w:start w:val="2"/>
    </w:lvl>
    <w:lvl w:ilvl="1">
      <w:lvlJc w:val="left"/>
      <w:lvlText w:val="(%2)"/>
      <w:numFmt w:val="decimal"/>
      <w:start w:val="1"/>
    </w:lvl>
  </w:abstractNum>
  <w:abstractNum w:abstractNumId="246">
    <w:nsid w:val="567BD50A"/>
    <w:multiLevelType w:val="hybridMultilevel"/>
    <w:lvl w:ilvl="0">
      <w:lvlJc w:val="left"/>
      <w:lvlText w:val="(%1)"/>
      <w:numFmt w:val="decimal"/>
      <w:start w:val="1"/>
    </w:lvl>
  </w:abstractNum>
  <w:abstractNum w:abstractNumId="247">
    <w:nsid w:val="73BBD7F8"/>
    <w:multiLevelType w:val="hybridMultilevel"/>
    <w:lvl w:ilvl="0">
      <w:lvlJc w:val="left"/>
      <w:lvlText w:val=" "/>
      <w:numFmt w:val="bullet"/>
      <w:start w:val="1"/>
    </w:lvl>
  </w:abstractNum>
  <w:abstractNum w:abstractNumId="248">
    <w:nsid w:val="1876589D"/>
    <w:multiLevelType w:val="hybridMultilevel"/>
    <w:lvl w:ilvl="0">
      <w:lvlJc w:val="left"/>
      <w:lvlText w:val="*"/>
      <w:numFmt w:val="bullet"/>
      <w:start w:val="1"/>
    </w:lvl>
  </w:abstractNum>
  <w:abstractNum w:abstractNumId="249">
    <w:nsid w:val="327FAC77"/>
    <w:multiLevelType w:val="hybridMultilevel"/>
    <w:lvl w:ilvl="0">
      <w:lvlJc w:val="left"/>
      <w:lvlText w:val="#"/>
      <w:numFmt w:val="bullet"/>
      <w:start w:val="1"/>
    </w:lvl>
  </w:abstractNum>
  <w:abstractNum w:abstractNumId="250">
    <w:nsid w:val="5A606509"/>
    <w:multiLevelType w:val="hybridMultilevel"/>
    <w:lvl w:ilvl="0">
      <w:lvlJc w:val="left"/>
      <w:lvlText w:val="(%1)"/>
      <w:numFmt w:val="decimal"/>
      <w:start w:val="1"/>
    </w:lvl>
  </w:abstractNum>
  <w:abstractNum w:abstractNumId="251">
    <w:nsid w:val="6F38E6D1"/>
    <w:multiLevelType w:val="hybridMultilevel"/>
    <w:lvl w:ilvl="0">
      <w:lvlJc w:val="left"/>
      <w:lvlText w:val="(%1)"/>
      <w:numFmt w:val="decimal"/>
      <w:start w:val="5"/>
    </w:lvl>
  </w:abstractNum>
  <w:abstractNum w:abstractNumId="252">
    <w:nsid w:val="46111BA5"/>
    <w:multiLevelType w:val="hybridMultilevel"/>
    <w:lvl w:ilvl="0">
      <w:lvlJc w:val="left"/>
      <w:lvlText w:val="​​"/>
      <w:numFmt w:val="bullet"/>
      <w:start w:val="1"/>
    </w:lvl>
  </w:abstractNum>
  <w:abstractNum w:abstractNumId="253">
    <w:nsid w:val="5E963896"/>
    <w:multiLevelType w:val="hybridMultilevel"/>
    <w:lvl w:ilvl="0">
      <w:lvlJc w:val="left"/>
      <w:lvlText w:val="*"/>
      <w:numFmt w:val="bullet"/>
      <w:start w:val="1"/>
    </w:lvl>
    <w:lvl w:ilvl="1">
      <w:lvlJc w:val="left"/>
      <w:lvlText w:val="%2"/>
      <w:numFmt w:val="upperLetter"/>
      <w:start w:val="1"/>
    </w:lvl>
  </w:abstractNum>
  <w:abstractNum w:abstractNumId="254">
    <w:nsid w:val="775BA7C1"/>
    <w:multiLevelType w:val="hybridMultilevel"/>
    <w:lvl w:ilvl="0">
      <w:lvlJc w:val="left"/>
      <w:lvlText w:val="%1"/>
      <w:numFmt w:val="decimal"/>
      <w:start w:val="5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2"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jpeg"/><Relationship Id="rId410" Type="http://schemas.openxmlformats.org/officeDocument/2006/relationships/image" Target="media/image396.jpe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jpe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5" Type="http://schemas.openxmlformats.org/officeDocument/2006/relationships/image" Target="media/image409.png"/><Relationship Id="rId426"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jpe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jpe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jpeg"/><Relationship Id="rId462" Type="http://schemas.openxmlformats.org/officeDocument/2006/relationships/image" Target="media/image443.jpe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jpe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98" Type="http://schemas.openxmlformats.org/officeDocument/2006/relationships/hyperlink" Target="http://www.sec.gov/ix?doc=/Archives/edgar/data/857855/000085785526000008/ucbi-20251231.htm" TargetMode="External"/><Relationship Id="rId211" Type="http://schemas.openxmlformats.org/officeDocument/2006/relationships/hyperlink" Target="https://www.sec.gov/ix?doc=/Archives/edgar/data/857855/000085785526000008/ucbi-20251231.htm" TargetMode="External"/><Relationship Id="rId213" Type="http://schemas.openxmlformats.org/officeDocument/2006/relationships/hyperlink" Target="https://www.sec.gov/ix?doc=/Archives/edgar/data/857855/000110465926038366/tm2520272-3_def14a.htm" TargetMode="External"/><Relationship Id="rId274" Type="http://schemas.openxmlformats.org/officeDocument/2006/relationships/hyperlink" Target="https://www.sec.gov/ix?doc=/Archives/edgar/data/857855/000085785526000017/ucbi-20260331.htm" TargetMode="External"/><Relationship Id="rId275" Type="http://schemas.openxmlformats.org/officeDocument/2006/relationships/hyperlink" Target="https://www.sec.gov/ix?doc=/Archives/edgar/data/857855/000110465926045714/tm2612164d1_8k.htm" TargetMode="External"/><Relationship Id="rId276" Type="http://schemas.openxmlformats.org/officeDocument/2006/relationships/hyperlink" Target="https://www.sec.gov/ix?doc=/Archives/edgar/data/857855/000110465926049821/tm2611416d1_8k.htm" TargetMode="External"/><Relationship Id="rId277" Type="http://schemas.openxmlformats.org/officeDocument/2006/relationships/hyperlink" Target="https://www.sec.gov/Archives/edgar/data/857855/000085785525000057/ucbi12312024ex41.htm" TargetMode="External"/><Relationship Id="rId423" Type="http://schemas.openxmlformats.org/officeDocument/2006/relationships/hyperlink" Target="https://www.sec.gov/Archives/edgar/data/857855/000085785521000109/ucbi93021ex31restatedartic.htm" TargetMode="External"/><Relationship Id="rId424" Type="http://schemas.openxmlformats.org/officeDocument/2006/relationships/hyperlink" Target="https://www.sec.gov/Archives/edgar/data/857855/000157104915003882/t82199_ex3-2.htm" TargetMode="External"/><Relationship Id="rId427" Type="http://schemas.openxmlformats.org/officeDocument/2006/relationships/hyperlink" Target="https://www.sec.gov/Archives/edgar/data/857855/000085785526000008/ucb1231202510kex21.htm" TargetMode="External"/><Relationship Id="rId428" Type="http://schemas.openxmlformats.org/officeDocument/2006/relationships/hyperlink" Target="http://www.sec.gov/Archives/edgar/data/857855/000110465926067499/tm2615408-1_s4.htm#tSIG1" TargetMode="External"/><Relationship Id="rId429" Type="http://schemas.openxmlformats.org/officeDocument/2006/relationships/hyperlink" Target="http://www.sec.gov/Archives/edgar/data/857855/000110465926067499/tm2615408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2026-06-08T15:19:36Z</dcterms:created>
  <dcterms:modified xsi:type="dcterms:W3CDTF">2026-06-08T15:19:36Z</dcterms:modified>
</cp:coreProperties>
</file>