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120" w:hanging="1248"/>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3120" w:hanging="1248"/>
        <w:spacing w:after="0"/>
        <w:tabs>
          <w:tab w:leader="none" w:pos="3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3"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9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001-35095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44450</wp:posOffset>
            </wp:positionV>
            <wp:extent cx="4922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7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7060" w:type="dxa"/>
            <w:vAlign w:val="bottom"/>
            <w:gridSpan w:val="3"/>
          </w:tcPr>
          <w:p>
            <w:pPr>
              <w:jc w:val="right"/>
              <w:ind w:right="1650"/>
              <w:spacing w:after="0"/>
              <w:rPr>
                <w:sz w:val="20"/>
                <w:szCs w:val="20"/>
                <w:color w:val="auto"/>
              </w:rPr>
            </w:pPr>
            <w:r>
              <w:rPr>
                <w:rFonts w:ascii="Arial" w:cs="Arial" w:eastAsia="Arial" w:hAnsi="Arial"/>
                <w:sz w:val="18"/>
                <w:szCs w:val="18"/>
                <w:b w:val="1"/>
                <w:bCs w:val="1"/>
                <w:color w:val="auto"/>
              </w:rPr>
              <w:t>58-1807304</w:t>
            </w:r>
          </w:p>
        </w:tc>
      </w:tr>
      <w:tr>
        <w:trPr>
          <w:trHeight w:val="27"/>
        </w:trPr>
        <w:tc>
          <w:tcPr>
            <w:tcW w:w="3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05"/>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125 Highway 515 East</w:t>
            </w: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0"/>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7060" w:type="dxa"/>
            <w:vAlign w:val="bottom"/>
            <w:gridSpan w:val="3"/>
          </w:tcPr>
          <w:p>
            <w:pPr>
              <w:jc w:val="right"/>
              <w:ind w:right="1850"/>
              <w:spacing w:after="0"/>
              <w:rPr>
                <w:sz w:val="20"/>
                <w:szCs w:val="20"/>
                <w:color w:val="auto"/>
              </w:rPr>
            </w:pPr>
            <w:r>
              <w:rPr>
                <w:rFonts w:ascii="Arial" w:cs="Arial" w:eastAsia="Arial" w:hAnsi="Arial"/>
                <w:sz w:val="18"/>
                <w:szCs w:val="18"/>
                <w:b w:val="1"/>
                <w:bCs w:val="1"/>
                <w:color w:val="auto"/>
              </w:rPr>
              <w:t>30512</w:t>
            </w:r>
          </w:p>
        </w:tc>
      </w:tr>
      <w:tr>
        <w:trPr>
          <w:trHeight w:val="27"/>
        </w:trPr>
        <w:tc>
          <w:tcPr>
            <w:tcW w:w="3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(Zip Code)</w:t>
            </w:r>
          </w:p>
        </w:tc>
      </w:tr>
      <w:tr>
        <w:trPr>
          <w:trHeight w:val="405"/>
        </w:trPr>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jc w:val="right"/>
              <w:ind w:right="710"/>
              <w:spacing w:after="0"/>
              <w:rPr>
                <w:sz w:val="20"/>
                <w:szCs w:val="20"/>
                <w:color w:val="auto"/>
              </w:rPr>
            </w:pPr>
            <w:r>
              <w:rPr>
                <w:rFonts w:ascii="Arial" w:cs="Arial" w:eastAsia="Arial" w:hAnsi="Arial"/>
                <w:sz w:val="18"/>
                <w:szCs w:val="18"/>
                <w:b w:val="1"/>
                <w:bCs w:val="1"/>
                <w:color w:val="auto"/>
              </w:rPr>
              <w:t>(706) 781-2265</w:t>
            </w: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3760" w:type="dxa"/>
            <w:vAlign w:val="bottom"/>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91"/>
              </w:rPr>
              <w:t>(Telephone Number)</w:t>
            </w:r>
          </w:p>
        </w:tc>
      </w:tr>
    </w:tbl>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48" w:right="239" w:bottom="1440" w:gutter="0" w:footer="0" w:header="0"/>
        </w:sectPr>
      </w:pPr>
    </w:p>
    <w:p>
      <w:pPr>
        <w:spacing w:after="0" w:line="9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9200" w:space="720"/>
            <w:col w:w="1500"/>
          </w:cols>
          <w:pgMar w:left="240" w:top="114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8340" w:space="720"/>
            <w:col w:w="2360"/>
          </w:cols>
          <w:pgMar w:left="240" w:top="114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148" w:right="239" w:bottom="1440" w:gutter="0" w:footer="0" w:header="0"/>
          <w:type w:val="continuous"/>
        </w:sectPr>
      </w:pPr>
    </w:p>
    <w:p>
      <w:pPr>
        <w:spacing w:after="0" w:line="291"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22" w:lineRule="exact"/>
        <w:rPr>
          <w:sz w:val="24"/>
          <w:szCs w:val="24"/>
          <w:color w:val="auto"/>
        </w:rPr>
      </w:pPr>
    </w:p>
    <w:p>
      <w:pPr>
        <w:ind w:left="51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79,141,038 shares outstanding as of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869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Item 1.</w:t>
            </w:r>
          </w:p>
        </w:tc>
        <w:tc>
          <w:tcPr>
            <w:tcW w:w="922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Consolidated Statements of Income (unaudited) for the Three and Six Months Ended June 30, 2018 and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Consolidated Statements of Comprehensive Income (unaudited) for the Three and Six Months Ended June 30, 2018</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96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84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and 2017</w:t>
              </w:r>
            </w:hyperlink>
          </w:p>
        </w:tc>
        <w:tc>
          <w:tcPr>
            <w:tcW w:w="3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Sheets (unaudited) at June 30, 2018 and December 31,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w w:val="94"/>
              </w:rPr>
            </w:pPr>
            <w:hyperlink w:anchor="page7">
              <w:r>
                <w:rPr>
                  <w:rFonts w:ascii="Arial" w:cs="Arial" w:eastAsia="Arial" w:hAnsi="Arial"/>
                  <w:sz w:val="18"/>
                  <w:szCs w:val="18"/>
                  <w:b w:val="1"/>
                  <w:bCs w:val="1"/>
                  <w:color w:val="0000EE"/>
                  <w:w w:val="94"/>
                </w:rPr>
                <w:t>Consolidated Statements of Changes in Shareholders’ Equity (unaudited) for the Six Months Ended June 30, 2018</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96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74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and 2017</w:t>
              </w:r>
            </w:hyperlink>
          </w:p>
        </w:tc>
        <w:tc>
          <w:tcPr>
            <w:tcW w:w="480" w:type="dxa"/>
            <w:vAlign w:val="bottom"/>
            <w:tcBorders>
              <w:top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Consolidated Statements of Cash Flows (unaudited) for the Six Months Ended June 30, 2018 and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2.</w:t>
              </w:r>
            </w:hyperlink>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3.</w:t>
              </w:r>
            </w:hyperlink>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126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4.</w:t>
              </w:r>
            </w:hyperlink>
          </w:p>
        </w:tc>
        <w:tc>
          <w:tcPr>
            <w:tcW w:w="9220" w:type="dxa"/>
            <w:vAlign w:val="bottom"/>
            <w:gridSpan w:val="11"/>
            <w:shd w:val="clear" w:color="auto" w:fill="CCEEFF"/>
          </w:tcPr>
          <w:p>
            <w:pPr>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77">
        <w:r>
          <w:rPr>
            <w:rFonts w:ascii="Arial" w:cs="Arial" w:eastAsia="Arial" w:hAnsi="Arial"/>
            <w:sz w:val="18"/>
            <w:szCs w:val="18"/>
            <w:b w:val="1"/>
            <w:bCs w:val="1"/>
            <w:u w:val="single" w:color="auto"/>
            <w:color w:val="0000EE"/>
          </w:rPr>
          <w:t>PART II - Other Information</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4"/>
            <w:shd w:val="clear" w:color="auto" w:fill="CCEEFF"/>
          </w:tcPr>
          <w:p>
            <w:pPr>
              <w:ind w:left="96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w:t>
              </w:r>
            </w:hyperlink>
          </w:p>
        </w:tc>
        <w:tc>
          <w:tcPr>
            <w:tcW w:w="9220" w:type="dxa"/>
            <w:vAlign w:val="bottom"/>
            <w:gridSpan w:val="8"/>
            <w:shd w:val="clear" w:color="auto" w:fill="CCEEFF"/>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Legal Proceedings.</w:t>
              </w:r>
            </w:hyperlink>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1A.</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Risk Factors.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2.</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Unregistered Sales of Equity Securities and Use of Proceeds.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3.</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Defaults Upon Senior Securities.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4.</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Mine Safety Disclosures.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5.</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Other Information.</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6.</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Exhibits.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675"/>
        </w:trPr>
        <w:tc>
          <w:tcPr>
            <w:tcW w:w="960" w:type="dxa"/>
            <w:vAlign w:val="bottom"/>
            <w:tcBorders>
              <w:top w:val="single" w:sz="8" w:color="CCEEFF"/>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920" w:type="dxa"/>
            <w:vAlign w:val="bottom"/>
            <w:tcBorders>
              <w:top w:val="single" w:sz="8" w:color="CCEEFF"/>
            </w:tcBorders>
            <w:gridSpan w:val="6"/>
          </w:tcPr>
          <w:p>
            <w:pPr>
              <w:jc w:val="right"/>
              <w:ind w:right="840"/>
              <w:spacing w:after="0"/>
              <w:rPr>
                <w:sz w:val="20"/>
                <w:szCs w:val="20"/>
                <w:color w:val="auto"/>
              </w:rPr>
            </w:pPr>
            <w:r>
              <w:rPr>
                <w:rFonts w:ascii="Arial" w:cs="Arial" w:eastAsia="Arial" w:hAnsi="Arial"/>
                <w:sz w:val="18"/>
                <w:szCs w:val="18"/>
                <w:color w:val="auto"/>
              </w:rPr>
              <w:t>2</w:t>
            </w:r>
          </w:p>
        </w:tc>
        <w:tc>
          <w:tcPr>
            <w:tcW w:w="46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Statements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Pr>
          <w:p>
            <w:pPr>
              <w:spacing w:after="0"/>
              <w:rPr>
                <w:sz w:val="22"/>
                <w:szCs w:val="22"/>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52"/>
              <w:spacing w:after="0"/>
              <w:rPr>
                <w:sz w:val="20"/>
                <w:szCs w:val="20"/>
                <w:color w:val="auto"/>
              </w:rPr>
            </w:pPr>
            <w:r>
              <w:rPr>
                <w:rFonts w:ascii="Arial" w:cs="Arial" w:eastAsia="Arial" w:hAnsi="Arial"/>
                <w:sz w:val="14"/>
                <w:szCs w:val="14"/>
                <w:b w:val="1"/>
                <w:bCs w:val="1"/>
                <w:color w:val="auto"/>
                <w:w w:val="89"/>
              </w:rPr>
              <w:t>2017</w:t>
            </w:r>
          </w:p>
        </w:tc>
      </w:tr>
      <w:tr>
        <w:trPr>
          <w:trHeight w:val="230"/>
        </w:trPr>
        <w:tc>
          <w:tcPr>
            <w:tcW w:w="7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revenue: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Loans, including fees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103,492</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74,825</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199,961</w:t>
            </w:r>
          </w:p>
        </w:tc>
        <w:tc>
          <w:tcPr>
            <w:tcW w:w="10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w w:val="98"/>
              </w:rPr>
              <w:t>147,552</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securities, including tax exempt of $1,025 and $357, and $1,997 and $636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18,254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17,778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36,549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35,490</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Deposits in banks and short-term investments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1,082</w:t>
            </w:r>
          </w:p>
        </w:tc>
      </w:tr>
      <w:tr>
        <w:trPr>
          <w:trHeight w:val="25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interest revenue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122,215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93,166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237,505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8"/>
              </w:rPr>
              <w:t>184,124</w:t>
            </w:r>
          </w:p>
        </w:tc>
      </w:t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NOW</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1,232</w:t>
            </w:r>
          </w:p>
        </w:tc>
      </w:tr>
      <w:tr>
        <w:trPr>
          <w:trHeight w:val="263"/>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Money market</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4,758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2,985</w:t>
            </w:r>
          </w:p>
        </w:tc>
      </w:tr>
      <w:tr>
        <w:trPr>
          <w:trHeight w:val="27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Savings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w:t>
            </w:r>
          </w:p>
        </w:tc>
      </w:tr>
      <w:tr>
        <w:trPr>
          <w:trHeight w:val="26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Time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4,198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7,154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2,387</w:t>
            </w:r>
          </w:p>
        </w:tc>
      </w:tr>
      <w:tr>
        <w:trPr>
          <w:trHeight w:val="257"/>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deposit interest expense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8,119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6,659</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141</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 Home Loan Bank advances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2,894</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3,786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7,074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5,728</w:t>
            </w:r>
          </w:p>
        </w:tc>
      </w:tr>
      <w:tr>
        <w:trPr>
          <w:trHeight w:val="25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13,739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8,018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25,744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15,422</w:t>
            </w:r>
          </w:p>
        </w:tc>
      </w:tr>
      <w:tr>
        <w:trPr>
          <w:trHeight w:val="250"/>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interest revenue</w:t>
            </w: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108,476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85,148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211,761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w w:val="98"/>
              </w:rPr>
              <w:t>168,702</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1,600</w:t>
            </w:r>
          </w:p>
        </w:tc>
      </w:tr>
      <w:tr>
        <w:trPr>
          <w:trHeight w:val="250"/>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Net interest revenue after provision for credit losses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106,676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84,348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206,161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8"/>
              </w:rPr>
              <w:t>167,102</w:t>
            </w:r>
          </w:p>
        </w:tc>
      </w:tr>
      <w:tr>
        <w:trPr>
          <w:trHeight w:val="230"/>
        </w:trPr>
        <w:tc>
          <w:tcPr>
            <w:tcW w:w="7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income: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Service charges and fees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8,794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10,701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17,719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21,305</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Mortgage loan and other related fees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5,307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4,811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10,666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9,235</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Brokerage fees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2,556</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Gains from sales of SBA/USDA loans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2,626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4,179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4,585</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Securities (losses) gains,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6,001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12,403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8,076</w:t>
            </w: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income</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23,340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23,685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45,736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45,759</w:t>
            </w:r>
          </w:p>
        </w:tc>
      </w:tr>
      <w:tr>
        <w:trPr>
          <w:trHeight w:val="24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130,016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108,033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251,897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8"/>
              </w:rPr>
              <w:t>212,861</w:t>
            </w:r>
          </w:p>
        </w:tc>
      </w:tr>
      <w:tr>
        <w:trPr>
          <w:trHeight w:val="230"/>
        </w:trPr>
        <w:tc>
          <w:tcPr>
            <w:tcW w:w="7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45,363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37,338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88,238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74,029</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Communications and equipment</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4,849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4,978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9,481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9,896</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Occupancy</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11,160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9,857</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Advertising and public relations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2,321</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Postage, printing and supplies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2,716</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7,508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5,415</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FDIC assessments and other regulatory charges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2,631</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Amortization of intangibles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1,847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3,745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1,873</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3,884</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8,458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6,950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15,189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13,433</w:t>
            </w:r>
          </w:p>
        </w:tc>
      </w:tr>
      <w:tr>
        <w:trPr>
          <w:trHeight w:val="25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expenses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76,850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63,229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150,325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8"/>
              </w:rPr>
              <w:t>126,055</w:t>
            </w:r>
          </w:p>
        </w:tc>
      </w:tr>
      <w:tr>
        <w:trPr>
          <w:trHeight w:val="250"/>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income before income taxes</w:t>
            </w: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53,166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44,804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101,572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86,806</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13,532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16,537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24,280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35,015</w:t>
            </w:r>
          </w:p>
        </w:tc>
      </w:tr>
      <w:tr>
        <w:trPr>
          <w:trHeight w:val="24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39,634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28,267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77,292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51,791</w:t>
            </w:r>
          </w:p>
        </w:tc>
      </w:tr>
      <w:tr>
        <w:trPr>
          <w:trHeight w:val="230"/>
        </w:trPr>
        <w:tc>
          <w:tcPr>
            <w:tcW w:w="7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r>
      <w:tr>
        <w:trPr>
          <w:trHeight w:val="276"/>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39,359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28,267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76,740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51,791</w:t>
            </w:r>
          </w:p>
        </w:tc>
      </w:tr>
      <w:tr>
        <w:trPr>
          <w:trHeight w:val="210"/>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0.72</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0.72</w:t>
            </w:r>
          </w:p>
        </w:tc>
      </w:tr>
      <w:tr>
        <w:trPr>
          <w:trHeight w:val="27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189"/>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79,745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71,810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79,477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71,798</w:t>
            </w:r>
          </w:p>
        </w:tc>
      </w:tr>
    </w:tbl>
    <w:p>
      <w:pPr>
        <w:sectPr>
          <w:pgSz w:w="11900" w:h="16856" w:orient="portrait"/>
          <w:cols w:equalWidth="0" w:num="1">
            <w:col w:w="11420"/>
          </w:cols>
          <w:pgMar w:left="240" w:top="580" w:right="239" w:bottom="0" w:gutter="0" w:footer="0" w:header="0"/>
        </w:sectPr>
      </w:pPr>
    </w:p>
    <w:bookmarkStart w:id="3" w:name="page4"/>
    <w:bookmarkEnd w:id="3"/>
    <w:p>
      <w:pPr>
        <w:spacing w:after="0"/>
        <w:tabs>
          <w:tab w:leader="none" w:pos="7680" w:val="left"/>
          <w:tab w:leader="none" w:pos="8720" w:val="left"/>
          <w:tab w:leader="none" w:pos="9740" w:val="left"/>
          <w:tab w:leader="none" w:pos="107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Diluted</w:t>
      </w:r>
      <w:r>
        <w:rPr>
          <w:sz w:val="20"/>
          <w:szCs w:val="20"/>
          <w:color w:val="auto"/>
        </w:rPr>
        <w:tab/>
      </w:r>
      <w:r>
        <w:rPr>
          <w:rFonts w:ascii="Arial" w:cs="Arial" w:eastAsia="Arial" w:hAnsi="Arial"/>
          <w:sz w:val="14"/>
          <w:szCs w:val="14"/>
          <w:color w:val="auto"/>
        </w:rPr>
        <w:t>79,755</w:t>
      </w:r>
      <w:r>
        <w:rPr>
          <w:sz w:val="20"/>
          <w:szCs w:val="20"/>
          <w:color w:val="auto"/>
        </w:rPr>
        <w:tab/>
      </w:r>
      <w:r>
        <w:rPr>
          <w:rFonts w:ascii="Arial" w:cs="Arial" w:eastAsia="Arial" w:hAnsi="Arial"/>
          <w:sz w:val="14"/>
          <w:szCs w:val="14"/>
          <w:color w:val="auto"/>
        </w:rPr>
        <w:t>71,820</w:t>
      </w:r>
      <w:r>
        <w:rPr>
          <w:sz w:val="20"/>
          <w:szCs w:val="20"/>
          <w:color w:val="auto"/>
        </w:rPr>
        <w:tab/>
      </w:r>
      <w:r>
        <w:rPr>
          <w:rFonts w:ascii="Arial" w:cs="Arial" w:eastAsia="Arial" w:hAnsi="Arial"/>
          <w:sz w:val="14"/>
          <w:szCs w:val="14"/>
          <w:color w:val="auto"/>
        </w:rPr>
        <w:t>79,487</w:t>
      </w:r>
      <w:r>
        <w:rPr>
          <w:sz w:val="20"/>
          <w:szCs w:val="20"/>
          <w:color w:val="auto"/>
        </w:rPr>
        <w:tab/>
      </w:r>
      <w:r>
        <w:rPr>
          <w:rFonts w:ascii="Arial" w:cs="Arial" w:eastAsia="Arial" w:hAnsi="Arial"/>
          <w:sz w:val="12"/>
          <w:szCs w:val="12"/>
          <w:color w:val="auto"/>
        </w:rPr>
        <w:t>71,809</w:t>
      </w:r>
    </w:p>
    <w:p>
      <w:pPr>
        <w:sectPr>
          <w:pgSz w:w="11900" w:h="16838" w:orient="portrait"/>
          <w:cols w:equalWidth="0" w:num="1">
            <w:col w:w="11140"/>
          </w:cols>
          <w:pgMar w:left="420" w:top="25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420" w:top="25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3340" w:type="dxa"/>
            <w:vAlign w:val="bottom"/>
            <w:gridSpan w:val="8"/>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980" w:type="dxa"/>
            <w:vAlign w:val="bottom"/>
            <w:gridSpan w:val="7"/>
          </w:tcPr>
          <w:p>
            <w:pPr>
              <w:jc w:val="center"/>
              <w:ind w:right="41"/>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Tax</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Tax</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(Expense)</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Net of Tax</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Benefit</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14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53,166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(13,532)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39,634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77,292</w:t>
            </w:r>
          </w:p>
        </w:tc>
        <w:tc>
          <w:tcPr>
            <w:tcW w:w="0" w:type="dxa"/>
            <w:vAlign w:val="bottom"/>
          </w:tcPr>
          <w:p>
            <w:pPr>
              <w:spacing w:after="0"/>
              <w:rPr>
                <w:sz w:val="1"/>
                <w:szCs w:val="1"/>
                <w:color w:val="auto"/>
              </w:rPr>
            </w:pP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losses on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Unrealized holding losses arising during period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(9,574)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(29,374)</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Reclassification adjustment for losses included in net income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364</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2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Net unrealized losses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(9,210)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2,213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(37,534)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9,147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(28,387)</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5"/>
              </w:rPr>
              <w:t>Amortization of prior service cost and actuarial losses included in net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(27,524)</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44,544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49,768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44,804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(16,537)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28,267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86,806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51,791</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gains arising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11,120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10,947</w:t>
            </w: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Reclassification adjustment for gains included in net income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gains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11,116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10,944</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8"/>
              </w:rPr>
              <w:t>Reclassification of disproportionate tax effect related to terminated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cash flow hedge activity</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Net actuarial gain (loss) on defined benefit pension plan</w:t>
            </w: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Amortization of prior service cost and actuarial losses included in net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282</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11,836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7,342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18,469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14,866</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56,640</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(21,031)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105,275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66,657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7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74" w:right="2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5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129,108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191,355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185,167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314,275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2,536,294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2,615,850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Securities held to maturity (fair value $291,463 and $321,276)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321,094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Loans held for sale (includes $34,813 and $26,252 at fair value)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34,813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Loans and leases, net of unearned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7,735,572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Less allowance for loan and lease losses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Loans and leases,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7,676,658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202,098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208,852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Bank owned life insurance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188,970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32,459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181,091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169,401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Demand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NOW</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2,031,396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2,131,939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2,016,748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Savings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683,689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651,742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1,548,460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Brokered</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444,079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371,011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9,966,088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9,807,697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504,651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308,434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120,545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103,857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11,006,431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10,612,126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$1 par value; 150,000,000 shares authorized;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79,137,810 and 77,579,561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Common stock issuable; 616,549 and 607,869 shares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surplus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1,451,814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(209,902)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1,379,109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1,303,334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37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Stock Issuable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Comprehensive Loss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1,275,849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(251,857)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1,075,735</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51,791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51,791</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plans (8,569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stock option and restricted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Vesting of restricted stock, net of shares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surrendered to cover payroll taxes (40,954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shares issued, 58,784 shares deferred)</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dividend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payroll taxes (32,279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dividends ($0.18 per share)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(12,978)</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principle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June 30,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1,277,822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1,132,641</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1,451,814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1,303,334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77,292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77,292</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Exercise of stock options (12,000 shares)</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plans (9,853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issued for acquisition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(1,443,987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44,302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45,746</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stock option and restricted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Vesting of restricted stock, net of shares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surrendered to cover payroll taxes (46,409</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shares issued, 47,419 shares deferred)</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dividend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payroll taxes (46,000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dividends ($0.27 per share)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(21,680)</w:t>
            </w: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79,138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1,497,517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(154,290)</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1,379,109</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25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77,292</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51,791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17,068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12,932</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credit losses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1,600</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Stock based compensation</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2,276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3,149</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22,782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35,685</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Securities losses (gains), net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1,304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Gains from sales of SBA/USDA loans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Net losses and write downs on sales of other real estate owned</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471</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assets and accrued interest receivable</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77"/>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w:t>
            </w:r>
          </w:p>
        </w:tc>
      </w:tr>
      <w:tr>
        <w:trPr>
          <w:trHeight w:val="264"/>
        </w:trPr>
        <w:tc>
          <w:tcPr>
            <w:tcW w:w="8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Mortgage loans held for sale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4,167</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116,390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97,592</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Investment securities held to maturity:</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held to maturity</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35,531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31,369</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held to maturity</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(13,433)</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Proceeds from sales of securities available for sale</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140,296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94,650</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available for sale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174,284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309,054</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available for sale</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(280,241)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(412,407)</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increase in loans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(115,952)</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Purchase of bank owned life insurance</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Purchases of premises and equipment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(11,687)</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cash paid for acquisition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Proceeds from sale of other real estate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1,986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5,781</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(122,620)</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change in deposits</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159,015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98,694</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change in short-term borrowings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Repayments of long-term debt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FHLB advances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1,375,000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2,710,000</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Repayments of FHLB advances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(1,319,003)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subordinated debt, net of issuance costs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98,188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216</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9,492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40,866</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15,838</w:t>
            </w: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314,275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217,348</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96"/>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period</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316,368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233,186</w:t>
            </w: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23,518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15,346</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Income taxes paid</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4,345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4,651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non-cash investing and financing transactions: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Unsettled securities purchases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20,269</w:t>
            </w:r>
          </w:p>
        </w:tc>
      </w:tr>
      <w:tr>
        <w:trPr>
          <w:trHeight w:val="64"/>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72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Unsettled government guaranteed loan sales</w:t>
            </w:r>
          </w:p>
        </w:tc>
        <w:tc>
          <w:tcPr>
            <w:tcW w:w="434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18,800</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26,107</w:t>
            </w:r>
          </w:p>
        </w:tc>
      </w:tr>
      <w:tr>
        <w:trPr>
          <w:trHeight w:val="263"/>
        </w:trPr>
        <w:tc>
          <w:tcPr>
            <w:tcW w:w="6120" w:type="dxa"/>
            <w:vAlign w:val="bottom"/>
          </w:tcPr>
          <w:p>
            <w:pPr>
              <w:ind w:left="280"/>
              <w:spacing w:after="0"/>
              <w:rPr>
                <w:sz w:val="20"/>
                <w:szCs w:val="20"/>
                <w:color w:val="auto"/>
              </w:rPr>
            </w:pPr>
            <w:r>
              <w:rPr>
                <w:rFonts w:ascii="Arial" w:cs="Arial" w:eastAsia="Arial" w:hAnsi="Arial"/>
                <w:sz w:val="14"/>
                <w:szCs w:val="14"/>
                <w:color w:val="auto"/>
              </w:rPr>
              <w:t>Transfers of loans to foreclosed properties</w:t>
            </w:r>
          </w:p>
        </w:tc>
        <w:tc>
          <w:tcPr>
            <w:tcW w:w="4340" w:type="dxa"/>
            <w:vAlign w:val="bottom"/>
          </w:tcPr>
          <w:p>
            <w:pPr>
              <w:jc w:val="right"/>
              <w:ind w:right="432"/>
              <w:spacing w:after="0"/>
              <w:rPr>
                <w:sz w:val="20"/>
                <w:szCs w:val="20"/>
                <w:color w:val="auto"/>
              </w:rPr>
            </w:pPr>
            <w:r>
              <w:rPr>
                <w:rFonts w:ascii="Arial" w:cs="Arial" w:eastAsia="Arial" w:hAnsi="Arial"/>
                <w:sz w:val="14"/>
                <w:szCs w:val="14"/>
                <w:color w:val="auto"/>
              </w:rPr>
              <w:t>1,609</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1,042</w:t>
            </w:r>
          </w:p>
        </w:tc>
      </w:tr>
      <w:tr>
        <w:trPr>
          <w:trHeight w:val="277"/>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w:t>
            </w:r>
          </w:p>
        </w:tc>
        <w:tc>
          <w:tcPr>
            <w:tcW w:w="4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120" w:type="dxa"/>
            <w:vAlign w:val="bottom"/>
          </w:tcPr>
          <w:p>
            <w:pPr>
              <w:ind w:left="380"/>
              <w:spacing w:after="0"/>
              <w:rPr>
                <w:sz w:val="20"/>
                <w:szCs w:val="20"/>
                <w:color w:val="auto"/>
              </w:rPr>
            </w:pPr>
            <w:r>
              <w:rPr>
                <w:rFonts w:ascii="Arial" w:cs="Arial" w:eastAsia="Arial" w:hAnsi="Arial"/>
                <w:sz w:val="14"/>
                <w:szCs w:val="14"/>
                <w:color w:val="auto"/>
              </w:rPr>
              <w:t>Assets acquired</w:t>
            </w:r>
          </w:p>
        </w:tc>
        <w:tc>
          <w:tcPr>
            <w:tcW w:w="4340" w:type="dxa"/>
            <w:vAlign w:val="bottom"/>
          </w:tcPr>
          <w:p>
            <w:pPr>
              <w:jc w:val="right"/>
              <w:ind w:right="432"/>
              <w:spacing w:after="0"/>
              <w:rPr>
                <w:sz w:val="20"/>
                <w:szCs w:val="20"/>
                <w:color w:val="auto"/>
              </w:rPr>
            </w:pPr>
            <w:r>
              <w:rPr>
                <w:rFonts w:ascii="Arial" w:cs="Arial" w:eastAsia="Arial" w:hAnsi="Arial"/>
                <w:sz w:val="14"/>
                <w:szCs w:val="14"/>
                <w:color w:val="auto"/>
              </w:rPr>
              <w:t>481</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Liabilities assumed</w:t>
            </w:r>
          </w:p>
        </w:tc>
        <w:tc>
          <w:tcPr>
            <w:tcW w:w="434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351</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56"/>
        </w:trPr>
        <w:tc>
          <w:tcPr>
            <w:tcW w:w="6120" w:type="dxa"/>
            <w:vAlign w:val="bottom"/>
          </w:tcPr>
          <w:p>
            <w:pPr>
              <w:ind w:left="380"/>
              <w:spacing w:after="0"/>
              <w:rPr>
                <w:sz w:val="20"/>
                <w:szCs w:val="20"/>
                <w:color w:val="auto"/>
              </w:rPr>
            </w:pPr>
            <w:r>
              <w:rPr>
                <w:rFonts w:ascii="Arial" w:cs="Arial" w:eastAsia="Arial" w:hAnsi="Arial"/>
                <w:sz w:val="14"/>
                <w:szCs w:val="14"/>
                <w:color w:val="auto"/>
              </w:rPr>
              <w:t>Net assets acquired</w:t>
            </w:r>
          </w:p>
        </w:tc>
        <w:tc>
          <w:tcPr>
            <w:tcW w:w="4340" w:type="dxa"/>
            <w:vAlign w:val="bottom"/>
          </w:tcPr>
          <w:p>
            <w:pPr>
              <w:jc w:val="right"/>
              <w:ind w:right="432"/>
              <w:spacing w:after="0"/>
              <w:rPr>
                <w:sz w:val="20"/>
                <w:szCs w:val="20"/>
                <w:color w:val="auto"/>
              </w:rPr>
            </w:pPr>
            <w:r>
              <w:rPr>
                <w:rFonts w:ascii="Arial" w:cs="Arial" w:eastAsia="Arial" w:hAnsi="Arial"/>
                <w:sz w:val="14"/>
                <w:szCs w:val="14"/>
                <w:color w:val="auto"/>
              </w:rPr>
              <w:t>130</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2017.</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securitizations acquired with NLFC Holdings Corp. (“NLFC”) require various restricted cash accounts. These cash accounts were funded from either a portion of the proceeds from the issuance of notes or from the collections on leases and loans that were conveyed in the securitization. These restricted cash accounts provide additional collateral to the note holders under specific provisions of the securitizations which govern when funds in these accounts may be released as well as conditions under which collections on contracts transferred to the securitizations may be used to fund deposits into the restricted cash accounts. At June 30, 2018, these restricted cash accounts totaled $10.8 million and were included in interest-bearing deposits in banks on the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Financing Lease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Equipment financing lease receivables are recorded as the sum of the future minimum lease payments, initial deferred costs and estimated or contractual residual values less unearned income.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expects to report higher assets and liabilities as a result of including leases on the consolidated balance sheet. At December 31, 2017, future minimum lease payments amounted to $27.1 million. United does not expect the new guidance to have a material impact on the consolidated statements of income or the consolidated statements of shareholders’ equity.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The new guidance replaces the incurred loss impairment methodology in current GAAP with an expected credit loss methodology and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approach, although the guidance for debt securities for which an other-than-temporary impairment has been recognized before the effective date and for loans previously covered by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magnitude of the increase. Management has formed a steering committee and has completed a gap assessment that became the basis for a full project plan. In addition, management has selected a vendor model and begun the implementation phase of the project plan. United expects to run parallel for the four quarters leading up to the effective date to ensure it is prepared for implementation by the effective date.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2018, the FASB issued ASU No. 2018-06, </w:t>
      </w:r>
      <w:r>
        <w:rPr>
          <w:rFonts w:ascii="Arial" w:cs="Arial" w:eastAsia="Arial" w:hAnsi="Arial"/>
          <w:sz w:val="18"/>
          <w:szCs w:val="18"/>
          <w:i w:val="1"/>
          <w:iCs w:val="1"/>
          <w:color w:val="auto"/>
        </w:rPr>
        <w:t>Codification Improvements to Topic 942, Financial Services - Depository and Lending</w:t>
      </w:r>
      <w:r>
        <w:rPr>
          <w:rFonts w:ascii="Arial" w:cs="Arial" w:eastAsia="Arial" w:hAnsi="Arial"/>
          <w:sz w:val="18"/>
          <w:szCs w:val="18"/>
          <w:color w:val="auto"/>
        </w:rPr>
        <w:t>. This update superseded outdated guidance related to the Office of the Comptroller of the Currency’s Banking Circular 202, Accounting for Net Deferred Tax Charges. United does not expect the new guidance to have a material impact on the consolidated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update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nonemployee share-based payment awards will be measured at the grant-date fair value of the equity instruments that an entity is obligated to issue when the service has been rendered, subject to the probability of satisfying performance conditions when applicable. For public entities, this update is effective for fiscal years beginning after December 15, 2018. United does not expect the new guidance to have a material impact on the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2018, the FASB issued ASU No. 2018-08, </w:t>
      </w:r>
      <w:r>
        <w:rPr>
          <w:rFonts w:ascii="Arial" w:cs="Arial" w:eastAsia="Arial" w:hAnsi="Arial"/>
          <w:sz w:val="18"/>
          <w:szCs w:val="18"/>
          <w:i w:val="1"/>
          <w:iCs w:val="1"/>
          <w:color w:val="auto"/>
        </w:rPr>
        <w:t>Not for Profit Entities (Topic 958): Clarifying the Scope and the Accounting Guidance for Contributions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Received and Contributions Made</w:t>
      </w:r>
      <w:r>
        <w:rPr>
          <w:rFonts w:ascii="Arial" w:cs="Arial" w:eastAsia="Arial" w:hAnsi="Arial"/>
          <w:sz w:val="18"/>
          <w:szCs w:val="18"/>
          <w:color w:val="auto"/>
        </w:rPr>
        <w:t>. This update clarifies the guidance about whether a transfer of assets (or the reduction, settlement or cancellation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is a contribution or an exchange transaction. In addition, the guidance clarifies the determination of whether a transaction is conditional. For public entities, this update is effective for contributions made in fiscal years beginning after December 15, 2018. United does not expect the new guidance to have a material impact on the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to address stakeholder suggestions for minor corrections and clarifications within the codification. The transition and effective date guidance is based on the facts and circumstances of each amendment. Some of the amendments in this update do not require transition guidance and will be effective upon issuance of this update. However, many of the amendments in this update do have transition guidance with effective dates for annual periods beginning after December 15, 2018, for public business entities. United does not expect the new guidance to have a material impact on the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to address certain narrow aspects of the guidance issued in ASU No. 2016-02. This guidance did not change United’s assessment of the impact of ASU No. 2016-02 on the consolidated financial statements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This ASU provides guidance on the recognition of revenue from contracts with customers. The core principle of the guidance is that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should recognize revenue to depict the transfer of promised goods or services to customers in an amount that reflects the consideration to which the entity expects to be entitled in exchange for those goods or services. This guidance was effective for public entities for annual reporting periods beginning after December 15, 2017, including interim periods within that reporting period, and was applied retrospectively either to each prior reporting period or with a cumulative effect recognized at the date of initial application. Because the guidance does not apply to revenue associated with financial instruments, including loans and securities, and revenue sources within scope were not materially affected, the new revenue recognition guidance did not have a material impact on the consolidated financial statements. United used the modified retrospective approach to adopting this guidance.</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ASU 2016-1,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guidance in this update requires that equity investments (except those accounted for under the equity method of accounting) be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The guidance also simplifies the impairment assessment of equity investments without readily determinable fair values by requiring a qualitative assessment to identify impairment. In addition, the guidance addresses various disclosure and presentation issues related to financial instruments. For public entities, this update was effective for fiscal years beginning after December 15, 2017 with early application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permitted. The adoption of this update did not have a material impact on the consolidated financial statements. There was no opening balance sheet adjustment as a result of the adoption and the remainder of the standard was applied prospectively.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This ASU requires that the statement of cash flows explain the change during the period in the total of cash, cash equivalents, and amounts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as restricted cash or restricted cash equivalents. This guidance was effective for public entities for fiscal years beginning after December 15, 2017, including interim periods within that reporting period, and was applied retrospectively to each period presented. The adoption of this update did not have a material impact on the consolidated financial statements. There was no adjustment to prior periods as a result of the adoption.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component from the other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was effective for fiscal years beginning after December 15, 2017, with retrospective presentation of the service cost and other components and prospective application for any capitalization of service cost. The adoption of this update did not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NLFC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2018, United completed the acquisition of NLFC and its wholly-owned subsidiary, Navitas Credit Corp (“Navitas”). Navitas is a specialty lending company providing equipment finance credit services to small and medium-sized businesses nationwide. In connection with the acquisition, United acquired $393 million of assets and assumed $350 million of liabilities. Under the terms of the merger agreement, NLFC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NLFC’s business and reputation within the markets it served. None of the goodwill recognized is expected to be deductible for income tax purposes.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operating results for the three and six months ended June 30, 2018 include the operating results of the acquired assets and assumed liabilities for the period subsequent to the acquisition date of February 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Recorded by</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As Recorded by</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NLFC</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 xml:space="preserve">Adjustments </w:t>
            </w:r>
            <w:r>
              <w:rPr>
                <w:rFonts w:ascii="Arial" w:cs="Arial" w:eastAsia="Arial" w:hAnsi="Arial"/>
                <w:sz w:val="14"/>
                <w:szCs w:val="14"/>
                <w:b w:val="1"/>
                <w:bCs w:val="1"/>
                <w:color w:val="auto"/>
                <w:w w:val="91"/>
              </w:rPr>
              <w:t>(1)</w:t>
            </w:r>
          </w:p>
        </w:tc>
        <w:tc>
          <w:tcPr>
            <w:tcW w:w="1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leases,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393,300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119,402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119,402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351,384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350,433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assets acquired over liabilities assumed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Aggregate fair value adjustments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Consideration transferred</w:t>
            </w: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Common stock issued (1,443,987 shares)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130,246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87,379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1" w:lineRule="auto"/>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acquisition date, within the one year measurement period, United received additional information regarding the fair value of loans. As a result, the provisional value assigned to the acquired loans was reduced by $526,000, partially offset by acquisition-related adjustments to deferred tax assets. The net of the adjustments was reflected as a $390,000 increase to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February 1, 2018</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Accounted for pursuant to ASC 310-30: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Contractually required principal and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24,711</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Non-accretable difference</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Cash flows expected to be collected</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19,206</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Accretable yield</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r>
      <w:tr>
        <w:trPr>
          <w:trHeight w:val="29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17,229</w:t>
            </w:r>
          </w:p>
        </w:tc>
      </w:tr>
      <w:tr>
        <w:trPr>
          <w:trHeight w:val="257"/>
        </w:trPr>
        <w:tc>
          <w:tcPr>
            <w:tcW w:w="9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Excluded from ASC 310-30:</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341,123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Gross contractual amounts receivable</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389,432</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 of contractual cash flows not expected to be collected</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r>
      <w:tr>
        <w:trPr>
          <w:trHeight w:val="27"/>
        </w:trPr>
        <w:tc>
          <w:tcPr>
            <w:tcW w:w="9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after announcement of its intention to acquire NLFC but prior to the completion of the acquisition, United purchased $19.9 million in loans from NLFC in a transaction separate from the business combination.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discloses the impact of the merger with NLFC since the acquisition date through June 30, 2018. The table also presents certain pro forma information as if NLFC had been acquired on January 1, 2017. These results combine the historical results of the acquired entity with United’s consolidated statement of income and, while adjustments were made for the estimated impact of certain fair value adjustments and other acquisition-related activity, they are not necessarily indicative of what would have occurred had the acquisition taken place in earlier years.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Merger-related costs from the NLFC acquisition of $118,000 and $4.83 million, respectively, have been excluded from the three and six months 2018 pro forma information presented below and included in the three and six months 2017 pro forma information below. The actual results and pro forma information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0"/>
                <w:szCs w:val="20"/>
                <w:color w:val="auto"/>
              </w:rPr>
            </w:pPr>
          </w:p>
        </w:tc>
        <w:tc>
          <w:tcPr>
            <w:tcW w:w="22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Income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NLFC results included in statement of income since acquisition date</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3"/>
              </w:rPr>
              <w:t>Supplemental consolidated pro forma as if NLFC had been acquired January 1, 2017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255,119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78,989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Supplemental consolidated pro forma as if NLFC had been acquired January 1, 2017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112,004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220,510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49,595</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Four Oaks Fincorp,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2017, United completed the acquisition of Four Oaks FinCorp, Inc. (“FOFN”) and its wholly-owned bank subsidiary, Four Oaks Bank &amp; Trust Company. Information related to the fair value of assets and liabilities acquired from FOFN is included in United’s Annual Report on Form 10-K for the year ended December 31, 2017. During first quarter 2018, within the one-year measurement period, United received additional information regarding the acquisition date fair values of loans held for sale and servicing assets. As a result, the provisional values assigned to the acquired loans held for sale and servicing assets have been adjusted to $10.7 million and $65,000, respectively, which represent an increase of $2.59 million and a decrease of $354,000, respectively, from amounts previously disclosed. The tax effect of these adjustments was reflected as a decrease to the deferred tax asset of $1.08 million, with the net amount of $1.16 million reflected as a decrease to goodwill.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HCSB Financial Corporation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31, 2017, United completed the acquisition of HCSB Financial Corporation (“HCSB”) and its wholly-owned bank subsidiary, Horry County State Bank. Information related to the fair value of assets and liabilities acquired from HCSB is included in United’s Annual Report on Form 10-K for the year ended December 31, 2017. During second quarter 2018, within the one-year measurement period, United received additional information regarding the acquisition date fair value of premises and equipment. As a result, the provisional value assigned to the acquired premises and equipment has been adjusted to $7.42 million, which represents a decrease of $493,000 from the amount previously disclosed. The tax effect of this adjustment was reflected as an increase to the deferred tax asset of $190,000, resulting in a net $303,000 increase to goodwill.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Gross Amounts not Offset in the Balance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left="808"/>
              <w:spacing w:after="0" w:line="149" w:lineRule="exact"/>
              <w:rPr>
                <w:sz w:val="20"/>
                <w:szCs w:val="20"/>
                <w:color w:val="auto"/>
              </w:rPr>
            </w:pPr>
            <w:r>
              <w:rPr>
                <w:rFonts w:ascii="Arial" w:cs="Arial" w:eastAsia="Arial" w:hAnsi="Arial"/>
                <w:sz w:val="14"/>
                <w:szCs w:val="14"/>
                <w:b w:val="1"/>
                <w:bCs w:val="1"/>
                <w:color w:val="auto"/>
                <w:w w:val="89"/>
              </w:rPr>
              <w:t>Sheet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Net Asset</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29,896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15,544</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15,544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Weighted average interest rate of reverse repurchase</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agreements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Net Liability</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Pledged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37,261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37,261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18,270</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18,270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interest rate of repurchase agreements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Net Asset</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22,721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122,721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Weighted average interest rate of reverse repurchase</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agreements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Pledged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25,376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25,376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interest rate of repurchase agreements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United recognized the right to reclaim cash collateral of $18.4 million and the obligation to return cash collateral of $13.8 million. At December 31, 2017, United recognized the right to reclaim cash collateral of $17.2 million and the obligation to return cash collateral of $6.37 million. The right to reclaim cash collateral and the obligation to return cash collateral were included in the consolidated balance sheets in other assets and other liabilities, respectively.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Remaining Contractual Maturity of the Agreements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Overnight and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60" w:type="dxa"/>
            <w:vAlign w:val="bottom"/>
          </w:tcPr>
          <w:p>
            <w:pPr>
              <w:spacing w:after="0"/>
              <w:rPr>
                <w:sz w:val="23"/>
                <w:szCs w:val="2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Continuous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Up to 30 Days</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30 to 90 Days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91 to 110 days</w:t>
            </w:r>
          </w:p>
        </w:tc>
        <w:tc>
          <w:tcPr>
            <w:tcW w:w="34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58"/>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5"/>
              </w:rPr>
              <w:t>Gross amount of recognized liabilities for repurchase agreements in offsetting disclosure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gridSpan w:val="5"/>
          </w:tcPr>
          <w:p>
            <w:pPr>
              <w:ind w:left="40"/>
              <w:spacing w:after="0"/>
              <w:rPr>
                <w:sz w:val="20"/>
                <w:szCs w:val="20"/>
                <w:color w:val="auto"/>
              </w:rPr>
            </w:pPr>
            <w:r>
              <w:rPr>
                <w:rFonts w:ascii="Arial" w:cs="Arial" w:eastAsia="Arial" w:hAnsi="Arial"/>
                <w:sz w:val="18"/>
                <w:szCs w:val="18"/>
                <w:color w:val="auto"/>
                <w:w w:val="95"/>
              </w:rPr>
              <w:t>Amounts related to agreements not included in offsetting disclosure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8"/>
            <w:vMerge w:val="restart"/>
          </w:tcPr>
          <w:p>
            <w:pPr>
              <w:jc w:val="center"/>
              <w:ind w:right="300"/>
              <w:spacing w:after="0"/>
              <w:rPr>
                <w:sz w:val="20"/>
                <w:szCs w:val="20"/>
                <w:color w:val="auto"/>
              </w:rPr>
            </w:pPr>
            <w:r>
              <w:rPr>
                <w:rFonts w:ascii="Arial" w:cs="Arial" w:eastAsia="Arial" w:hAnsi="Arial"/>
                <w:sz w:val="18"/>
                <w:szCs w:val="18"/>
                <w:b w:val="1"/>
                <w:bCs w:val="1"/>
                <w:color w:val="auto"/>
                <w:w w:val="91"/>
              </w:rPr>
              <w:t>Remaining Contractual Maturity of the Agreements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8"/>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Overnight and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23"/>
                <w:szCs w:val="2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Continuous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Up to 30 Days</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30 to 90 Days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91 to 110 days</w:t>
            </w:r>
          </w:p>
        </w:tc>
        <w:tc>
          <w:tcPr>
            <w:tcW w:w="34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31"/>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67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5"/>
              </w:rPr>
              <w:t>Gross amount of recognized liabilities for repurchase agreements in offsetting disclosure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52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gridSpan w:val="5"/>
          </w:tcPr>
          <w:p>
            <w:pPr>
              <w:ind w:left="40"/>
              <w:spacing w:after="0"/>
              <w:rPr>
                <w:sz w:val="20"/>
                <w:szCs w:val="20"/>
                <w:color w:val="auto"/>
              </w:rPr>
            </w:pPr>
            <w:r>
              <w:rPr>
                <w:rFonts w:ascii="Arial" w:cs="Arial" w:eastAsia="Arial" w:hAnsi="Arial"/>
                <w:sz w:val="18"/>
                <w:szCs w:val="18"/>
                <w:color w:val="auto"/>
                <w:w w:val="95"/>
              </w:rPr>
              <w:t>Amounts related to agreements not included in offsetting disclosure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64"/>
        </w:trPr>
        <w:tc>
          <w:tcPr>
            <w:tcW w:w="47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70,841</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226,444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220,622</w:t>
            </w:r>
          </w:p>
        </w:tc>
      </w:tr>
      <w:tr>
        <w:trPr>
          <w:trHeight w:val="270"/>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297,569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291,463</w:t>
            </w:r>
          </w:p>
        </w:tc>
      </w:tr>
      <w:tr>
        <w:trPr>
          <w:trHeight w:val="257"/>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73,355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249,135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247,921</w:t>
            </w: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321,094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321,276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 or U.S. government agency commercial mortgage backed securities.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318"/>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197,631</w:t>
            </w: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1,844,310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39,441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1,806,861</w:t>
            </w: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189,067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188,963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318"/>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2,581,291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2,536,294</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318"/>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26,372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197,286</w:t>
            </w: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1,738,056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17,934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1,727,211</w:t>
            </w: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237,458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318"/>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2,623,728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2,615,850</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 or U.S. government agency commercial mortgage backed securities.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$816 million and $1.04 billion were pledged to secure public deposits, derivatives and other secured borrowings at June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91"/>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6,809</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204,802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8,047</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91"/>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65,868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3,425</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318"/>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1,212,603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339,456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1,552,059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39,441</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714</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1,714,374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2,061,505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48,755</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318"/>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964,205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1,293,128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17,934</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there were 294 available-for-sale securities and 70 held-to-maturity securities that were in an unrealized loss position. United does not intend to sell nor believes it will be required to sell securities in an unrealized loss position prior to the recovery of their amortized cost basis. Unrealized losses at June 30, 2018 were primarily attributable to changes in interest rates.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agencies have occurred, and industry analysts’ reports. No impairment charges were recognized during the three and six months ended June 30, 2018 or 2017.</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six months ended June 30,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94,650</w:t>
            </w: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gains on sales</w:t>
            </w:r>
          </w:p>
        </w:tc>
        <w:tc>
          <w:tcPr>
            <w:tcW w:w="2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Gross losses on sales</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30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300" w:type="dxa"/>
            <w:vAlign w:val="bottom"/>
          </w:tcPr>
          <w:p>
            <w:pPr>
              <w:ind w:left="180"/>
              <w:spacing w:after="0"/>
              <w:rPr>
                <w:sz w:val="20"/>
                <w:szCs w:val="20"/>
                <w:color w:val="auto"/>
              </w:rPr>
            </w:pPr>
            <w:r>
              <w:rPr>
                <w:rFonts w:ascii="Arial" w:cs="Arial" w:eastAsia="Arial" w:hAnsi="Arial"/>
                <w:sz w:val="18"/>
                <w:szCs w:val="18"/>
                <w:color w:val="auto"/>
              </w:rPr>
              <w:t>Net (losses) gains on sales of securities</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1"/>
        </w:trPr>
        <w:tc>
          <w:tcPr>
            <w:tcW w:w="4300" w:type="dxa"/>
            <w:vAlign w:val="bottom"/>
            <w:tcBorders>
              <w:top w:val="single" w:sz="8" w:color="CCEEFF"/>
            </w:tcBorders>
            <w:shd w:val="clear" w:color="auto" w:fill="CCEEFF"/>
          </w:tcPr>
          <w:p>
            <w:pPr>
              <w:spacing w:after="0"/>
              <w:rPr>
                <w:sz w:val="24"/>
                <w:szCs w:val="24"/>
                <w:color w:val="auto"/>
              </w:rPr>
            </w:pPr>
          </w:p>
        </w:tc>
        <w:tc>
          <w:tcPr>
            <w:tcW w:w="26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00" w:type="dxa"/>
            <w:vAlign w:val="bottom"/>
          </w:tcPr>
          <w:p>
            <w:pPr>
              <w:ind w:left="40"/>
              <w:spacing w:after="0"/>
              <w:rPr>
                <w:sz w:val="20"/>
                <w:szCs w:val="20"/>
                <w:color w:val="auto"/>
              </w:rPr>
            </w:pPr>
            <w:r>
              <w:rPr>
                <w:rFonts w:ascii="Arial" w:cs="Arial" w:eastAsia="Arial" w:hAnsi="Arial"/>
                <w:sz w:val="18"/>
                <w:szCs w:val="18"/>
                <w:color w:val="auto"/>
              </w:rPr>
              <w:t>Income tax benefit attributable to sales</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80" w:type="dxa"/>
            <w:vAlign w:val="bottom"/>
            <w:vMerge w:val="restart"/>
          </w:tcPr>
          <w:p>
            <w:pPr>
              <w:jc w:val="right"/>
              <w:ind w:right="109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June 30, 2018,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ind w:left="760"/>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0"/>
                <w:szCs w:val="20"/>
                <w:color w:val="auto"/>
              </w:rPr>
            </w:pPr>
          </w:p>
        </w:tc>
        <w:tc>
          <w:tcPr>
            <w:tcW w:w="29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Held-to-Maturity</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74,525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122,290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26,393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10,759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43,131</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200,486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70,841</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199,303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198,165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189,067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188,963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securities other than mortgage-backed securities: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Within 1 year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326,799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323,197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10,960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286,223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284,479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43,131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1,844,310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1,806,861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226,444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220,622</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2,581,291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2,536,294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297,569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291,463</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1,923,993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1,821,384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1,595,174</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1,130,990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735,575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711,936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5,896,336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5,362,093</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973,544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707,718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731,227</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127,504</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358,185</w:t>
            </w:r>
          </w:p>
        </w:tc>
      </w:tr>
      <w:tr>
        <w:trPr>
          <w:trHeight w:val="318"/>
        </w:trPr>
        <w:tc>
          <w:tcPr>
            <w:tcW w:w="7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loans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7,735,572</w:t>
            </w:r>
          </w:p>
        </w:tc>
      </w:tr>
      <w:tr>
        <w:trPr>
          <w:trHeight w:val="324"/>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r>
      <w:tr>
        <w:trPr>
          <w:trHeight w:val="318"/>
        </w:trPr>
        <w:tc>
          <w:tcPr>
            <w:tcW w:w="7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8,159,200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7,676,658</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and December 31, 2017, loans totaling $3.95 billion and $3.73 billion, respectively, were pledged as collateral to secure Federal Home Loan Bank advances, securitized notes payable and other contingent funding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June 30, 2018, the carrying value and outstanding balance of purchased credit impaired (“PCI”) loans accounted for under ASC 310-30, </w:t>
      </w:r>
      <w:r>
        <w:rPr>
          <w:rFonts w:ascii="Arial" w:cs="Arial" w:eastAsia="Arial" w:hAnsi="Arial"/>
          <w:sz w:val="18"/>
          <w:szCs w:val="18"/>
          <w:i w:val="1"/>
          <w:iCs w:val="1"/>
          <w:color w:val="auto"/>
        </w:rPr>
        <w:t>Loans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Acquired with Deteriorated Credit Quality</w:t>
      </w:r>
      <w:r>
        <w:rPr>
          <w:rFonts w:ascii="Arial" w:cs="Arial" w:eastAsia="Arial" w:hAnsi="Arial"/>
          <w:sz w:val="18"/>
          <w:szCs w:val="18"/>
          <w:color w:val="auto"/>
        </w:rPr>
        <w:t>, were $89.8 million and $131 million, respectively. At December 31, 2017, the carrying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balance of PCI loans were $98.5 million and $142 million, respectively. The following table presents changes in the value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Additions due to acquisitions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Reclassification from nonaccretable difference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4,716</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expected cash flows that do not affect nonaccretable difference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23,406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11,365</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accretable yield on PCI loans, the fair value adjustments on purchased loans outside the scope of ASC 310-30 are also accreted to interest revenue over the life of the loans. At June 30, 2018 and December 31, 2017, the remaining accretable net fair value discount on loans acquired through a business combination and not accounted for under ASC 310-30 was $4.41 million and $14.7 million, respectively. At June 30, 2018, the net fair value discount of $4.41 million included a net premium on loans acquired with NLFC. In addition, indirect auto loans purchased at a premium outside of a business combination had a remaining premium of $5.47 million and $7.84 million, respectively, as of June 30, 2018 and December 31, 2017. During the three and six months ended June 30, 2018, United did not purchase any indirect auto loans. During the three and six months ended June 30, 2017, United purchased indirect auto loans of $40.5 million and $81.7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June 30, 2018, equipment financing assets included leases of $25.5 million. The components of the net investment in leases are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June 30,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Minimum future lease payments receivable</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residual value of leased equipment</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Initial direct costs</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Purchase accounting premium</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1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60" w:type="dxa"/>
            <w:vAlign w:val="bottom"/>
            <w:gridSpan w:val="2"/>
          </w:tcPr>
          <w:p>
            <w:pPr>
              <w:ind w:left="280"/>
              <w:spacing w:after="0"/>
              <w:rPr>
                <w:sz w:val="20"/>
                <w:szCs w:val="20"/>
                <w:color w:val="auto"/>
              </w:rPr>
            </w:pPr>
            <w:r>
              <w:rPr>
                <w:rFonts w:ascii="Arial" w:cs="Arial" w:eastAsia="Arial" w:hAnsi="Arial"/>
                <w:sz w:val="18"/>
                <w:szCs w:val="18"/>
                <w:color w:val="auto"/>
              </w:rPr>
              <w:t>Net investment in leases</w:t>
            </w: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20" w:type="dxa"/>
            <w:vAlign w:val="bottom"/>
            <w:gridSpan w:val="7"/>
          </w:tcPr>
          <w:p>
            <w:pPr>
              <w:spacing w:after="0"/>
              <w:rPr>
                <w:sz w:val="20"/>
                <w:szCs w:val="20"/>
                <w:color w:val="auto"/>
              </w:rPr>
            </w:pPr>
            <w:r>
              <w:rPr>
                <w:rFonts w:ascii="Arial" w:cs="Arial" w:eastAsia="Arial" w:hAnsi="Arial"/>
                <w:sz w:val="18"/>
                <w:szCs w:val="18"/>
                <w:color w:val="auto"/>
                <w:w w:val="97"/>
              </w:rPr>
              <w:t xml:space="preserve">Minimum future lease payments expected to be received from lease contracts as of June 30, 2018 are as follows </w:t>
            </w:r>
            <w:r>
              <w:rPr>
                <w:rFonts w:ascii="Arial" w:cs="Arial" w:eastAsia="Arial" w:hAnsi="Arial"/>
                <w:sz w:val="18"/>
                <w:szCs w:val="18"/>
                <w:i w:val="1"/>
                <w:iCs w:val="1"/>
                <w:color w:val="auto"/>
                <w:w w:val="97"/>
              </w:rPr>
              <w:t>(in thousands)</w:t>
            </w:r>
            <w:r>
              <w:rPr>
                <w:rFonts w:ascii="Arial" w:cs="Arial" w:eastAsia="Arial" w:hAnsi="Arial"/>
                <w:sz w:val="18"/>
                <w:szCs w:val="18"/>
                <w:color w:val="auto"/>
                <w:w w:val="97"/>
              </w:rPr>
              <w:t>:</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5,900</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3700"/>
              <w:spacing w:after="0"/>
              <w:rPr>
                <w:sz w:val="20"/>
                <w:szCs w:val="20"/>
                <w:color w:val="auto"/>
              </w:rPr>
            </w:pPr>
            <w:r>
              <w:rPr>
                <w:rFonts w:ascii="Arial" w:cs="Arial" w:eastAsia="Arial" w:hAnsi="Arial"/>
                <w:sz w:val="18"/>
                <w:szCs w:val="18"/>
                <w:color w:val="auto"/>
              </w:rPr>
              <w:t>2019</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9,325</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6,396</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3700"/>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3,185</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2"/>
                <w:szCs w:val="22"/>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26,396</w:t>
            </w:r>
          </w:p>
        </w:tc>
        <w:tc>
          <w:tcPr>
            <w:tcW w:w="1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3"/>
                <w:szCs w:val="13"/>
                <w:color w:val="auto"/>
              </w:rPr>
            </w:pPr>
          </w:p>
        </w:tc>
        <w:tc>
          <w:tcPr>
            <w:tcW w:w="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Charge-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3"/>
                <w:szCs w:val="13"/>
                <w:color w:val="auto"/>
              </w:rPr>
            </w:pPr>
          </w:p>
        </w:tc>
        <w:tc>
          <w:tcPr>
            <w:tcW w:w="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3"/>
                <w:szCs w:val="13"/>
                <w:color w:val="auto"/>
              </w:rPr>
            </w:pPr>
          </w:p>
        </w:tc>
        <w:tc>
          <w:tcPr>
            <w:tcW w:w="660" w:type="dxa"/>
            <w:vAlign w:val="bottom"/>
          </w:tcPr>
          <w:p>
            <w:pPr>
              <w:jc w:val="right"/>
              <w:ind w:right="109"/>
              <w:spacing w:after="0" w:line="151"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88"/>
        </w:trPr>
        <w:tc>
          <w:tcPr>
            <w:tcW w:w="1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Offs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(Release)Provision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Offs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56"/>
        </w:trPr>
        <w:tc>
          <w:tcPr>
            <w:tcW w:w="20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Owner occupied commercial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14,561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12,909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15,669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15,422</w:t>
            </w:r>
          </w:p>
        </w:tc>
        <w:tc>
          <w:tcPr>
            <w:tcW w:w="0" w:type="dxa"/>
            <w:vAlign w:val="bottom"/>
          </w:tcPr>
          <w:p>
            <w:pPr>
              <w:spacing w:after="0"/>
              <w:rPr>
                <w:sz w:val="1"/>
                <w:szCs w:val="1"/>
                <w:color w:val="auto"/>
              </w:rPr>
            </w:pPr>
          </w:p>
        </w:tc>
      </w:tr>
      <w:tr>
        <w:trPr>
          <w:trHeight w:val="163"/>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producing commercial</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9,776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9,354</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4,075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3,725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11,038</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2,291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4,932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4,530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1,418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7"/>
        </w:trPr>
        <w:tc>
          <w:tcPr>
            <w:tcW w:w="204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loan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61,085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61,071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60,543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59,500</w:t>
            </w:r>
          </w:p>
        </w:tc>
        <w:tc>
          <w:tcPr>
            <w:tcW w:w="0" w:type="dxa"/>
            <w:vAlign w:val="bottom"/>
          </w:tcPr>
          <w:p>
            <w:pPr>
              <w:spacing w:after="0"/>
              <w:rPr>
                <w:sz w:val="1"/>
                <w:szCs w:val="1"/>
                <w:color w:val="auto"/>
              </w:rPr>
            </w:pPr>
          </w:p>
        </w:tc>
      </w:tr>
      <w:tr>
        <w:trPr>
          <w:trHeight w:val="163"/>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Allowance for unfunded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137"/>
        </w:trPr>
        <w:tc>
          <w:tcPr>
            <w:tcW w:w="204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credit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63,525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1"/>
                <w:szCs w:val="11"/>
                <w:color w:val="auto"/>
              </w:rPr>
            </w:pP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63,966</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62,545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61,722</w:t>
            </w:r>
          </w:p>
        </w:tc>
        <w:tc>
          <w:tcPr>
            <w:tcW w:w="0" w:type="dxa"/>
            <w:vAlign w:val="bottom"/>
          </w:tcPr>
          <w:p>
            <w:pPr>
              <w:spacing w:after="0"/>
              <w:rPr>
                <w:sz w:val="1"/>
                <w:szCs w:val="1"/>
                <w:color w:val="auto"/>
              </w:rPr>
            </w:pPr>
          </w:p>
        </w:tc>
      </w:tr>
      <w:tr>
        <w:trPr>
          <w:trHeight w:val="186"/>
        </w:trPr>
        <w:tc>
          <w:tcPr>
            <w:tcW w:w="204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4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Beginning</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3"/>
                <w:szCs w:val="13"/>
                <w:color w:val="auto"/>
              </w:rPr>
            </w:pPr>
          </w:p>
        </w:tc>
        <w:tc>
          <w:tcPr>
            <w:tcW w:w="76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3"/>
                <w:szCs w:val="13"/>
                <w:color w:val="auto"/>
              </w:rPr>
            </w:pPr>
          </w:p>
        </w:tc>
        <w:tc>
          <w:tcPr>
            <w:tcW w:w="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3"/>
                <w:szCs w:val="13"/>
                <w:color w:val="auto"/>
              </w:rPr>
            </w:pPr>
          </w:p>
        </w:tc>
        <w:tc>
          <w:tcPr>
            <w:tcW w:w="660" w:type="dxa"/>
            <w:vAlign w:val="bottom"/>
          </w:tcPr>
          <w:p>
            <w:pPr>
              <w:jc w:val="right"/>
              <w:ind w:right="109"/>
              <w:spacing w:after="0" w:line="151"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Charge-Offs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Offs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56"/>
        </w:trPr>
        <w:tc>
          <w:tcPr>
            <w:tcW w:w="2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Owner occupied commercial real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estate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14,776</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12,909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16,446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15,422</w:t>
            </w:r>
          </w:p>
        </w:tc>
        <w:tc>
          <w:tcPr>
            <w:tcW w:w="0" w:type="dxa"/>
            <w:vAlign w:val="bottom"/>
          </w:tcPr>
          <w:p>
            <w:pPr>
              <w:spacing w:after="0"/>
              <w:rPr>
                <w:sz w:val="1"/>
                <w:szCs w:val="1"/>
                <w:color w:val="auto"/>
              </w:rPr>
            </w:pPr>
          </w:p>
        </w:tc>
      </w:tr>
      <w:tr>
        <w:trPr>
          <w:trHeight w:val="16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producing commercial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9,354</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Commercial &amp; industrial</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3,971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3,810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11,038</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Equipment financing</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5,177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4,599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1,550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7"/>
        </w:trPr>
        <w:tc>
          <w:tcPr>
            <w:tcW w:w="22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loan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58,914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61,071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61,422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59,500</w:t>
            </w:r>
          </w:p>
        </w:tc>
        <w:tc>
          <w:tcPr>
            <w:tcW w:w="0" w:type="dxa"/>
            <w:vAlign w:val="bottom"/>
          </w:tcPr>
          <w:p>
            <w:pPr>
              <w:spacing w:after="0"/>
              <w:rPr>
                <w:sz w:val="1"/>
                <w:szCs w:val="1"/>
                <w:color w:val="auto"/>
              </w:rPr>
            </w:pPr>
          </w:p>
        </w:tc>
      </w:tr>
      <w:tr>
        <w:trPr>
          <w:trHeight w:val="16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Allowance for unfunded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137"/>
        </w:trPr>
        <w:tc>
          <w:tcPr>
            <w:tcW w:w="22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credit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61,226</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(6,115)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5,600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63,966</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63,424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61,722</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Allowance for Credit 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6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PCI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PCI</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11,647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10,193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9,381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10,367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10,523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8,838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8,919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57,877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61,071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Loans Outstanding</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7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3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1,649,437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13,368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1,681,737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21,823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1,876,411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25,759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1,923,993</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1,762,960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1,821,384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1,533,851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1,595,174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1,190,900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1,193,046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1,126,894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1,130,990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725,474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735,575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699,266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452,620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464,594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14,012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995,072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11,522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1,020,606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946,210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973,544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705,591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707,718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728,235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731,227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193,156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195,580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180,978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183,019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121,737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127,504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276,060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277,275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356,789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358,185</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8,073,007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8,220,271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7,574,748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7,735,572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events and circumstances, it is probable that all amounts due according to the original contractual terms of the loan will not be collected. Management individually evaluates certain impaired loans, including all non-PCI relationships that are on nonaccrual with a balance of $500,000 or greater and all troubled debt restructurings (“TDRs”) regardless of accrual status, for impairment.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if any.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and Senior Credit Officers.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Allowance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Allowance</w:t>
            </w: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Unpaid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Loan</w:t>
            </w:r>
          </w:p>
        </w:tc>
        <w:tc>
          <w:tcPr>
            <w:tcW w:w="2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 Loan</w:t>
            </w: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Losses</w:t>
            </w:r>
          </w:p>
        </w:tc>
        <w:tc>
          <w:tcPr>
            <w:tcW w:w="2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Allocated</w:t>
            </w: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Allocated</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 no related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Total with no related allowance recorded</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3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with an allowance recorded</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w:t>
            </w: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61,366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3,256</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and December 31, 2017, $2.74 million and $3.26 million, respectively, of specific reserves were allocated to customers whose loan terms have been modified in TDRs. United committed to lend additional amounts totaling up to $75,000 as of December 31, 2017, to customers with outstanding loans classified as TDRs. As of June 30, 2018, there were no commitments to lend additional amounts to customers with outstanding loans that are classified as TDRs.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six months ended June 30, 2018 and 2017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New TDRs</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right"/>
              <w:ind w:right="157"/>
              <w:spacing w:after="0" w:line="144" w:lineRule="exact"/>
              <w:rPr>
                <w:sz w:val="20"/>
                <w:szCs w:val="20"/>
                <w:color w:val="auto"/>
              </w:rPr>
            </w:pPr>
            <w:r>
              <w:rPr>
                <w:rFonts w:ascii="Arial" w:cs="Arial" w:eastAsia="Arial" w:hAnsi="Arial"/>
                <w:sz w:val="13"/>
                <w:szCs w:val="13"/>
                <w:b w:val="1"/>
                <w:bCs w:val="1"/>
                <w:color w:val="auto"/>
              </w:rPr>
              <w:t>TDRs Modified Within the</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9"/>
              </w:rPr>
              <w:t>Pre-modification</w:t>
            </w:r>
          </w:p>
        </w:tc>
        <w:tc>
          <w:tcPr>
            <w:tcW w:w="140" w:type="dxa"/>
            <w:vAlign w:val="bottom"/>
          </w:tcPr>
          <w:p>
            <w:pPr>
              <w:spacing w:after="0"/>
              <w:rPr>
                <w:sz w:val="11"/>
                <w:szCs w:val="11"/>
                <w:color w:val="auto"/>
              </w:rPr>
            </w:pPr>
          </w:p>
        </w:tc>
        <w:tc>
          <w:tcPr>
            <w:tcW w:w="3920" w:type="dxa"/>
            <w:vAlign w:val="bottom"/>
            <w:gridSpan w:val="11"/>
          </w:tcPr>
          <w:p>
            <w:pPr>
              <w:ind w:left="120"/>
              <w:spacing w:after="0" w:line="135" w:lineRule="exact"/>
              <w:rPr>
                <w:sz w:val="20"/>
                <w:szCs w:val="20"/>
                <w:color w:val="auto"/>
              </w:rPr>
            </w:pPr>
            <w:r>
              <w:rPr>
                <w:rFonts w:ascii="Arial" w:cs="Arial" w:eastAsia="Arial" w:hAnsi="Arial"/>
                <w:sz w:val="13"/>
                <w:szCs w:val="13"/>
                <w:b w:val="1"/>
                <w:bCs w:val="1"/>
                <w:color w:val="auto"/>
                <w:w w:val="96"/>
              </w:rPr>
              <w:t>Post-Modification Outstanding Recorded Investment by Type of</w:t>
            </w:r>
          </w:p>
        </w:tc>
        <w:tc>
          <w:tcPr>
            <w:tcW w:w="1900" w:type="dxa"/>
            <w:vAlign w:val="bottom"/>
            <w:gridSpan w:val="4"/>
          </w:tcPr>
          <w:p>
            <w:pPr>
              <w:jc w:val="right"/>
              <w:ind w:right="77"/>
              <w:spacing w:after="0" w:line="135" w:lineRule="exact"/>
              <w:rPr>
                <w:sz w:val="20"/>
                <w:szCs w:val="20"/>
                <w:color w:val="auto"/>
              </w:rPr>
            </w:pPr>
            <w:r>
              <w:rPr>
                <w:rFonts w:ascii="Arial" w:cs="Arial" w:eastAsia="Arial" w:hAnsi="Arial"/>
                <w:sz w:val="13"/>
                <w:szCs w:val="13"/>
                <w:b w:val="1"/>
                <w:bCs w:val="1"/>
                <w:color w:val="auto"/>
                <w:w w:val="95"/>
              </w:rPr>
              <w:t>Previous Twelve Months That</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Modification</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5"/>
              </w:rPr>
              <w:t>Have Subsequently Defaulted</w:t>
            </w: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6"/>
              </w:rPr>
              <w:t>Outstanding</w:t>
            </w: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Recorded</w:t>
            </w:r>
          </w:p>
        </w:tc>
        <w:tc>
          <w:tcPr>
            <w:tcW w:w="140" w:type="dxa"/>
            <w:vAlign w:val="bottom"/>
          </w:tcPr>
          <w:p>
            <w:pPr>
              <w:spacing w:after="0"/>
              <w:rPr>
                <w:sz w:val="12"/>
                <w:szCs w:val="12"/>
                <w:color w:val="auto"/>
              </w:rPr>
            </w:pPr>
          </w:p>
        </w:tc>
        <w:tc>
          <w:tcPr>
            <w:tcW w:w="90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Rate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78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w w:val="89"/>
              </w:rPr>
              <w:t>Recorded</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Contracts</w:t>
            </w:r>
          </w:p>
        </w:tc>
        <w:tc>
          <w:tcPr>
            <w:tcW w:w="1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Investment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Reduction</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Structure</w:t>
            </w: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Contracts</w:t>
            </w:r>
          </w:p>
        </w:tc>
        <w:tc>
          <w:tcPr>
            <w:tcW w:w="12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Three Months Ended June 30, 2018</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900" w:type="dxa"/>
            <w:vAlign w:val="bottom"/>
            <w:tcBorders>
              <w:top w:val="single" w:sz="8" w:color="auto"/>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7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60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68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1,869</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Equipment financing</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3100" w:type="dxa"/>
            <w:vAlign w:val="bottom"/>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1,490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1,872</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Consumer direct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3100" w:type="dxa"/>
            <w:vAlign w:val="bottom"/>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2,491</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20"/>
                <w:szCs w:val="20"/>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2,398</w:t>
            </w:r>
          </w:p>
        </w:tc>
        <w:tc>
          <w:tcPr>
            <w:tcW w:w="12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Three Months Ended June 30, 2017</w:t>
            </w: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1,860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1,860</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1,860</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2,114</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483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2,773</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1,860</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226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220" w:type="dxa"/>
            <w:vAlign w:val="bottom"/>
          </w:tcPr>
          <w:p>
            <w:pPr>
              <w:ind w:left="280"/>
              <w:spacing w:after="0"/>
              <w:rPr>
                <w:sz w:val="20"/>
                <w:szCs w:val="20"/>
                <w:color w:val="auto"/>
              </w:rPr>
            </w:pPr>
            <w:r>
              <w:rPr>
                <w:rFonts w:ascii="Arial" w:cs="Arial" w:eastAsia="Arial" w:hAnsi="Arial"/>
                <w:sz w:val="13"/>
                <w:szCs w:val="13"/>
                <w:color w:val="auto"/>
              </w:rPr>
              <w:t>Total commercial</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2,139</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1,913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2,139</w:t>
            </w: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655</w:t>
            </w:r>
          </w:p>
        </w:tc>
      </w:tr>
      <w:tr>
        <w:trPr>
          <w:trHeight w:val="262"/>
        </w:trPr>
        <w:tc>
          <w:tcPr>
            <w:tcW w:w="3220" w:type="dxa"/>
            <w:vAlign w:val="bottom"/>
          </w:tcPr>
          <w:p>
            <w:pPr>
              <w:ind w:left="40"/>
              <w:spacing w:after="0"/>
              <w:rPr>
                <w:sz w:val="20"/>
                <w:szCs w:val="20"/>
                <w:color w:val="auto"/>
              </w:rPr>
            </w:pPr>
            <w:r>
              <w:rPr>
                <w:rFonts w:ascii="Arial" w:cs="Arial" w:eastAsia="Arial" w:hAnsi="Arial"/>
                <w:sz w:val="13"/>
                <w:szCs w:val="13"/>
                <w:color w:val="auto"/>
              </w:rPr>
              <w:t>Home equity lines of credit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220" w:type="dxa"/>
            <w:vAlign w:val="bottom"/>
          </w:tcPr>
          <w:p>
            <w:pPr>
              <w:ind w:left="40"/>
              <w:spacing w:after="0"/>
              <w:rPr>
                <w:sz w:val="20"/>
                <w:szCs w:val="20"/>
                <w:color w:val="auto"/>
              </w:rPr>
            </w:pPr>
            <w:r>
              <w:rPr>
                <w:rFonts w:ascii="Arial" w:cs="Arial" w:eastAsia="Arial" w:hAnsi="Arial"/>
                <w:sz w:val="13"/>
                <w:szCs w:val="13"/>
                <w:color w:val="auto"/>
              </w:rPr>
              <w:t>Consumer direct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3220" w:type="dxa"/>
            <w:vAlign w:val="bottom"/>
          </w:tcPr>
          <w:p>
            <w:pPr>
              <w:ind w:left="280"/>
              <w:spacing w:after="0"/>
              <w:rPr>
                <w:sz w:val="20"/>
                <w:szCs w:val="20"/>
                <w:color w:val="auto"/>
              </w:rPr>
            </w:pPr>
            <w:r>
              <w:rPr>
                <w:rFonts w:ascii="Arial" w:cs="Arial" w:eastAsia="Arial" w:hAnsi="Arial"/>
                <w:sz w:val="13"/>
                <w:szCs w:val="13"/>
                <w:color w:val="auto"/>
              </w:rPr>
              <w:t>Total loans</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3,317</w:t>
            </w:r>
          </w:p>
        </w:tc>
        <w:tc>
          <w:tcPr>
            <w:tcW w:w="1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2,755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3,197</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655</w:t>
            </w: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of the collateral consistent with United’s policy for nonaccrual loans.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Cash Basis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Cash Basis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During</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During</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Impairment</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Received</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Received</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97"/>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58,272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86,441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r>
      <w:tr>
        <w:trPr>
          <w:trHeight w:val="311"/>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28,589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66,675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84,176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1,961</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June 30,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$256,000 and $246,000 for the three months ended June 30, 2018 and 2017, respectively, and $599,000 and $523,000 for the six months ended June 30,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36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3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Total commercial</w:t>
            </w:r>
          </w:p>
        </w:tc>
        <w:tc>
          <w:tcPr>
            <w:tcW w:w="3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3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340" w:type="dxa"/>
            <w:vAlign w:val="bottom"/>
            <w:vMerge w:val="restart"/>
          </w:tcPr>
          <w:p>
            <w:pPr>
              <w:jc w:val="right"/>
              <w:ind w:right="1770"/>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Excluding PCI loans, substantially all loans more than 90 days past due were on nonaccrual status at June 30, 2018 and December 31, 2017. 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Loans Past Due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30 - 59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60 - 89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 Not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6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&gt; 90 Days</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1,659,987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1,681,737</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1,776,842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1,821,384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1,193,046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727,414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735,575</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464,594</w:t>
            </w: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5,803,647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5,896,336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997,646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1,020,606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702,413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707,718</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195,580</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122,756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277,275</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8,094,136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89,843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8,220,271</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Loans Past Due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30 - 59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60 - 89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 Not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&gt; 90 Days</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1,923,993</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1,546,288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1,595,174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1,130,990</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702,221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711,936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5,265,034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5,362,093</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973,544</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731,227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183,019</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127,504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358,185</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7,600,129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98,514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7,735,572</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Doubtful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Pass</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Watch</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Substandard</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250"/>
        </w:trPr>
        <w:tc>
          <w:tcPr>
            <w:tcW w:w="44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 of June 30, 2018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49"/>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1,607,152</w:t>
            </w:r>
          </w:p>
        </w:tc>
        <w:tc>
          <w:tcPr>
            <w:tcW w:w="14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21,030</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40,187</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1,668,369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1,738,757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19,989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1,779,205</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1,158,458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14,103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19,849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1,192,410</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696,187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24,575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8,240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729,002</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451,545</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452,620</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5,652,099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79,697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89,810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5,821,606</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989,403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19,681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1,009,084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699,455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6,368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705,823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192,656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194,654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121,493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121,986</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275,233</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2,042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277,275</w:t>
            </w:r>
          </w:p>
        </w:tc>
      </w:tr>
      <w:tr>
        <w:trPr>
          <w:trHeight w:val="242"/>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7,930,339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79,697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120,392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8,130,428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2,586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7,755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13,368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12,918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22,609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42,179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258</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636</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3,345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2,475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6,573</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11,154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820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11,974</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30,261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26,616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17,853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74,730</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8,167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11,522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1,334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1,895</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473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926</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697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770</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82"/>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40,932</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27,011</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21,900</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89,843</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95"/>
        </w:trPr>
        <w:tc>
          <w:tcPr>
            <w:tcW w:w="4580" w:type="dxa"/>
            <w:vAlign w:val="bottom"/>
            <w:gridSpan w:val="2"/>
          </w:tcPr>
          <w:p>
            <w:pPr>
              <w:ind w:left="280"/>
              <w:spacing w:after="0"/>
              <w:rPr>
                <w:sz w:val="20"/>
                <w:szCs w:val="20"/>
                <w:color w:val="auto"/>
              </w:rPr>
            </w:pPr>
            <w:r>
              <w:rPr>
                <w:rFonts w:ascii="Arial" w:cs="Arial" w:eastAsia="Arial" w:hAnsi="Arial"/>
                <w:sz w:val="13"/>
                <w:szCs w:val="13"/>
                <w:color w:val="auto"/>
              </w:rPr>
              <w:t>Total loan portfolio</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7,971,271</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106,708</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142,292</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8,220,271</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 of December 31, 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1,833,469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33,571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31,194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1,898,234</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1,495,805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30,780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23,749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1,550,334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1,097,907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18,052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13,589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1,129,548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693,873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2,947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6,259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703,079</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5,121,054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85,350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74,791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5,281,195</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939,706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20,697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960,403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721,142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7,194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728,336</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180,567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182,555</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125,860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126,384</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354,788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358,185</w:t>
            </w:r>
          </w:p>
        </w:tc>
      </w:tr>
      <w:tr>
        <w:trPr>
          <w:trHeight w:val="282"/>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7,443,117</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85,350</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108,591</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7,637,058</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2,400</w:t>
            </w:r>
          </w:p>
        </w:tc>
        <w:tc>
          <w:tcPr>
            <w:tcW w:w="140" w:type="dxa"/>
            <w:vAlign w:val="bottom"/>
          </w:tcPr>
          <w:p>
            <w:pPr>
              <w:spacing w:after="0"/>
              <w:rPr>
                <w:sz w:val="22"/>
                <w:szCs w:val="22"/>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8,163</w:t>
            </w:r>
          </w:p>
        </w:tc>
        <w:tc>
          <w:tcPr>
            <w:tcW w:w="10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15,196</w:t>
            </w:r>
          </w:p>
        </w:tc>
        <w:tc>
          <w:tcPr>
            <w:tcW w:w="10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25,759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13,392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21,928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9,520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44,840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383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1,442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3,866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8,857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20,041</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32,991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27,866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80,898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9,566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3,402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13,141</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1,579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2,891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423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464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1,076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1,120</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42"/>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32,685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33,601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32,228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98,514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3" w:name="page34"/>
    <w:bookmarkEnd w:id="33"/>
    <w:p>
      <w:pPr>
        <w:spacing w:after="0"/>
        <w:tabs>
          <w:tab w:leader="none" w:pos="4320" w:val="left"/>
          <w:tab w:leader="none" w:pos="4920" w:val="left"/>
          <w:tab w:leader="none" w:pos="5720" w:val="left"/>
          <w:tab w:leader="none" w:pos="6440" w:val="left"/>
          <w:tab w:leader="none" w:pos="7100" w:val="left"/>
          <w:tab w:leader="none" w:pos="7880" w:val="left"/>
          <w:tab w:leader="none" w:pos="8560" w:val="left"/>
          <w:tab w:leader="none" w:pos="9540" w:val="left"/>
          <w:tab w:leader="none" w:pos="9900" w:val="left"/>
          <w:tab w:leader="none" w:pos="105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Total loan portfolio</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7,475,802</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118,951</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140,819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7,735,572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36830</wp:posOffset>
            </wp:positionV>
            <wp:extent cx="4339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040"/>
          </w:cols>
          <w:pgMar w:left="520" w:top="364"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40"/>
          </w:cols>
          <w:pgMar w:left="520" w:top="364"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Reclassified from Accumulated Other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Details about Accumulated Other</w:t>
            </w:r>
          </w:p>
        </w:tc>
        <w:tc>
          <w:tcPr>
            <w:tcW w:w="250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Three Months Ended June 30,</w:t>
            </w:r>
          </w:p>
        </w:tc>
        <w:tc>
          <w:tcPr>
            <w:tcW w:w="2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314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5"/>
              </w:rPr>
              <w:t>Affected Line Item in the Statement</w:t>
            </w:r>
          </w:p>
        </w:tc>
        <w:tc>
          <w:tcPr>
            <w:tcW w:w="0" w:type="dxa"/>
            <w:vAlign w:val="bottom"/>
          </w:tcPr>
          <w:p>
            <w:pPr>
              <w:spacing w:after="0"/>
              <w:rPr>
                <w:sz w:val="1"/>
                <w:szCs w:val="1"/>
                <w:color w:val="auto"/>
              </w:rPr>
            </w:pPr>
          </w:p>
        </w:tc>
      </w:tr>
      <w:tr>
        <w:trPr>
          <w:trHeight w:val="27"/>
        </w:trPr>
        <w:tc>
          <w:tcPr>
            <w:tcW w:w="330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w w:val="97"/>
              </w:rPr>
              <w:t>Comprehensive Income Components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3140" w:type="dxa"/>
            <w:vAlign w:val="bottom"/>
          </w:tcPr>
          <w:p>
            <w:pPr>
              <w:ind w:left="42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Realized (losses) gains on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140" w:type="dxa"/>
            <w:vAlign w:val="bottom"/>
          </w:tcPr>
          <w:p>
            <w:pPr>
              <w:ind w:left="120"/>
              <w:spacing w:after="0"/>
              <w:rPr>
                <w:sz w:val="20"/>
                <w:szCs w:val="20"/>
                <w:color w:val="auto"/>
              </w:rPr>
            </w:pPr>
            <w:r>
              <w:rPr>
                <w:rFonts w:ascii="Arial" w:cs="Arial" w:eastAsia="Arial" w:hAnsi="Arial"/>
                <w:sz w:val="18"/>
                <w:szCs w:val="18"/>
                <w:color w:val="auto"/>
              </w:rPr>
              <w:t>Securities (losses) gains, net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97"/>
        </w:trPr>
        <w:tc>
          <w:tcPr>
            <w:tcW w:w="33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3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60" w:type="dxa"/>
            <w:vAlign w:val="bottom"/>
            <w:gridSpan w:val="12"/>
          </w:tcPr>
          <w:p>
            <w:pPr>
              <w:ind w:left="40"/>
              <w:spacing w:after="0"/>
              <w:rPr>
                <w:sz w:val="20"/>
                <w:szCs w:val="20"/>
                <w:color w:val="auto"/>
              </w:rPr>
            </w:pPr>
            <w:r>
              <w:rPr>
                <w:rFonts w:ascii="Arial" w:cs="Arial" w:eastAsia="Arial" w:hAnsi="Arial"/>
                <w:sz w:val="18"/>
                <w:szCs w:val="18"/>
                <w:color w:val="auto"/>
                <w:w w:val="94"/>
              </w:rPr>
              <w:t>Amortization of losses included in net income on available-for-sale securities transferred to held-to-maturity:</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Investment securities interest revenue</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314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160" w:type="dxa"/>
            <w:vAlign w:val="bottom"/>
            <w:gridSpan w:val="12"/>
            <w:shd w:val="clear" w:color="auto" w:fill="CCEEFF"/>
          </w:tcPr>
          <w:p>
            <w:pPr>
              <w:ind w:left="40"/>
              <w:spacing w:after="0"/>
              <w:rPr>
                <w:sz w:val="20"/>
                <w:szCs w:val="20"/>
                <w:color w:val="auto"/>
              </w:rPr>
            </w:pPr>
            <w:r>
              <w:rPr>
                <w:rFonts w:ascii="Arial" w:cs="Arial" w:eastAsia="Arial" w:hAnsi="Arial"/>
                <w:sz w:val="18"/>
                <w:szCs w:val="18"/>
                <w:color w:val="auto"/>
                <w:w w:val="94"/>
              </w:rPr>
              <w:t>Amortization of losses included in net income on derivative financial instruments accounted for as cash flow</w:t>
            </w:r>
          </w:p>
        </w:tc>
        <w:tc>
          <w:tcPr>
            <w:tcW w:w="3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hedges: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rPr>
              <w:t>Amortization of losses on de-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designated positions</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3140" w:type="dxa"/>
            <w:vAlign w:val="bottom"/>
          </w:tcPr>
          <w:p>
            <w:pPr>
              <w:ind w:left="120"/>
              <w:spacing w:after="0"/>
              <w:rPr>
                <w:sz w:val="20"/>
                <w:szCs w:val="20"/>
                <w:color w:val="auto"/>
              </w:rPr>
            </w:pPr>
            <w:r>
              <w:rPr>
                <w:rFonts w:ascii="Arial" w:cs="Arial" w:eastAsia="Arial" w:hAnsi="Arial"/>
                <w:sz w:val="18"/>
                <w:szCs w:val="18"/>
                <w:color w:val="auto"/>
                <w:w w:val="95"/>
              </w:rPr>
              <w:t>Money market deposit interest expense</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losses on de-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Home Loan Bank advances</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designated positions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314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97"/>
        </w:trPr>
        <w:tc>
          <w:tcPr>
            <w:tcW w:w="33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3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Reclassification of disproportionate tax effect related to terminated cash flow hedges: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r>
      <w:tr>
        <w:trPr>
          <w:trHeight w:val="324"/>
        </w:trPr>
        <w:tc>
          <w:tcPr>
            <w:tcW w:w="4460" w:type="dxa"/>
            <w:vAlign w:val="bottom"/>
            <w:gridSpan w:val="3"/>
          </w:tcPr>
          <w:p>
            <w:pPr>
              <w:spacing w:after="0"/>
              <w:rPr>
                <w:sz w:val="24"/>
                <w:szCs w:val="24"/>
                <w:color w:val="auto"/>
              </w:rPr>
            </w:pPr>
          </w:p>
        </w:tc>
        <w:tc>
          <w:tcPr>
            <w:tcW w:w="1240" w:type="dxa"/>
            <w:vAlign w:val="bottom"/>
            <w:gridSpan w:val="3"/>
          </w:tcPr>
          <w:p>
            <w:pPr>
              <w:spacing w:after="0"/>
              <w:rPr>
                <w:sz w:val="24"/>
                <w:szCs w:val="24"/>
                <w:color w:val="auto"/>
              </w:rPr>
            </w:pPr>
          </w:p>
        </w:tc>
        <w:tc>
          <w:tcPr>
            <w:tcW w:w="1220" w:type="dxa"/>
            <w:vAlign w:val="bottom"/>
            <w:gridSpan w:val="3"/>
          </w:tcPr>
          <w:p>
            <w:pPr>
              <w:spacing w:after="0"/>
              <w:rPr>
                <w:sz w:val="24"/>
                <w:szCs w:val="24"/>
                <w:color w:val="auto"/>
              </w:rPr>
            </w:pPr>
          </w:p>
        </w:tc>
        <w:tc>
          <w:tcPr>
            <w:tcW w:w="1240" w:type="dxa"/>
            <w:vAlign w:val="bottom"/>
            <w:gridSpan w:val="3"/>
          </w:tcPr>
          <w:p>
            <w:pPr>
              <w:spacing w:after="0"/>
              <w:rPr>
                <w:sz w:val="24"/>
                <w:szCs w:val="24"/>
                <w:color w:val="auto"/>
              </w:rPr>
            </w:pPr>
          </w:p>
        </w:tc>
        <w:tc>
          <w:tcPr>
            <w:tcW w:w="3140" w:type="dxa"/>
            <w:vAlign w:val="bottom"/>
          </w:tcPr>
          <w:p>
            <w:pPr>
              <w:spacing w:after="0"/>
              <w:rPr>
                <w:sz w:val="24"/>
                <w:szCs w:val="24"/>
                <w:color w:val="auto"/>
              </w:rPr>
            </w:pPr>
          </w:p>
        </w:tc>
      </w:tr>
      <w:tr>
        <w:trPr>
          <w:trHeight w:val="310"/>
        </w:trPr>
        <w:tc>
          <w:tcPr>
            <w:tcW w:w="8160" w:type="dxa"/>
            <w:vAlign w:val="bottom"/>
            <w:gridSpan w:val="12"/>
            <w:shd w:val="clear" w:color="auto" w:fill="CCEEFF"/>
          </w:tcPr>
          <w:p>
            <w:pPr>
              <w:ind w:left="40"/>
              <w:spacing w:after="0"/>
              <w:rPr>
                <w:sz w:val="20"/>
                <w:szCs w:val="20"/>
                <w:color w:val="auto"/>
              </w:rPr>
            </w:pPr>
            <w:r>
              <w:rPr>
                <w:rFonts w:ascii="Arial" w:cs="Arial" w:eastAsia="Arial" w:hAnsi="Arial"/>
                <w:sz w:val="18"/>
                <w:szCs w:val="18"/>
                <w:color w:val="auto"/>
                <w:w w:val="93"/>
              </w:rPr>
              <w:t>Amortization of prior service cost and actuarial losses included in net periodic pension cost for defined benefit</w:t>
            </w:r>
          </w:p>
        </w:tc>
        <w:tc>
          <w:tcPr>
            <w:tcW w:w="3140" w:type="dxa"/>
            <w:vAlign w:val="bottom"/>
            <w:shd w:val="clear" w:color="auto" w:fill="CCEEFF"/>
          </w:tcPr>
          <w:p>
            <w:pPr>
              <w:spacing w:after="0"/>
              <w:rPr>
                <w:sz w:val="24"/>
                <w:szCs w:val="24"/>
                <w:color w:val="auto"/>
              </w:rPr>
            </w:pPr>
          </w:p>
        </w:tc>
      </w:tr>
      <w:tr>
        <w:trPr>
          <w:trHeight w:val="230"/>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r>
      <w:tr>
        <w:trPr>
          <w:trHeight w:val="108"/>
        </w:trPr>
        <w:tc>
          <w:tcPr>
            <w:tcW w:w="3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140" w:type="dxa"/>
            <w:vAlign w:val="bottom"/>
            <w:shd w:val="clear" w:color="auto" w:fill="CCEEFF"/>
          </w:tcPr>
          <w:p>
            <w:pPr>
              <w:spacing w:after="0"/>
              <w:rPr>
                <w:sz w:val="9"/>
                <w:szCs w:val="9"/>
                <w:color w:val="auto"/>
              </w:rPr>
            </w:pP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3140" w:type="dxa"/>
            <w:vAlign w:val="bottom"/>
          </w:tcPr>
          <w:p>
            <w:pPr>
              <w:ind w:left="120"/>
              <w:spacing w:after="0"/>
              <w:rPr>
                <w:sz w:val="20"/>
                <w:szCs w:val="20"/>
                <w:color w:val="auto"/>
              </w:rPr>
            </w:pPr>
            <w:r>
              <w:rPr>
                <w:rFonts w:ascii="Arial" w:cs="Arial" w:eastAsia="Arial" w:hAnsi="Arial"/>
                <w:sz w:val="18"/>
                <w:szCs w:val="18"/>
                <w:color w:val="auto"/>
                <w:w w:val="92"/>
              </w:rPr>
              <w:t>Salaries and employee benefits expense</w:t>
            </w:r>
          </w:p>
        </w:tc>
      </w:tr>
      <w:tr>
        <w:trPr>
          <w:trHeight w:val="27"/>
        </w:trPr>
        <w:tc>
          <w:tcPr>
            <w:tcW w:w="3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w:t>
            </w: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Actuarial losses</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3140" w:type="dxa"/>
            <w:vAlign w:val="bottom"/>
          </w:tcPr>
          <w:p>
            <w:pPr>
              <w:ind w:left="120"/>
              <w:spacing w:after="0"/>
              <w:rPr>
                <w:sz w:val="20"/>
                <w:szCs w:val="20"/>
                <w:color w:val="auto"/>
              </w:rPr>
            </w:pPr>
            <w:r>
              <w:rPr>
                <w:rFonts w:ascii="Arial" w:cs="Arial" w:eastAsia="Arial" w:hAnsi="Arial"/>
                <w:sz w:val="18"/>
                <w:szCs w:val="18"/>
                <w:color w:val="auto"/>
                <w:w w:val="92"/>
              </w:rPr>
              <w:t>Salaries and employee benefits expense</w:t>
            </w:r>
          </w:p>
        </w:tc>
      </w:tr>
      <w:tr>
        <w:trPr>
          <w:trHeight w:val="27"/>
        </w:trPr>
        <w:tc>
          <w:tcPr>
            <w:tcW w:w="3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before tax</w:t>
            </w:r>
          </w:p>
        </w:tc>
      </w:tr>
      <w:tr>
        <w:trPr>
          <w:trHeight w:val="243"/>
        </w:trPr>
        <w:tc>
          <w:tcPr>
            <w:tcW w:w="3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3140" w:type="dxa"/>
            <w:vAlign w:val="bottom"/>
          </w:tcPr>
          <w:p>
            <w:pPr>
              <w:ind w:left="120"/>
              <w:spacing w:after="0"/>
              <w:rPr>
                <w:sz w:val="20"/>
                <w:szCs w:val="20"/>
                <w:color w:val="auto"/>
              </w:rPr>
            </w:pPr>
            <w:r>
              <w:rPr>
                <w:rFonts w:ascii="Arial" w:cs="Arial" w:eastAsia="Arial" w:hAnsi="Arial"/>
                <w:sz w:val="18"/>
                <w:szCs w:val="18"/>
                <w:color w:val="auto"/>
              </w:rPr>
              <w:t>Income tax benefit</w:t>
            </w:r>
          </w:p>
        </w:tc>
      </w:tr>
      <w:tr>
        <w:trPr>
          <w:trHeight w:val="27"/>
        </w:trPr>
        <w:tc>
          <w:tcPr>
            <w:tcW w:w="3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of tax</w:t>
            </w:r>
          </w:p>
        </w:tc>
      </w:tr>
      <w:tr>
        <w:trPr>
          <w:trHeight w:val="20"/>
        </w:trPr>
        <w:tc>
          <w:tcPr>
            <w:tcW w:w="3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1"/>
        </w:trPr>
        <w:tc>
          <w:tcPr>
            <w:tcW w:w="330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3140" w:type="dxa"/>
            <w:vAlign w:val="bottom"/>
          </w:tcPr>
          <w:p>
            <w:pPr>
              <w:ind w:left="120"/>
              <w:spacing w:after="0"/>
              <w:rPr>
                <w:sz w:val="20"/>
                <w:szCs w:val="20"/>
                <w:color w:val="auto"/>
              </w:rPr>
            </w:pPr>
            <w:r>
              <w:rPr>
                <w:rFonts w:ascii="Arial" w:cs="Arial" w:eastAsia="Arial" w:hAnsi="Arial"/>
                <w:sz w:val="18"/>
                <w:szCs w:val="18"/>
                <w:color w:val="auto"/>
              </w:rPr>
              <w:t>Net of tax</w:t>
            </w:r>
          </w:p>
        </w:tc>
      </w:tr>
      <w:tr>
        <w:trPr>
          <w:trHeight w:val="20"/>
        </w:trPr>
        <w:tc>
          <w:tcPr>
            <w:tcW w:w="3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and undistributed earnings allocated to unvested shares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51,791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71,798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79,487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71,809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51"/>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2018, United had potentially dilutive warrants outstanding to purchase 219,909 shares of common stock at $61.40 per share. At June 30, 2018, there were no shares of potentially dilutive common stock issuable upon exercise of stock options granted to employees.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United had the following potentially dilutive stock options and warrants outstanding: a warrant to purchase 219,909 shares of common stock at $61.40 per share; 63,404 shares of common stock issuable upon exercise of stock options granted to employees with a weighted average exercise price of $25.45; and 595,188 shares of common stock issuable upon the vesting of restricted stock unit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primarily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900" w:type="dxa"/>
            <w:vAlign w:val="bottom"/>
            <w:gridSpan w:val="2"/>
          </w:tcPr>
          <w:p>
            <w:pPr>
              <w:ind w:left="1020"/>
              <w:spacing w:after="0"/>
              <w:rPr>
                <w:sz w:val="20"/>
                <w:szCs w:val="20"/>
                <w:color w:val="auto"/>
              </w:rPr>
            </w:pPr>
            <w:r>
              <w:rPr>
                <w:rFonts w:ascii="Arial" w:cs="Arial" w:eastAsia="Arial" w:hAnsi="Arial"/>
                <w:sz w:val="18"/>
                <w:szCs w:val="18"/>
                <w:b w:val="1"/>
                <w:bCs w:val="1"/>
                <w:color w:val="auto"/>
              </w:rPr>
              <w:t>Interest Rate Products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hedge of corporate bonds</w:t>
            </w:r>
          </w:p>
        </w:tc>
        <w:tc>
          <w:tcPr>
            <w:tcW w:w="3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Fair value hedge of brokered CDs</w:t>
            </w:r>
          </w:p>
        </w:tc>
        <w:tc>
          <w:tcPr>
            <w:tcW w:w="3760" w:type="dxa"/>
            <w:vAlign w:val="bottom"/>
            <w:gridSpan w:val="4"/>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1480"/>
              <w:spacing w:after="0"/>
              <w:rPr>
                <w:sz w:val="20"/>
                <w:szCs w:val="20"/>
                <w:color w:val="auto"/>
              </w:rPr>
            </w:pPr>
            <w:r>
              <w:rPr>
                <w:rFonts w:ascii="Arial" w:cs="Arial" w:eastAsia="Arial" w:hAnsi="Arial"/>
                <w:sz w:val="18"/>
                <w:szCs w:val="18"/>
                <w:b w:val="1"/>
                <w:bCs w:val="1"/>
                <w:color w:val="auto"/>
              </w:rPr>
              <w:t>Interest Rate Products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ind w:left="46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derivative positions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Dealer offsets to customer derivative positions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banking - loan commitment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Mortgage banking - forward sales commitment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Bifurcated embedded derivatives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derivative positions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Dealer offsets to customer derivative positions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 participations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Mortgage banking - forward sales commitment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Dealer offsets to bifurcated embedded derivatives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De-designated hedges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2018 and December 31, 2017 United did not have any active cash flow hedges. Changes in balance sheet composition and interest rate risk position made cash flow hedges no longer necessary as protection against rising interest rates. The loss remaining in other comprehensive income from prior hedges that have been de-designated is being amortized into earnings over the original term of the swaps as the forecasted transactions that the swaps were originally designated to hedge are still expected to occur. United expects that $361,000 will be reclassified as an increase to interest expense over the next twelve months related to these cash flow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statements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89"/>
              </w:rPr>
              <w:t>Gain (Loss) Reclassified from</w:t>
            </w:r>
          </w:p>
        </w:tc>
        <w:tc>
          <w:tcPr>
            <w:tcW w:w="10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4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0"/>
              </w:rPr>
              <w:t>Accumulated Other Comprehensive</w:t>
            </w:r>
          </w:p>
        </w:tc>
        <w:tc>
          <w:tcPr>
            <w:tcW w:w="10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4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1"/>
              </w:rPr>
              <w:t>Income into Income (Effective Portion)</w:t>
            </w: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300" w:type="dxa"/>
            <w:vAlign w:val="bottom"/>
          </w:tcPr>
          <w:p>
            <w:pPr>
              <w:ind w:left="480"/>
              <w:spacing w:after="0"/>
              <w:rPr>
                <w:sz w:val="20"/>
                <w:szCs w:val="20"/>
                <w:color w:val="auto"/>
              </w:rPr>
            </w:pPr>
            <w:r>
              <w:rPr>
                <w:rFonts w:ascii="Arial" w:cs="Arial" w:eastAsia="Arial" w:hAnsi="Arial"/>
                <w:sz w:val="18"/>
                <w:szCs w:val="18"/>
                <w:b w:val="1"/>
                <w:bCs w:val="1"/>
                <w:color w:val="auto"/>
              </w:rPr>
              <w:t>Location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4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Interest expense</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Interest expense</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June 30, 2018, United had four interest rate swaps with a notional amount of $39.0 million that were designated as fair value hedges of interest rate risk and were pay-variable / receive-fixed swaps hedging the changes in the fair value of fixed-rate brokered time deposits resulting from changes in interest rates. At December 31, 2017, United had four interest rate swaps with an aggregate notional amount of $40.7 million that were designated as fair value hedges of interest rate risk and were pay-variable / receive-fixed, hedging the changes in the fair value of fixed-rate brokered time deposits resulting from changes in interest rates. Also at December 31, 2017, United had one interest rate swap with a notional value of $30 million that was designated as a pay-fixed / receive-variable fair value hedge of changes in the fair value of a fixed-rate corporate bond.</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six months ended June 30, 2018, United recognized net losses of $119,000 and $199,000 , respectively, related to ineffectiveness in the fair value hedging relationships. During the three and six months ended June 30, 2017, United recognized net losses of $327,000 and $452,000, respectively, related to ineffectiveness in the fair value hedging relationships. United also recognized a net increase in interest expense of $66,000 and $80,000, respectively, for the three and six months ended June 30, 2018, and net reductions of interest expense of $65,000 and $97,000, respectively, for the three and six months ended June 30, 2017 related to fair value hedges of brokered time deposits, which includes net settlements on the derivatives. United recognized an increase in interest revenue on securities for the six months ended June 30, 2018 of $17,000 and reductions of interest revenue on securities during the three and six months ended June 30, 2017 of $80,000 and $173,000, respectively, related to fair value hedges of corporate bonds. For the three months ended June 30, 2018, there was no impact on interest revenue on securities related to fair value hedges of corporate bonds.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Amount of Gain (Loss)</w:t>
            </w:r>
          </w:p>
        </w:tc>
        <w:tc>
          <w:tcPr>
            <w:tcW w:w="280" w:type="dxa"/>
            <w:vAlign w:val="bottom"/>
          </w:tcPr>
          <w:p>
            <w:pPr>
              <w:spacing w:after="0"/>
              <w:rPr>
                <w:sz w:val="18"/>
                <w:szCs w:val="18"/>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Recognized in Income</w:t>
            </w:r>
          </w:p>
        </w:tc>
        <w:tc>
          <w:tcPr>
            <w:tcW w:w="280" w:type="dxa"/>
            <w:vAlign w:val="bottom"/>
          </w:tcPr>
          <w:p>
            <w:pPr>
              <w:spacing w:after="0"/>
              <w:rPr>
                <w:sz w:val="18"/>
                <w:szCs w:val="18"/>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440" w:type="dxa"/>
            <w:vAlign w:val="bottom"/>
            <w:gridSpan w:val="5"/>
            <w:vMerge w:val="restart"/>
          </w:tcPr>
          <w:p>
            <w:pPr>
              <w:jc w:val="center"/>
              <w:ind w:right="360"/>
              <w:spacing w:after="0"/>
              <w:rPr>
                <w:sz w:val="20"/>
                <w:szCs w:val="20"/>
                <w:color w:val="auto"/>
              </w:rPr>
            </w:pPr>
            <w:r>
              <w:rPr>
                <w:rFonts w:ascii="Arial" w:cs="Arial" w:eastAsia="Arial" w:hAnsi="Arial"/>
                <w:sz w:val="18"/>
                <w:szCs w:val="18"/>
                <w:b w:val="1"/>
                <w:bCs w:val="1"/>
                <w:color w:val="auto"/>
                <w:w w:val="91"/>
              </w:rPr>
              <w:t>on Derivative</w:t>
            </w:r>
          </w:p>
        </w:tc>
        <w:tc>
          <w:tcPr>
            <w:tcW w:w="280" w:type="dxa"/>
            <w:vAlign w:val="bottom"/>
          </w:tcPr>
          <w:p>
            <w:pPr>
              <w:spacing w:after="0"/>
              <w:rPr>
                <w:sz w:val="5"/>
                <w:szCs w:val="5"/>
                <w:color w:val="auto"/>
              </w:rPr>
            </w:pPr>
          </w:p>
        </w:tc>
        <w:tc>
          <w:tcPr>
            <w:tcW w:w="2340" w:type="dxa"/>
            <w:vAlign w:val="bottom"/>
            <w:gridSpan w:val="4"/>
            <w:vMerge w:val="restart"/>
          </w:tcPr>
          <w:p>
            <w:pPr>
              <w:jc w:val="center"/>
              <w:ind w:right="17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262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(Loss) Recognized</w:t>
            </w:r>
          </w:p>
        </w:tc>
        <w:tc>
          <w:tcPr>
            <w:tcW w:w="2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Income on Derivative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Fair value hedges of brokered CDs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of corporate bonds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of brokered CDs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Fair value hedges of corporate bonds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30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Amount of Gain (Loss) Recognized in</w:t>
            </w: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4"/>
            <w:vMerge w:val="restart"/>
          </w:tcPr>
          <w:p>
            <w:pPr>
              <w:jc w:val="right"/>
              <w:ind w:right="590"/>
              <w:spacing w:after="0"/>
              <w:rPr>
                <w:sz w:val="20"/>
                <w:szCs w:val="20"/>
                <w:color w:val="auto"/>
              </w:rPr>
            </w:pPr>
            <w:r>
              <w:rPr>
                <w:rFonts w:ascii="Arial" w:cs="Arial" w:eastAsia="Arial" w:hAnsi="Arial"/>
                <w:sz w:val="18"/>
                <w:szCs w:val="18"/>
                <w:b w:val="1"/>
                <w:bCs w:val="1"/>
                <w:color w:val="auto"/>
              </w:rPr>
              <w:t>Income on Derivative</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2740" w:type="dxa"/>
            <w:vAlign w:val="bottom"/>
            <w:gridSpan w:val="2"/>
            <w:vMerge w:val="restart"/>
          </w:tcPr>
          <w:p>
            <w:pPr>
              <w:jc w:val="center"/>
              <w:spacing w:after="0" w:line="194" w:lineRule="exact"/>
              <w:rPr>
                <w:sz w:val="20"/>
                <w:szCs w:val="20"/>
                <w:color w:val="auto"/>
              </w:rPr>
            </w:pPr>
            <w:r>
              <w:rPr>
                <w:rFonts w:ascii="Arial" w:cs="Arial" w:eastAsia="Arial" w:hAnsi="Arial"/>
                <w:sz w:val="18"/>
                <w:szCs w:val="18"/>
                <w:b w:val="1"/>
                <w:bCs w:val="1"/>
                <w:color w:val="auto"/>
                <w:w w:val="89"/>
              </w:rPr>
              <w:t>Recognized in Income on</w:t>
            </w:r>
          </w:p>
        </w:tc>
        <w:tc>
          <w:tcPr>
            <w:tcW w:w="34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De-designated hedges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banking derivatives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Mortgage loan revenue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participations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Bifurcated embedded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De-designated hedges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banking derivatives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Mortgage loan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Risk participations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2018, collateral totaling $18.4 million was pledged toward derivatives in a liability position.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 As a result of the Dodd-Frank Wall Street Reform and Consumer Protection Act of 2010 (the “Dodd-Frank Act”), all newly eligible derivatives entered into are cleared through a central clearinghouse. Derivatives that are centrally cleared do not have credit-risk-related features that require additional collateral if our credit rating were downgraded.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June 30, 2018, incentive stock options, nonqualified stock options, restricted stock and restricted stock unit awards, base salary stock grants and performance share awards have been granted under the plan. As of June 30, 2018, 1.74 million additional awards remained available for grant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gridSpan w:val="2"/>
          </w:tcPr>
          <w:p>
            <w:pPr>
              <w:ind w:left="222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 ($000)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48,106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Exercisable at June 30, 2018</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six months ended June 30,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recognized $12,000 and $15,000 in compensation expense related to stock options during each of the six months ended June 30, 2018 and 2017, respectively. The amount of compensation expense was determined based on the fair value of the options at the time of grant, multiplied by the number of options granted that were expected to vest, which was then amortized over the vesting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six months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Average Grant-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160" w:type="dxa"/>
            <w:vAlign w:val="bottom"/>
            <w:gridSpan w:val="2"/>
          </w:tcPr>
          <w:p>
            <w:pPr>
              <w:ind w:left="1380"/>
              <w:spacing w:after="0"/>
              <w:rPr>
                <w:sz w:val="20"/>
                <w:szCs w:val="20"/>
                <w:color w:val="auto"/>
              </w:rPr>
            </w:pPr>
            <w:r>
              <w:rPr>
                <w:rFonts w:ascii="Arial" w:cs="Arial" w:eastAsia="Arial" w:hAnsi="Arial"/>
                <w:sz w:val="18"/>
                <w:szCs w:val="18"/>
                <w:b w:val="1"/>
                <w:bCs w:val="1"/>
                <w:color w:val="auto"/>
              </w:rPr>
              <w:t>Restricted Stock Unit Awards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206,123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731,724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Compensation expense for restricted stock units is based on the market value of United’s common stock on the date of grant. United recognizes the impact of forfeitures as they occur. The value of restricted stock unit awards is amortized into expense over the vesting period. For the six months ended June 30, 2018 and 2017, expense of $2.11 million and $3.02 million, respectively, was recognized related to restricted stock unit awards. Of the expense recognized related to restricted stock unit awards during the six months ended June 30, 2017, $696,000 relates to the modification of existing awards resulting from an acceleration of vesting of unvested awards due to retirement which was recognized in merger-related and other charges in the consolidated statement of income. The remaining expense of $2.33 million was recognized in compensation expense. In addition, for the six months ended June 30, 2018 and 2017, $156,000 and $113,000, respectively, was recognized in other operating expense for restricted stock unit awards granted to members of United’s board of directors.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expense for options and restricted stock of $581,000 and $1.23 million was included in the determination of income tax expense for the six months ended June 30, 2018 and 2017, respectively. As of June 30, 2018, there was $14.9 million of unrecognized expense related to non-vested stock options and restricted stock unit awards granted under the plan. That cost is expected to be recognized over a weighted-average period of 2.4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six months ended June 30, 2018 and 2017, 3,364 shares and 1,714 shares, respectively, were issued through the DRIP.</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six months of 2018 and 2017, United issued 6,489 shares and 6,855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June 30, 2018 and December 31, 2017, 616,549 and 607,869 shares of common stock, respectively, were issuable under the deferred compensation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22, 2016, United announced that its Board of Directors had authorized a program to repurchase up to $50 million of United’s outstanding common stock through December 31, 2017. In November 2017, the Board of Directors extended this program to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six months of 2018 and 2017, United did not repurchase any shares under the program. As of June 30, 2018, $36.3 million of United’s outstanding common stock may be repurchased under the program.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income tax provision for the three and six months ended June 30, 2018 was $13.5 million and $24.3 million, respectively, which represents an effective tax rate of 25.5% and 23.9%, respectively, for each period. The effective tax rate for the second quarter and first six months of 2018 reflect the lower federal income tax rate enacted in the fourth quarter of 2017 following the passage of H.R. 1, commonly known as the Tax Cuts and Jobs Act of 2017 (the “Tax Act”). The income tax provision for the second quarter of 2018 also includes $509,000 of additional tax expense resulting from the partial impairment of United’s deferred tax asset due to Georgia’s announcement that it has reduced its corporate income tax rate from 6.00% to 5.75% effective January 1, 2019. The income tax provision for the three and six months ended June 30, 2017 was $16.5 million and $35.0 million, respectively, which represents an effective tax rate of 36.9% and 40.3%, respectively, for each period.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for that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and December 31, 2017, United maintained a valuation allowance on its net deferred tax asset of $4.71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2018 that it was more likely than not that the net deferred tax asset of $77.3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 At June 30, 2018 and December 31, 2017, unrecognized income tax benefits totaled $3.39 million and $3.16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credit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recognizes servicing rights upon the sale of SBA/USDA loans sold with servicing retained. Management has elected to carry this asset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 nature of the asset, the key valuation inputs are unobservable and management classifies this asset as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United recognizes servicing rights upon the sale of residential mortgage loans sold with servicing retained. Effective January 1, 2017, management elected to carry this asset at fair value. Given the nature of the asset, the key valuation inputs are unobservable and management classifies this asset as Level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18 in the Annual Report on Form 10-K for the year ended December 31,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119,039</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25,578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25,578</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197,631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197,631</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1,806,861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1,806,861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197,175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198,165</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188,963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188,963</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34,813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34,813</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6,199</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7,509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7,509</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10,801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10,801</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15,386</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14,510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29,896</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125,238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2,466,464</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33,810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2,625,512</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6,199</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18,895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18,366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37,261</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18,895</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18,366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43,460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121,113</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26,372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26,372</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197,286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197,286</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1,727,211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1,727,211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305,453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306,353</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237,458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237,458</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26,252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26,252</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5,716</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7,740</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8,262</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10,514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12,207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22,721</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2,530,603</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29,109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2,686,541</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5,716</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16,744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25,376</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16,744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31,092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1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514"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Residential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Servicing</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Residential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rights for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mortgage</w:t>
            </w: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rights for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mortgage</w:t>
            </w:r>
          </w:p>
        </w:tc>
        <w:tc>
          <w:tcPr>
            <w:tcW w:w="140" w:type="dxa"/>
            <w:vAlign w:val="bottom"/>
          </w:tcPr>
          <w:p>
            <w:pPr>
              <w:spacing w:after="0"/>
              <w:rPr>
                <w:sz w:val="12"/>
                <w:szCs w:val="12"/>
                <w:color w:val="auto"/>
              </w:rPr>
            </w:pPr>
          </w:p>
        </w:tc>
        <w:tc>
          <w:tcPr>
            <w:tcW w:w="7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SBA/USDA</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servicing</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Available-</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SBA/USDA</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servicing</w:t>
            </w:r>
          </w:p>
        </w:tc>
        <w:tc>
          <w:tcPr>
            <w:tcW w:w="140" w:type="dxa"/>
            <w:vAlign w:val="bottom"/>
          </w:tcPr>
          <w:p>
            <w:pPr>
              <w:spacing w:after="0"/>
              <w:rPr>
                <w:sz w:val="12"/>
                <w:szCs w:val="12"/>
                <w:color w:val="auto"/>
              </w:rPr>
            </w:pP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for-Sale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rights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for-Sale</w:t>
            </w:r>
          </w:p>
        </w:tc>
        <w:tc>
          <w:tcPr>
            <w:tcW w:w="0" w:type="dxa"/>
            <w:vAlign w:val="bottom"/>
          </w:tcPr>
          <w:p>
            <w:pPr>
              <w:spacing w:after="0"/>
              <w:rPr>
                <w:sz w:val="1"/>
                <w:szCs w:val="1"/>
                <w:color w:val="auto"/>
              </w:rPr>
            </w:pPr>
          </w:p>
        </w:tc>
      </w:tr>
      <w:tr>
        <w:trPr>
          <w:trHeight w:val="250"/>
        </w:trPr>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Balance at beginning</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13,877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17,788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16,580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63"/>
        </w:trPr>
        <w:tc>
          <w:tcPr>
            <w:tcW w:w="1260" w:type="dxa"/>
            <w:vAlign w:val="bottom"/>
          </w:tcPr>
          <w:p>
            <w:pPr>
              <w:ind w:left="180"/>
              <w:spacing w:after="0"/>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Amounts included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 earnings - fair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value adjustments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60" w:type="dxa"/>
            <w:vAlign w:val="bottom"/>
          </w:tcPr>
          <w:p>
            <w:pPr>
              <w:ind w:left="40"/>
              <w:spacing w:after="0" w:line="145" w:lineRule="exact"/>
              <w:rPr>
                <w:sz w:val="20"/>
                <w:szCs w:val="20"/>
                <w:color w:val="auto"/>
              </w:rPr>
            </w:pPr>
            <w:r>
              <w:rPr>
                <w:rFonts w:ascii="Arial" w:cs="Arial" w:eastAsia="Arial" w:hAnsi="Arial"/>
                <w:sz w:val="14"/>
                <w:szCs w:val="14"/>
                <w:color w:val="auto"/>
              </w:rPr>
              <w:t>Balance at end of</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18,366</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7,509</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10,801</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990</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11,856</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16,091</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6,640</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6,499</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at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1"/>
              </w:rPr>
              <w:t>beginning of period $</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16,744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16,347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Business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combinations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from</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method to fair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1260" w:type="dxa"/>
            <w:vAlign w:val="bottom"/>
          </w:tcPr>
          <w:p>
            <w:pPr>
              <w:ind w:left="180"/>
              <w:spacing w:after="0"/>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Amounts included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 earnings - fair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value adjustments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60" w:type="dxa"/>
            <w:vAlign w:val="bottom"/>
          </w:tcPr>
          <w:p>
            <w:pPr>
              <w:ind w:left="40"/>
              <w:spacing w:after="0" w:line="145" w:lineRule="exact"/>
              <w:rPr>
                <w:sz w:val="20"/>
                <w:szCs w:val="20"/>
                <w:color w:val="auto"/>
              </w:rPr>
            </w:pPr>
            <w:r>
              <w:rPr>
                <w:rFonts w:ascii="Arial" w:cs="Arial" w:eastAsia="Arial" w:hAnsi="Arial"/>
                <w:sz w:val="14"/>
                <w:szCs w:val="14"/>
                <w:color w:val="auto"/>
              </w:rPr>
              <w:t>Balance at end of</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18,366</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7,509</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10,801</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990</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11,856</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16,091</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6,640</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6,499</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78"/>
        </w:trPr>
        <w:tc>
          <w:tcPr>
            <w:tcW w:w="1260" w:type="dxa"/>
            <w:vAlign w:val="bottom"/>
          </w:tcPr>
          <w:p>
            <w:pPr>
              <w:ind w:left="4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341"/>
        </w:trPr>
        <w:tc>
          <w:tcPr>
            <w:tcW w:w="27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Level 3 Assets and Liabilities</w:t>
            </w:r>
          </w:p>
        </w:tc>
        <w:tc>
          <w:tcPr>
            <w:tcW w:w="140" w:type="dxa"/>
            <w:vAlign w:val="bottom"/>
            <w:vMerge w:val="restart"/>
          </w:tcPr>
          <w:p>
            <w:pPr>
              <w:spacing w:after="0"/>
              <w:rPr>
                <w:sz w:val="24"/>
                <w:szCs w:val="24"/>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June 30, 2018</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vMerge w:val="restart"/>
          </w:tcPr>
          <w:p>
            <w:pPr>
              <w:spacing w:after="0"/>
              <w:rPr>
                <w:sz w:val="24"/>
                <w:szCs w:val="24"/>
                <w:color w:val="auto"/>
              </w:rPr>
            </w:pPr>
          </w:p>
        </w:tc>
        <w:tc>
          <w:tcPr>
            <w:tcW w:w="2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24"/>
                <w:szCs w:val="24"/>
                <w:color w:val="auto"/>
              </w:rPr>
            </w:pPr>
          </w:p>
        </w:tc>
        <w:tc>
          <w:tcPr>
            <w:tcW w:w="1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vMerge w:val="restart"/>
          </w:tcPr>
          <w:p>
            <w:pPr>
              <w:spacing w:after="0"/>
              <w:rPr>
                <w:sz w:val="24"/>
                <w:szCs w:val="2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Servicing rights for SBA/USDA loans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w w:val="95"/>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Prepayment rate</w:t>
            </w: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027" w:gutter="0" w:footer="0" w:header="0"/>
        </w:sectPr>
      </w:pP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Residential mortgage servicing rights</w:t>
            </w:r>
          </w:p>
        </w:tc>
        <w:tc>
          <w:tcPr>
            <w:tcW w:w="1000" w:type="dxa"/>
            <w:vAlign w:val="bottom"/>
          </w:tcPr>
          <w:p>
            <w:pPr>
              <w:jc w:val="right"/>
              <w:spacing w:after="0"/>
              <w:rPr>
                <w:sz w:val="20"/>
                <w:szCs w:val="20"/>
                <w:color w:val="auto"/>
              </w:rPr>
            </w:pPr>
            <w:r>
              <w:rPr>
                <w:rFonts w:ascii="Arial" w:cs="Arial" w:eastAsia="Arial" w:hAnsi="Arial"/>
                <w:sz w:val="14"/>
                <w:szCs w:val="14"/>
                <w:color w:val="auto"/>
              </w:rPr>
              <w:t>10,801</w:t>
            </w:r>
          </w:p>
        </w:tc>
      </w:tr>
      <w:tr>
        <w:trPr>
          <w:trHeight w:val="878"/>
        </w:trPr>
        <w:tc>
          <w:tcPr>
            <w:tcW w:w="2740" w:type="dxa"/>
            <w:vAlign w:val="bottom"/>
          </w:tcPr>
          <w:p>
            <w:pPr>
              <w:spacing w:after="0"/>
              <w:rPr>
                <w:sz w:val="20"/>
                <w:szCs w:val="20"/>
                <w:color w:val="auto"/>
              </w:rPr>
            </w:pPr>
            <w:r>
              <w:rPr>
                <w:rFonts w:ascii="Arial" w:cs="Arial" w:eastAsia="Arial" w:hAnsi="Arial"/>
                <w:sz w:val="14"/>
                <w:szCs w:val="14"/>
                <w:color w:val="auto"/>
              </w:rPr>
              <w:t>Corporate bonds</w:t>
            </w:r>
          </w:p>
        </w:tc>
        <w:tc>
          <w:tcPr>
            <w:tcW w:w="1000" w:type="dxa"/>
            <w:vAlign w:val="bottom"/>
          </w:tcPr>
          <w:p>
            <w:pPr>
              <w:jc w:val="right"/>
              <w:spacing w:after="0"/>
              <w:rPr>
                <w:sz w:val="20"/>
                <w:szCs w:val="20"/>
                <w:color w:val="auto"/>
              </w:rPr>
            </w:pPr>
            <w:r>
              <w:rPr>
                <w:rFonts w:ascii="Arial" w:cs="Arial" w:eastAsia="Arial" w:hAnsi="Arial"/>
                <w:sz w:val="14"/>
                <w:szCs w:val="14"/>
                <w:color w:val="auto"/>
              </w:rPr>
              <w:t>990</w:t>
            </w: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ind w:right="48"/>
              <w:spacing w:after="0"/>
              <w:rPr>
                <w:sz w:val="20"/>
                <w:szCs w:val="20"/>
                <w:color w:val="auto"/>
              </w:rPr>
            </w:pPr>
            <w:r>
              <w:rPr>
                <w:rFonts w:ascii="Arial" w:cs="Arial" w:eastAsia="Arial" w:hAnsi="Arial"/>
                <w:sz w:val="14"/>
                <w:szCs w:val="14"/>
                <w:color w:val="auto"/>
                <w:w w:val="85"/>
              </w:rPr>
              <w:t>8,262</w:t>
            </w:r>
          </w:p>
        </w:tc>
        <w:tc>
          <w:tcPr>
            <w:tcW w:w="1740" w:type="dxa"/>
            <w:vAlign w:val="bottom"/>
          </w:tcPr>
          <w:p>
            <w:pPr>
              <w:ind w:left="120"/>
              <w:spacing w:after="0"/>
              <w:rPr>
                <w:sz w:val="20"/>
                <w:szCs w:val="20"/>
                <w:color w:val="auto"/>
              </w:rPr>
            </w:pPr>
            <w:r>
              <w:rPr>
                <w:rFonts w:ascii="Arial" w:cs="Arial" w:eastAsia="Arial" w:hAnsi="Arial"/>
                <w:sz w:val="14"/>
                <w:szCs w:val="14"/>
                <w:color w:val="auto"/>
              </w:rPr>
              <w:t>Discounted cash flow</w:t>
            </w:r>
          </w:p>
        </w:tc>
        <w:tc>
          <w:tcPr>
            <w:tcW w:w="2060" w:type="dxa"/>
            <w:vAlign w:val="bottom"/>
          </w:tcPr>
          <w:p>
            <w:pPr>
              <w:ind w:left="80"/>
              <w:spacing w:after="0"/>
              <w:rPr>
                <w:sz w:val="20"/>
                <w:szCs w:val="20"/>
                <w:color w:val="auto"/>
              </w:rPr>
            </w:pPr>
            <w:r>
              <w:rPr>
                <w:rFonts w:ascii="Arial" w:cs="Arial" w:eastAsia="Arial" w:hAnsi="Arial"/>
                <w:sz w:val="14"/>
                <w:szCs w:val="14"/>
                <w:color w:val="auto"/>
              </w:rPr>
              <w:t>Discount rate</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60" w:type="dxa"/>
            <w:vAlign w:val="bottom"/>
          </w:tcPr>
          <w:p>
            <w:pPr>
              <w:ind w:left="80"/>
              <w:spacing w:after="0"/>
              <w:rPr>
                <w:sz w:val="20"/>
                <w:szCs w:val="20"/>
                <w:color w:val="auto"/>
              </w:rPr>
            </w:pPr>
            <w:r>
              <w:rPr>
                <w:rFonts w:ascii="Arial" w:cs="Arial" w:eastAsia="Arial" w:hAnsi="Arial"/>
                <w:sz w:val="14"/>
                <w:szCs w:val="14"/>
                <w:color w:val="auto"/>
              </w:rPr>
              <w:t>Prepayment rate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4"/>
                <w:szCs w:val="14"/>
                <w:color w:val="auto"/>
                <w:w w:val="96"/>
              </w:rPr>
              <w:t>Multiple factors, including but not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60" w:type="dxa"/>
            <w:vAlign w:val="bottom"/>
          </w:tcPr>
          <w:p>
            <w:pPr>
              <w:ind w:left="80"/>
              <w:spacing w:after="0" w:line="149" w:lineRule="exact"/>
              <w:rPr>
                <w:sz w:val="20"/>
                <w:szCs w:val="20"/>
                <w:color w:val="auto"/>
              </w:rPr>
            </w:pPr>
            <w:r>
              <w:rPr>
                <w:rFonts w:ascii="Arial" w:cs="Arial" w:eastAsia="Arial" w:hAnsi="Arial"/>
                <w:sz w:val="14"/>
                <w:szCs w:val="14"/>
                <w:color w:val="auto"/>
              </w:rPr>
              <w:t>limited to, current operations,</w:t>
            </w:r>
          </w:p>
        </w:tc>
        <w:tc>
          <w:tcPr>
            <w:tcW w:w="0" w:type="dxa"/>
            <w:vAlign w:val="bottom"/>
          </w:tcPr>
          <w:p>
            <w:pPr>
              <w:spacing w:after="0"/>
              <w:rPr>
                <w:sz w:val="1"/>
                <w:szCs w:val="1"/>
                <w:color w:val="auto"/>
              </w:rPr>
            </w:pPr>
          </w:p>
        </w:tc>
      </w:tr>
      <w:tr>
        <w:trPr>
          <w:trHeight w:val="149"/>
        </w:trPr>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900</w:t>
            </w:r>
          </w:p>
        </w:tc>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Indicative bid provided by</w:t>
            </w:r>
          </w:p>
        </w:tc>
        <w:tc>
          <w:tcPr>
            <w:tcW w:w="2060" w:type="dxa"/>
            <w:vAlign w:val="bottom"/>
          </w:tcPr>
          <w:p>
            <w:pPr>
              <w:ind w:left="80"/>
              <w:spacing w:after="0" w:line="149" w:lineRule="exact"/>
              <w:rPr>
                <w:sz w:val="20"/>
                <w:szCs w:val="20"/>
                <w:color w:val="auto"/>
              </w:rPr>
            </w:pPr>
            <w:r>
              <w:rPr>
                <w:rFonts w:ascii="Arial" w:cs="Arial" w:eastAsia="Arial" w:hAnsi="Arial"/>
                <w:sz w:val="14"/>
                <w:szCs w:val="14"/>
                <w:color w:val="auto"/>
              </w:rPr>
              <w:t>financial condition, cash flows,</w:t>
            </w:r>
          </w:p>
        </w:tc>
        <w:tc>
          <w:tcPr>
            <w:tcW w:w="0" w:type="dxa"/>
            <w:vAlign w:val="bottom"/>
          </w:tcPr>
          <w:p>
            <w:pPr>
              <w:spacing w:after="0"/>
              <w:rPr>
                <w:sz w:val="1"/>
                <w:szCs w:val="1"/>
                <w:color w:val="auto"/>
              </w:rPr>
            </w:pPr>
          </w:p>
        </w:tc>
      </w:tr>
      <w:tr>
        <w:trPr>
          <w:trHeight w:val="101"/>
        </w:trPr>
        <w:tc>
          <w:tcPr>
            <w:tcW w:w="440" w:type="dxa"/>
            <w:vAlign w:val="bottom"/>
            <w:vMerge w:val="continue"/>
          </w:tcPr>
          <w:p>
            <w:pPr>
              <w:spacing w:after="0"/>
              <w:rPr>
                <w:sz w:val="8"/>
                <w:szCs w:val="8"/>
                <w:color w:val="auto"/>
              </w:rPr>
            </w:pPr>
          </w:p>
        </w:tc>
        <w:tc>
          <w:tcPr>
            <w:tcW w:w="1740" w:type="dxa"/>
            <w:vAlign w:val="bottom"/>
            <w:vMerge w:val="restart"/>
          </w:tcPr>
          <w:p>
            <w:pPr>
              <w:ind w:left="120"/>
              <w:spacing w:after="0"/>
              <w:rPr>
                <w:sz w:val="20"/>
                <w:szCs w:val="20"/>
                <w:color w:val="auto"/>
              </w:rPr>
            </w:pPr>
            <w:r>
              <w:rPr>
                <w:rFonts w:ascii="Arial" w:cs="Arial" w:eastAsia="Arial" w:hAnsi="Arial"/>
                <w:sz w:val="14"/>
                <w:szCs w:val="14"/>
                <w:color w:val="auto"/>
              </w:rPr>
              <w:t>a broker</w:t>
            </w:r>
          </w:p>
        </w:tc>
        <w:tc>
          <w:tcPr>
            <w:tcW w:w="2060" w:type="dxa"/>
            <w:vAlign w:val="bottom"/>
            <w:vMerge w:val="restart"/>
          </w:tcPr>
          <w:p>
            <w:pPr>
              <w:ind w:left="80"/>
              <w:spacing w:after="0"/>
              <w:rPr>
                <w:sz w:val="20"/>
                <w:szCs w:val="20"/>
                <w:color w:val="auto"/>
              </w:rPr>
            </w:pPr>
            <w:r>
              <w:rPr>
                <w:rFonts w:ascii="Arial" w:cs="Arial" w:eastAsia="Arial" w:hAnsi="Arial"/>
                <w:sz w:val="14"/>
                <w:szCs w:val="14"/>
                <w:color w:val="auto"/>
                <w:w w:val="99"/>
              </w:rPr>
              <w:t>and recently executed financing</w:t>
            </w:r>
          </w:p>
        </w:tc>
        <w:tc>
          <w:tcPr>
            <w:tcW w:w="0" w:type="dxa"/>
            <w:vAlign w:val="bottom"/>
          </w:tcPr>
          <w:p>
            <w:pPr>
              <w:spacing w:after="0"/>
              <w:rPr>
                <w:sz w:val="1"/>
                <w:szCs w:val="1"/>
                <w:color w:val="auto"/>
              </w:rPr>
            </w:pPr>
          </w:p>
        </w:tc>
      </w:tr>
      <w:tr>
        <w:trPr>
          <w:trHeight w:val="59"/>
        </w:trPr>
        <w:tc>
          <w:tcPr>
            <w:tcW w:w="4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-389890</wp:posOffset>
            </wp:positionV>
            <wp:extent cx="724662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ind w:left="2260"/>
        <w:spacing w:after="0" w:line="221" w:lineRule="auto"/>
        <w:rPr>
          <w:sz w:val="20"/>
          <w:szCs w:val="20"/>
          <w:color w:val="auto"/>
        </w:rPr>
      </w:pPr>
      <w:r>
        <w:rPr>
          <w:rFonts w:ascii="Arial" w:cs="Arial" w:eastAsia="Arial" w:hAnsi="Arial"/>
          <w:sz w:val="14"/>
          <w:szCs w:val="14"/>
          <w:color w:val="auto"/>
        </w:rPr>
        <w:t>transactions related to the</w:t>
      </w:r>
    </w:p>
    <w:p>
      <w:pPr>
        <w:ind w:left="2260"/>
        <w:spacing w:after="0"/>
        <w:rPr>
          <w:sz w:val="20"/>
          <w:szCs w:val="20"/>
          <w:color w:val="auto"/>
        </w:rPr>
      </w:pPr>
      <w:r>
        <w:rPr>
          <w:rFonts w:ascii="Arial" w:cs="Arial" w:eastAsia="Arial" w:hAnsi="Arial"/>
          <w:sz w:val="14"/>
          <w:szCs w:val="14"/>
          <w:color w:val="auto"/>
        </w:rPr>
        <w:t>company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3"/>
          <w:szCs w:val="13"/>
          <w:color w:val="auto"/>
        </w:rPr>
        <w:t>10.0</w:t>
      </w:r>
    </w:p>
    <w:p>
      <w:pPr>
        <w:spacing w:after="0" w:line="109"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color w:val="auto"/>
        </w:rPr>
        <w:t>9.5</w:t>
      </w:r>
    </w:p>
    <w:p>
      <w:pPr>
        <w:spacing w:after="0" w:line="200" w:lineRule="exact"/>
        <w:rPr>
          <w:sz w:val="20"/>
          <w:szCs w:val="20"/>
          <w:color w:val="auto"/>
        </w:rPr>
      </w:pPr>
    </w:p>
    <w:p>
      <w:pPr>
        <w:spacing w:after="0" w:line="247"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color w:val="auto"/>
        </w:rPr>
        <w:t>N/A</w:t>
      </w:r>
      <w:r>
        <w:rPr>
          <w:sz w:val="20"/>
          <w:szCs w:val="20"/>
          <w:color w:val="auto"/>
        </w:rPr>
        <w:tab/>
      </w:r>
      <w:r>
        <w:rPr>
          <w:rFonts w:ascii="Arial" w:cs="Arial" w:eastAsia="Arial" w:hAnsi="Arial"/>
          <w:sz w:val="14"/>
          <w:szCs w:val="14"/>
          <w:color w:val="auto"/>
        </w:rPr>
        <w:t>N/A</w:t>
      </w:r>
    </w:p>
    <w:p>
      <w:pPr>
        <w:spacing w:after="0" w:line="590" w:lineRule="exact"/>
        <w:rPr>
          <w:sz w:val="20"/>
          <w:szCs w:val="20"/>
          <w:color w:val="auto"/>
        </w:rPr>
      </w:pPr>
    </w:p>
    <w:p>
      <w:pPr>
        <w:sectPr>
          <w:pgSz w:w="11900" w:h="16838" w:orient="portrait"/>
          <w:cols w:equalWidth="0" w:num="3">
            <w:col w:w="3960" w:space="720"/>
            <w:col w:w="4340" w:space="720"/>
            <w:col w:w="1680"/>
          </w:cols>
          <w:pgMar w:left="240" w:top="121" w:right="239" w:bottom="1027" w:gutter="0" w:footer="0" w:header="0"/>
          <w:type w:val="continuous"/>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 - mortgage</w:t>
            </w:r>
          </w:p>
        </w:tc>
        <w:tc>
          <w:tcPr>
            <w:tcW w:w="13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1,764</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1,150</w:t>
            </w:r>
          </w:p>
        </w:tc>
        <w:tc>
          <w:tcPr>
            <w:tcW w:w="1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Pull through rate</w:t>
            </w:r>
          </w:p>
        </w:tc>
        <w:tc>
          <w:tcPr>
            <w:tcW w:w="14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81.1</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80.0</w:t>
            </w:r>
          </w:p>
        </w:tc>
      </w:tr>
      <w:tr>
        <w:trPr>
          <w:trHeight w:val="218"/>
        </w:trPr>
        <w:tc>
          <w:tcPr>
            <w:tcW w:w="2880" w:type="dxa"/>
            <w:vAlign w:val="bottom"/>
          </w:tcPr>
          <w:p>
            <w:pPr>
              <w:ind w:left="40"/>
              <w:spacing w:after="0"/>
              <w:rPr>
                <w:sz w:val="20"/>
                <w:szCs w:val="20"/>
                <w:color w:val="auto"/>
              </w:rPr>
            </w:pPr>
            <w:r>
              <w:rPr>
                <w:rFonts w:ascii="Arial" w:cs="Arial" w:eastAsia="Arial" w:hAnsi="Arial"/>
                <w:sz w:val="14"/>
                <w:szCs w:val="14"/>
                <w:color w:val="auto"/>
              </w:rPr>
              <w:t>Derivative assets - other</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12,746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11,057</w:t>
            </w:r>
          </w:p>
        </w:tc>
        <w:tc>
          <w:tcPr>
            <w:tcW w:w="1400" w:type="dxa"/>
            <w:vAlign w:val="bottom"/>
          </w:tcPr>
          <w:p>
            <w:pPr>
              <w:ind w:left="120"/>
              <w:spacing w:after="0"/>
              <w:rPr>
                <w:sz w:val="20"/>
                <w:szCs w:val="20"/>
                <w:color w:val="auto"/>
              </w:rPr>
            </w:pPr>
            <w:r>
              <w:rPr>
                <w:rFonts w:ascii="Arial" w:cs="Arial" w:eastAsia="Arial" w:hAnsi="Arial"/>
                <w:sz w:val="14"/>
                <w:szCs w:val="14"/>
                <w:color w:val="auto"/>
              </w:rPr>
              <w:t>Dealer priced</w:t>
            </w:r>
          </w:p>
        </w:tc>
        <w:tc>
          <w:tcPr>
            <w:tcW w:w="2560" w:type="dxa"/>
            <w:vAlign w:val="bottom"/>
          </w:tcPr>
          <w:p>
            <w:pPr>
              <w:ind w:left="420"/>
              <w:spacing w:after="0"/>
              <w:rPr>
                <w:sz w:val="20"/>
                <w:szCs w:val="20"/>
                <w:color w:val="auto"/>
              </w:rPr>
            </w:pPr>
            <w:r>
              <w:rPr>
                <w:rFonts w:ascii="Arial" w:cs="Arial" w:eastAsia="Arial" w:hAnsi="Arial"/>
                <w:sz w:val="14"/>
                <w:szCs w:val="14"/>
                <w:color w:val="auto"/>
              </w:rPr>
              <w:t>Dealer priced</w:t>
            </w:r>
          </w:p>
        </w:tc>
        <w:tc>
          <w:tcPr>
            <w:tcW w:w="1420" w:type="dxa"/>
            <w:vAlign w:val="bottom"/>
          </w:tcPr>
          <w:p>
            <w:pPr>
              <w:jc w:val="right"/>
              <w:ind w:right="448"/>
              <w:spacing w:after="0"/>
              <w:rPr>
                <w:sz w:val="20"/>
                <w:szCs w:val="20"/>
                <w:color w:val="auto"/>
              </w:rPr>
            </w:pPr>
            <w:r>
              <w:rPr>
                <w:rFonts w:ascii="Arial" w:cs="Arial" w:eastAsia="Arial" w:hAnsi="Arial"/>
                <w:sz w:val="14"/>
                <w:szCs w:val="14"/>
                <w:color w:val="auto"/>
              </w:rPr>
              <w:t>N/A</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53"/>
        </w:trPr>
        <w:tc>
          <w:tcPr>
            <w:tcW w:w="28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liabilities - risk participations</w:t>
            </w:r>
          </w:p>
        </w:tc>
        <w:tc>
          <w:tcPr>
            <w:tcW w:w="13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Probable exposure rate</w:t>
            </w:r>
          </w:p>
        </w:tc>
        <w:tc>
          <w:tcPr>
            <w:tcW w:w="14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0.5</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r>
      <w:tr>
        <w:trPr>
          <w:trHeight w:val="218"/>
        </w:trPr>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4"/>
                <w:szCs w:val="14"/>
                <w:color w:val="auto"/>
              </w:rPr>
              <w:t>Probability of default rate</w:t>
            </w:r>
          </w:p>
        </w:tc>
        <w:tc>
          <w:tcPr>
            <w:tcW w:w="1420" w:type="dxa"/>
            <w:vAlign w:val="bottom"/>
          </w:tcPr>
          <w:p>
            <w:pPr>
              <w:jc w:val="right"/>
              <w:ind w:right="448"/>
              <w:spacing w:after="0"/>
              <w:rPr>
                <w:sz w:val="20"/>
                <w:szCs w:val="20"/>
                <w:color w:val="auto"/>
              </w:rPr>
            </w:pPr>
            <w:r>
              <w:rPr>
                <w:rFonts w:ascii="Arial" w:cs="Arial" w:eastAsia="Arial" w:hAnsi="Arial"/>
                <w:sz w:val="14"/>
                <w:szCs w:val="14"/>
                <w:color w:val="auto"/>
              </w:rPr>
              <w:t>1.8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53"/>
        </w:trPr>
        <w:tc>
          <w:tcPr>
            <w:tcW w:w="28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8"/>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 other</w:t>
            </w:r>
          </w:p>
        </w:tc>
        <w:tc>
          <w:tcPr>
            <w:tcW w:w="13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18,358</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16,724</w:t>
            </w:r>
          </w:p>
        </w:tc>
        <w:tc>
          <w:tcPr>
            <w:tcW w:w="1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Dealer priced</w:t>
            </w:r>
          </w:p>
        </w:tc>
        <w:tc>
          <w:tcPr>
            <w:tcW w:w="2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Dealer priced</w:t>
            </w:r>
          </w:p>
        </w:tc>
        <w:tc>
          <w:tcPr>
            <w:tcW w:w="14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r>
      <w:tr>
        <w:trPr>
          <w:trHeight w:val="53"/>
        </w:trPr>
        <w:tc>
          <w:tcPr>
            <w:tcW w:w="28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25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27"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027"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June 30, 2018, mortgage loans held for sale for which the fair value option was elected had an aggregate fair value and outstanding principal balance of $34.8 million and $33.7 million, respectively. At December 31, 2017, mortgage loans held for sale for which the fair value option was elected had an aggregate fair value and outstanding principal balance of $26.3 million and $25.4 million, respectively. Interest income on these loans is calculated based on the note rate of the loan and is recorded in interest revenue. During the three and six months ended June 30, 2018, changes in fair value of these loans resulted in net gains of $326,000 and $254,000, respectively. During the three and six months ended June 30, 2017, changes in fair value of these loans resulted in net gains of $192,000 and $444,000, respectively, which were recorded in mortgage loan and other related fees. These changes in fair value were mostly offset by hedging activities. An immaterial portion of these amounts was attributable to changes in instrument-specific credit risk.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June 30, 2018 and December 31, 2017,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Loans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6,570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6,905</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520"/>
              <w:spacing w:after="0"/>
              <w:rPr>
                <w:sz w:val="20"/>
                <w:szCs w:val="20"/>
                <w:color w:val="auto"/>
              </w:rPr>
            </w:pPr>
            <w:r>
              <w:rPr>
                <w:rFonts w:ascii="Arial" w:cs="Arial" w:eastAsia="Arial" w:hAnsi="Arial"/>
                <w:sz w:val="18"/>
                <w:szCs w:val="18"/>
                <w:b w:val="1"/>
                <w:bCs w:val="1"/>
                <w:color w:val="auto"/>
              </w:rPr>
              <w:t>Fair Value Level</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291,463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Loans and leases, net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8,159,200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8,132,734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8,132,734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9,966,088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9,958,439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9,958,439</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559,979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559,979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321,424</w:t>
            </w:r>
          </w:p>
        </w:tc>
      </w:tr>
      <w:tr>
        <w:trPr>
          <w:trHeight w:val="32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 held to maturity</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321,276</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7,676,658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7,674,460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7,674,460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r>
      <w:tr>
        <w:trPr>
          <w:trHeight w:val="32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9,807,697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9,809,264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9,809,264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504,460</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123,844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123,844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2,047,081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1,910,777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Letters of credit</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28,075</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June 30, 2018, the Bank had committed to fund an additional $9.16 million related to future capital calls that has not been reflected in the consolidated balance sheet.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60" w:type="dxa"/>
            <w:vAlign w:val="bottom"/>
          </w:tcPr>
          <w:p>
            <w:pPr>
              <w:spacing w:after="0"/>
              <w:rPr>
                <w:sz w:val="20"/>
                <w:szCs w:val="20"/>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Core deposit intangible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62,652</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7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(41,229)</w:t>
            </w:r>
          </w:p>
        </w:tc>
        <w:tc>
          <w:tcPr>
            <w:tcW w:w="1820" w:type="dxa"/>
            <w:vAlign w:val="bottom"/>
          </w:tcPr>
          <w:p>
            <w:pPr>
              <w:spacing w:after="0"/>
              <w:rPr>
                <w:sz w:val="21"/>
                <w:szCs w:val="2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Net core deposit intangible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21,423</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76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3,144</w:t>
            </w:r>
          </w:p>
        </w:tc>
        <w:tc>
          <w:tcPr>
            <w:tcW w:w="18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820" w:type="dxa"/>
            <w:vAlign w:val="bottom"/>
            <w:tcBorders>
              <w:bottom w:val="single" w:sz="8" w:color="CCEEFF"/>
            </w:tcBorders>
            <w:shd w:val="clear" w:color="auto" w:fill="CCEEFF"/>
          </w:tcPr>
          <w:p>
            <w:pPr>
              <w:spacing w:after="0"/>
              <w:rPr>
                <w:sz w:val="23"/>
                <w:szCs w:val="23"/>
                <w:color w:val="auto"/>
              </w:rPr>
            </w:pPr>
          </w:p>
        </w:tc>
      </w:tr>
      <w:tr>
        <w:trPr>
          <w:trHeight w:val="237"/>
        </w:trPr>
        <w:tc>
          <w:tcPr>
            <w:tcW w:w="6860" w:type="dxa"/>
            <w:vAlign w:val="bottom"/>
          </w:tcPr>
          <w:p>
            <w:pPr>
              <w:ind w:left="2000"/>
              <w:spacing w:after="0"/>
              <w:rPr>
                <w:sz w:val="20"/>
                <w:szCs w:val="20"/>
                <w:color w:val="auto"/>
              </w:rPr>
            </w:pPr>
            <w:r>
              <w:rPr>
                <w:rFonts w:ascii="Arial" w:cs="Arial" w:eastAsia="Arial" w:hAnsi="Arial"/>
                <w:sz w:val="18"/>
                <w:szCs w:val="18"/>
                <w:color w:val="auto"/>
              </w:rPr>
              <w:t>Net noncompete agreements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2,383</w:t>
            </w:r>
          </w:p>
        </w:tc>
        <w:tc>
          <w:tcPr>
            <w:tcW w:w="18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Total intangibles subject to amortization, net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23,806</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76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220,591</w:t>
            </w:r>
          </w:p>
        </w:tc>
        <w:tc>
          <w:tcPr>
            <w:tcW w:w="1820" w:type="dxa"/>
            <w:vAlign w:val="bottom"/>
          </w:tcPr>
          <w:p>
            <w:pPr>
              <w:spacing w:after="0"/>
              <w:rPr>
                <w:sz w:val="21"/>
                <w:szCs w:val="2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Total goodwill and other intangible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327,174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244,397</w:t>
            </w:r>
          </w:p>
        </w:tc>
        <w:tc>
          <w:tcPr>
            <w:tcW w:w="1820" w:type="dxa"/>
            <w:vAlign w:val="bottom"/>
            <w:tcBorders>
              <w:bottom w:val="single" w:sz="8" w:color="CCEEFF"/>
            </w:tcBorders>
            <w:shd w:val="clear" w:color="auto" w:fill="CCEEFF"/>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8"/>
          </w:tcPr>
          <w:p>
            <w:pPr>
              <w:ind w:left="72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4180" w:type="dxa"/>
            <w:vAlign w:val="bottom"/>
            <w:gridSpan w:val="7"/>
          </w:tcPr>
          <w:p>
            <w:pPr>
              <w:jc w:val="right"/>
              <w:ind w:right="87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Goodwill, net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Goodwill, net of</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Accumulated</w:t>
            </w:r>
          </w:p>
        </w:tc>
      </w:tr>
      <w:tr>
        <w:trPr>
          <w:trHeight w:val="210"/>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Goodwill</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Impairment Losses</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Impairment Losses</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Impairment Losses</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612,009</w:t>
            </w: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306,419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526,181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220,591</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 of NLFC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87,379</w:t>
            </w: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w w:val="97"/>
              </w:rPr>
              <w:t>Measurement period 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FOFN and HCSB</w:t>
            </w:r>
          </w:p>
        </w:tc>
        <w:tc>
          <w:tcPr>
            <w:tcW w:w="2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(858)</w:t>
            </w: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612,702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447,615</w:t>
            </w: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142,025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447,615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142,025</w:t>
            </w: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447,615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447,615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142,025</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estimated aggregate amortization expense for future periods for core deposit intangibles and noncompete agreements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c>
          <w:tcPr>
            <w:tcW w:w="37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380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380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4,555</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rPr>
                <w:sz w:val="22"/>
                <w:szCs w:val="22"/>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20,062</w:t>
            </w:r>
          </w:p>
        </w:tc>
        <w:tc>
          <w:tcPr>
            <w:tcW w:w="3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45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Earliest</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Call</w:t>
            </w:r>
          </w:p>
        </w:tc>
        <w:tc>
          <w:tcPr>
            <w:tcW w:w="3180" w:type="dxa"/>
            <w:vAlign w:val="bottom"/>
            <w:vMerge w:val="restart"/>
          </w:tcPr>
          <w:p>
            <w:pPr>
              <w:jc w:val="right"/>
              <w:ind w:right="112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Obligations of the Bank and its Subsidiaries:</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NER 15-1 Class C notes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Pr>
          <w:p>
            <w:pPr>
              <w:jc w:val="right"/>
              <w:ind w:right="2648"/>
              <w:spacing w:after="0"/>
              <w:rPr>
                <w:sz w:val="20"/>
                <w:szCs w:val="20"/>
                <w:color w:val="auto"/>
              </w:rPr>
            </w:pPr>
            <w:r>
              <w:rPr>
                <w:rFonts w:ascii="Arial" w:cs="Arial" w:eastAsia="Arial" w:hAnsi="Arial"/>
                <w:sz w:val="14"/>
                <w:szCs w:val="14"/>
                <w:color w:val="auto"/>
                <w:w w:val="92"/>
              </w:rPr>
              <w:t>4.500%</w:t>
            </w:r>
          </w:p>
        </w:tc>
        <w:tc>
          <w:tcPr>
            <w:tcW w:w="0" w:type="dxa"/>
            <w:vAlign w:val="bottom"/>
          </w:tcPr>
          <w:p>
            <w:pPr>
              <w:spacing w:after="0"/>
              <w:rPr>
                <w:sz w:val="1"/>
                <w:szCs w:val="1"/>
                <w:color w:val="auto"/>
              </w:rPr>
            </w:pPr>
          </w:p>
        </w:tc>
      </w:tr>
      <w:tr>
        <w:trPr>
          <w:trHeight w:val="53"/>
        </w:trPr>
        <w:tc>
          <w:tcPr>
            <w:tcW w:w="28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NER 15-1 Class D notes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Borders>
              <w:bottom w:val="single" w:sz="8" w:color="CCEEFF"/>
            </w:tcBorders>
            <w:shd w:val="clear" w:color="auto" w:fill="CCEEFF"/>
          </w:tcPr>
          <w:p>
            <w:pPr>
              <w:jc w:val="right"/>
              <w:ind w:right="2648"/>
              <w:spacing w:after="0"/>
              <w:rPr>
                <w:sz w:val="20"/>
                <w:szCs w:val="20"/>
                <w:color w:val="auto"/>
              </w:rPr>
            </w:pPr>
            <w:r>
              <w:rPr>
                <w:rFonts w:ascii="Arial" w:cs="Arial" w:eastAsia="Arial" w:hAnsi="Arial"/>
                <w:sz w:val="14"/>
                <w:szCs w:val="14"/>
                <w:color w:val="auto"/>
                <w:w w:val="92"/>
              </w:rPr>
              <w:t>5.750%</w:t>
            </w:r>
          </w:p>
        </w:tc>
        <w:tc>
          <w:tcPr>
            <w:tcW w:w="0" w:type="dxa"/>
            <w:vAlign w:val="bottom"/>
          </w:tcPr>
          <w:p>
            <w:pPr>
              <w:spacing w:after="0"/>
              <w:rPr>
                <w:sz w:val="1"/>
                <w:szCs w:val="1"/>
                <w:color w:val="auto"/>
              </w:rPr>
            </w:pPr>
          </w:p>
        </w:tc>
      </w:tr>
      <w:tr>
        <w:trPr>
          <w:trHeight w:val="218"/>
        </w:trPr>
        <w:tc>
          <w:tcPr>
            <w:tcW w:w="640" w:type="dxa"/>
            <w:vAlign w:val="bottom"/>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Pr>
          <w:p>
            <w:pPr>
              <w:ind w:left="20"/>
              <w:spacing w:after="0"/>
              <w:rPr>
                <w:sz w:val="20"/>
                <w:szCs w:val="20"/>
                <w:color w:val="auto"/>
              </w:rPr>
            </w:pPr>
            <w:r>
              <w:rPr>
                <w:rFonts w:ascii="Arial" w:cs="Arial" w:eastAsia="Arial" w:hAnsi="Arial"/>
                <w:sz w:val="14"/>
                <w:szCs w:val="14"/>
                <w:color w:val="auto"/>
              </w:rPr>
              <w:t>Class A-2 notes</w:t>
            </w:r>
          </w:p>
        </w:tc>
        <w:tc>
          <w:tcPr>
            <w:tcW w:w="10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Pr>
          <w:p>
            <w:pPr>
              <w:jc w:val="right"/>
              <w:ind w:right="2648"/>
              <w:spacing w:after="0"/>
              <w:rPr>
                <w:sz w:val="20"/>
                <w:szCs w:val="20"/>
                <w:color w:val="auto"/>
              </w:rPr>
            </w:pPr>
            <w:r>
              <w:rPr>
                <w:rFonts w:ascii="Arial" w:cs="Arial" w:eastAsia="Arial" w:hAnsi="Arial"/>
                <w:sz w:val="14"/>
                <w:szCs w:val="14"/>
                <w:color w:val="auto"/>
                <w:w w:val="92"/>
              </w:rPr>
              <w:t>2.200%</w:t>
            </w:r>
          </w:p>
        </w:tc>
        <w:tc>
          <w:tcPr>
            <w:tcW w:w="0" w:type="dxa"/>
            <w:vAlign w:val="bottom"/>
          </w:tcPr>
          <w:p>
            <w:pPr>
              <w:spacing w:after="0"/>
              <w:rPr>
                <w:sz w:val="1"/>
                <w:szCs w:val="1"/>
                <w:color w:val="auto"/>
              </w:rPr>
            </w:pPr>
          </w:p>
        </w:tc>
      </w:tr>
      <w:tr>
        <w:trPr>
          <w:trHeight w:val="53"/>
        </w:trPr>
        <w:tc>
          <w:tcPr>
            <w:tcW w:w="6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B notes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Borders>
              <w:bottom w:val="single" w:sz="8" w:color="CCEEFF"/>
            </w:tcBorders>
            <w:shd w:val="clear" w:color="auto" w:fill="CCEEFF"/>
          </w:tcPr>
          <w:p>
            <w:pPr>
              <w:jc w:val="right"/>
              <w:ind w:right="2648"/>
              <w:spacing w:after="0"/>
              <w:rPr>
                <w:sz w:val="20"/>
                <w:szCs w:val="20"/>
                <w:color w:val="auto"/>
              </w:rPr>
            </w:pPr>
            <w:r>
              <w:rPr>
                <w:rFonts w:ascii="Arial" w:cs="Arial" w:eastAsia="Arial" w:hAnsi="Arial"/>
                <w:sz w:val="14"/>
                <w:szCs w:val="14"/>
                <w:color w:val="auto"/>
                <w:w w:val="92"/>
              </w:rPr>
              <w:t>3.220%</w:t>
            </w:r>
          </w:p>
        </w:tc>
        <w:tc>
          <w:tcPr>
            <w:tcW w:w="0" w:type="dxa"/>
            <w:vAlign w:val="bottom"/>
          </w:tcPr>
          <w:p>
            <w:pPr>
              <w:spacing w:after="0"/>
              <w:rPr>
                <w:sz w:val="1"/>
                <w:szCs w:val="1"/>
                <w:color w:val="auto"/>
              </w:rPr>
            </w:pPr>
          </w:p>
        </w:tc>
      </w:tr>
      <w:tr>
        <w:trPr>
          <w:trHeight w:val="218"/>
        </w:trPr>
        <w:tc>
          <w:tcPr>
            <w:tcW w:w="640" w:type="dxa"/>
            <w:vAlign w:val="bottom"/>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Pr>
          <w:p>
            <w:pPr>
              <w:ind w:left="20"/>
              <w:spacing w:after="0"/>
              <w:rPr>
                <w:sz w:val="20"/>
                <w:szCs w:val="20"/>
                <w:color w:val="auto"/>
              </w:rPr>
            </w:pPr>
            <w:r>
              <w:rPr>
                <w:rFonts w:ascii="Arial" w:cs="Arial" w:eastAsia="Arial" w:hAnsi="Arial"/>
                <w:sz w:val="14"/>
                <w:szCs w:val="14"/>
                <w:color w:val="auto"/>
              </w:rPr>
              <w:t>Class C notes</w:t>
            </w:r>
          </w:p>
        </w:tc>
        <w:tc>
          <w:tcPr>
            <w:tcW w:w="10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Pr>
          <w:p>
            <w:pPr>
              <w:jc w:val="right"/>
              <w:ind w:right="2648"/>
              <w:spacing w:after="0"/>
              <w:rPr>
                <w:sz w:val="20"/>
                <w:szCs w:val="20"/>
                <w:color w:val="auto"/>
              </w:rPr>
            </w:pPr>
            <w:r>
              <w:rPr>
                <w:rFonts w:ascii="Arial" w:cs="Arial" w:eastAsia="Arial" w:hAnsi="Arial"/>
                <w:sz w:val="14"/>
                <w:szCs w:val="14"/>
                <w:color w:val="auto"/>
                <w:w w:val="92"/>
              </w:rPr>
              <w:t>5.050%</w:t>
            </w:r>
          </w:p>
        </w:tc>
        <w:tc>
          <w:tcPr>
            <w:tcW w:w="0" w:type="dxa"/>
            <w:vAlign w:val="bottom"/>
          </w:tcPr>
          <w:p>
            <w:pPr>
              <w:spacing w:after="0"/>
              <w:rPr>
                <w:sz w:val="1"/>
                <w:szCs w:val="1"/>
                <w:color w:val="auto"/>
              </w:rPr>
            </w:pPr>
          </w:p>
        </w:tc>
      </w:tr>
      <w:tr>
        <w:trPr>
          <w:trHeight w:val="53"/>
        </w:trPr>
        <w:tc>
          <w:tcPr>
            <w:tcW w:w="6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D notes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n/a</w:t>
            </w:r>
          </w:p>
        </w:tc>
        <w:tc>
          <w:tcPr>
            <w:tcW w:w="3180" w:type="dxa"/>
            <w:vAlign w:val="bottom"/>
            <w:tcBorders>
              <w:bottom w:val="single" w:sz="8" w:color="CCEEFF"/>
            </w:tcBorders>
            <w:shd w:val="clear" w:color="auto" w:fill="CCEEFF"/>
          </w:tcPr>
          <w:p>
            <w:pPr>
              <w:jc w:val="right"/>
              <w:ind w:right="2648"/>
              <w:spacing w:after="0"/>
              <w:rPr>
                <w:sz w:val="20"/>
                <w:szCs w:val="20"/>
                <w:color w:val="auto"/>
              </w:rPr>
            </w:pPr>
            <w:r>
              <w:rPr>
                <w:rFonts w:ascii="Arial" w:cs="Arial" w:eastAsia="Arial" w:hAnsi="Arial"/>
                <w:sz w:val="14"/>
                <w:szCs w:val="14"/>
                <w:color w:val="auto"/>
                <w:w w:val="92"/>
              </w:rPr>
              <w:t>7.870%</w:t>
            </w:r>
          </w:p>
        </w:tc>
        <w:tc>
          <w:tcPr>
            <w:tcW w:w="0" w:type="dxa"/>
            <w:vAlign w:val="bottom"/>
          </w:tcPr>
          <w:p>
            <w:pPr>
              <w:spacing w:after="0"/>
              <w:rPr>
                <w:sz w:val="1"/>
                <w:szCs w:val="1"/>
                <w:color w:val="auto"/>
              </w:rPr>
            </w:pPr>
          </w:p>
        </w:tc>
      </w:tr>
      <w:tr>
        <w:trPr>
          <w:trHeight w:val="211"/>
        </w:trPr>
        <w:tc>
          <w:tcPr>
            <w:tcW w:w="2880" w:type="dxa"/>
            <w:vAlign w:val="bottom"/>
            <w:gridSpan w:val="2"/>
          </w:tcPr>
          <w:p>
            <w:pPr>
              <w:ind w:left="180"/>
              <w:spacing w:after="0"/>
              <w:rPr>
                <w:sz w:val="20"/>
                <w:szCs w:val="20"/>
                <w:color w:val="auto"/>
              </w:rPr>
            </w:pPr>
            <w:r>
              <w:rPr>
                <w:rFonts w:ascii="Arial" w:cs="Arial" w:eastAsia="Arial" w:hAnsi="Arial"/>
                <w:sz w:val="14"/>
                <w:szCs w:val="14"/>
                <w:color w:val="auto"/>
              </w:rPr>
              <w:t>Total securitized notes payable</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89,379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6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Obligations of the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840" w:type="dxa"/>
            <w:vAlign w:val="bottom"/>
          </w:tcPr>
          <w:p>
            <w:pPr>
              <w:spacing w:after="0"/>
              <w:rPr>
                <w:sz w:val="20"/>
                <w:szCs w:val="20"/>
                <w:color w:val="auto"/>
              </w:rPr>
            </w:pPr>
            <w:r>
              <w:rPr>
                <w:rFonts w:ascii="Arial" w:cs="Arial" w:eastAsia="Arial" w:hAnsi="Arial"/>
                <w:sz w:val="14"/>
                <w:szCs w:val="14"/>
                <w:color w:val="auto"/>
              </w:rPr>
              <w:t>2022 senior debentures</w:t>
            </w:r>
          </w:p>
        </w:tc>
        <w:tc>
          <w:tcPr>
            <w:tcW w:w="2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2022</w:t>
            </w: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351"/>
        </w:trPr>
        <w:tc>
          <w:tcPr>
            <w:tcW w:w="2840" w:type="dxa"/>
            <w:vAlign w:val="bottom"/>
          </w:tcPr>
          <w:p>
            <w:pPr>
              <w:spacing w:after="0"/>
              <w:rPr>
                <w:sz w:val="20"/>
                <w:szCs w:val="20"/>
                <w:color w:val="auto"/>
              </w:rPr>
            </w:pPr>
            <w:r>
              <w:rPr>
                <w:rFonts w:ascii="Arial" w:cs="Arial" w:eastAsia="Arial" w:hAnsi="Arial"/>
                <w:sz w:val="14"/>
                <w:szCs w:val="14"/>
                <w:color w:val="auto"/>
              </w:rPr>
              <w:t>2027 senior debentures</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2027</w:t>
            </w:r>
          </w:p>
        </w:tc>
        <w:tc>
          <w:tcPr>
            <w:tcW w:w="68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9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senior debentures</w:t>
            </w: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6"/>
        </w:trPr>
        <w:tc>
          <w:tcPr>
            <w:tcW w:w="2840" w:type="dxa"/>
            <w:vAlign w:val="bottom"/>
          </w:tcPr>
          <w:p>
            <w:pPr>
              <w:spacing w:after="0"/>
              <w:rPr>
                <w:sz w:val="20"/>
                <w:szCs w:val="20"/>
                <w:color w:val="auto"/>
              </w:rPr>
            </w:pPr>
            <w:r>
              <w:rPr>
                <w:rFonts w:ascii="Arial" w:cs="Arial" w:eastAsia="Arial" w:hAnsi="Arial"/>
                <w:sz w:val="14"/>
                <w:szCs w:val="14"/>
                <w:color w:val="auto"/>
              </w:rPr>
              <w:t>2028 subordinated debentures</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2028</w:t>
            </w:r>
          </w:p>
        </w:tc>
        <w:tc>
          <w:tcPr>
            <w:tcW w:w="68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311"/>
        </w:trPr>
        <w:tc>
          <w:tcPr>
            <w:tcW w:w="2840" w:type="dxa"/>
            <w:vAlign w:val="bottom"/>
          </w:tcPr>
          <w:p>
            <w:pPr>
              <w:spacing w:after="0"/>
              <w:rPr>
                <w:sz w:val="20"/>
                <w:szCs w:val="20"/>
                <w:color w:val="auto"/>
              </w:rPr>
            </w:pPr>
            <w:r>
              <w:rPr>
                <w:rFonts w:ascii="Arial" w:cs="Arial" w:eastAsia="Arial" w:hAnsi="Arial"/>
                <w:sz w:val="14"/>
                <w:szCs w:val="14"/>
                <w:color w:val="auto"/>
              </w:rPr>
              <w:t>2025 subordinated debentures</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11,500</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2025</w:t>
            </w: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5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subordinated debentures</w:t>
            </w: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111,500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11,500</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2840" w:type="dxa"/>
            <w:vAlign w:val="bottom"/>
          </w:tcPr>
          <w:p>
            <w:pPr>
              <w:spacing w:after="0"/>
              <w:rPr>
                <w:sz w:val="20"/>
                <w:szCs w:val="20"/>
                <w:color w:val="auto"/>
              </w:rPr>
            </w:pPr>
            <w:r>
              <w:rPr>
                <w:rFonts w:ascii="Arial" w:cs="Arial" w:eastAsia="Arial" w:hAnsi="Arial"/>
                <w:sz w:val="14"/>
                <w:szCs w:val="14"/>
                <w:color w:val="auto"/>
              </w:rPr>
              <w:t>Southern Bancorp Capital Trust I</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4,382</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2004</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2034</w:t>
            </w: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United Community Statutory Trust III</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2008</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2038</w:t>
            </w: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Tidelands Statutory Trust I</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8,248</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2006</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2036</w:t>
            </w: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Tidelands Statutory Trust II</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6,186</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2008</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2038</w:t>
            </w: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Four Oaks Statutory Trust I</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2006</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2036</w:t>
            </w: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5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trust preferred securities</w:t>
            </w: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32,426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32,426</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Less discount</w:t>
            </w: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(8,381)</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140"/>
              <w:spacing w:after="0"/>
              <w:rPr>
                <w:sz w:val="20"/>
                <w:szCs w:val="20"/>
                <w:color w:val="auto"/>
              </w:rPr>
            </w:pPr>
            <w:r>
              <w:rPr>
                <w:rFonts w:ascii="Arial" w:cs="Arial" w:eastAsia="Arial" w:hAnsi="Arial"/>
                <w:sz w:val="14"/>
                <w:szCs w:val="14"/>
                <w:color w:val="auto"/>
              </w:rPr>
              <w:t>Total long-term debt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308,434</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120,545</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-2555240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5.000% through August 13, 2020, 3-month LIBOR plus 3.814% thereafter</w:t>
      </w:r>
    </w:p>
    <w:p>
      <w:pPr>
        <w:spacing w:after="0" w:line="12"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5.500% through August 13, 2025 3-month LIBOR plus 3.71% thereafter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4.500% through January 30, 2023, 3-month LIBOR plus 2.12% thereafter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6.250%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Prime + 1.00%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Prime + 3.00%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1.38%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5.075%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1.35%</w:t>
      </w:r>
    </w:p>
    <w:p>
      <w:pPr>
        <w:spacing w:after="0" w:line="1111" w:lineRule="exact"/>
        <w:rPr>
          <w:sz w:val="20"/>
          <w:szCs w:val="20"/>
          <w:color w:val="auto"/>
        </w:rPr>
      </w:pPr>
    </w:p>
    <w:p>
      <w:pPr>
        <w:sectPr>
          <w:pgSz w:w="11900" w:h="16838" w:orient="portrait"/>
          <w:cols w:equalWidth="0" w:num="2">
            <w:col w:w="7820" w:space="440"/>
            <w:col w:w="3160"/>
          </w:cols>
          <w:pgMar w:left="240" w:top="12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semiannually or quarterly for all senior and subordinated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acquired, as part of the FOFN acquisition, $11.5 million aggregate principal amount of subordinated debentures. The notes are due on November 30, 2025. United may prepay the notes at any time after November 30, 2020, subject to compliance with applicable laws. In January 2018, United issued $100 million fixed to floating rate subordinated notes due January 30, 2028. The subordinated debentures qualify as Tier 2 regulatory capital.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Securitized Notes Payable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acquired, as part of the NLFC acquisition, Navitas Equipment Receivables LLC 2015-1 (“NER 15-1”) and Navitas Equipment Receivables LLC 2016-1 (“NER 16-1”), which are bankruptcy-remote special purpose entities (“SPEs”) whose sole purpose is to receive loans to secure financings. Each of these SPEs provided financing by issuing notes to investors through a private offering of Receivable-Backed Notes under Rule 144A of the Securities and Exchange Act of 1934. These notes are collateralized by specific qualifying loans</w:t>
      </w:r>
    </w:p>
    <w:p>
      <w:pPr>
        <w:sectPr>
          <w:pgSz w:w="11900" w:h="16838" w:orient="portrait"/>
          <w:cols w:equalWidth="0" w:num="1">
            <w:col w:w="11420"/>
          </w:cols>
          <w:pgMar w:left="240" w:top="121"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1"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by cash placed in restricted cash accounts. These notes will continue amortizing sequentially based on collections on the underlying loans available to pay the note holders at each monthly payment date after payment of certain amounts as specified in the securitization documents including fees to various parties to the securitizations, interest due to the note holders and certain other payments. Sequentially, each subsequent class of note holders receive principal payments until paid down in full prior to the remaining subsequent class of note holders receiving principal payments. In addition to the pay-downs on these notes, they also have legal final maturity dates as reflected in the table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as provided in the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2018, United’s Board of Directors approved a regular quarterly cash dividend of $0.15 per common share. The dividend is payable October 5, 2018, to shareholders of record on September 15,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2017 as well as the following factors:</w:t>
      </w:r>
    </w:p>
    <w:p>
      <w:pPr>
        <w:spacing w:after="0" w:line="18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 banking system and financial markets;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deteriorating conditions in the stock market, the public debt market, and other capital markets, which could affect our ability to raise capital;</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 as well as changes in the cost and availability of funding;</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lack of geographic diversification and the success of the local economies in which we operate;</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concentrations of commercial construction and development loans and commercial real estate loans are subject to unique risks that could adversely affect our earnings;</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with respect to our ability to successfully expand and complete acquisitions and integrate businesses and operations that are acquired;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180" w:hanging="172"/>
        <w:spacing w:after="0" w:line="265"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and regulations or failures to comply with such laws and regulations, including the Dodd-Frank Wall Street Reform and Consumer Protection Act of 2010 and related regulations (the “Dodd-Frank Act”) and the Tax Cuts and Jobs Act of 2017 and related regulations (the “Tax Act”);</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 as well as the impact on regulatory capital of changing accounting standards related to the allowance for loan and lease losses and lease accounting;</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regulatory or judicial proceedings, board resolutions, informal memorandums of understanding or formal enforcement actions imposed by regulators;</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accounting and reporting policies; 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2018, United had total consolidated assets of $12.4 billion, total loans of $8.22 billion, total deposits of $9.97 billion, and shareholders’ equity of $1.38 billion.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conducts substantially all of its operations through its wholly-owned bank subsidiary, United Community Bank (the “Bank”), which as of June 30, 2018, operated at 150 locations throughout markets in Georgia, South Carolina, North Carolina, and Tennessee.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June 30, 2017 United has completed the following acquisitions (the “Acquisitions”):</w:t>
      </w:r>
    </w:p>
    <w:p>
      <w:pPr>
        <w:spacing w:after="0" w:line="383" w:lineRule="exact"/>
        <w:rPr>
          <w:sz w:val="20"/>
          <w:szCs w:val="20"/>
          <w:color w:val="auto"/>
        </w:rPr>
      </w:pPr>
    </w:p>
    <w:tbl>
      <w:tblPr>
        <w:tblLayout w:type="fixed"/>
        <w:tblInd w:w="2640" w:type="dxa"/>
        <w:tblCellMar>
          <w:top w:w="0" w:type="dxa"/>
          <w:left w:w="0" w:type="dxa"/>
          <w:bottom w:w="0" w:type="dxa"/>
          <w:right w:w="0" w:type="dxa"/>
        </w:tblCellMar>
      </w:tblPr>
      <w:tr>
        <w:trPr>
          <w:trHeight w:val="234"/>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Date Acquired</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NLFC Holdings Corp. (“NLFC”)</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1, 2018</w:t>
            </w: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Four Oaks Fincorp, Inc. (“FOFN”)</w:t>
            </w:r>
          </w:p>
        </w:tc>
        <w:tc>
          <w:tcPr>
            <w:tcW w:w="2500" w:type="dxa"/>
            <w:vAlign w:val="bottom"/>
          </w:tcPr>
          <w:p>
            <w:pPr>
              <w:ind w:left="20"/>
              <w:spacing w:after="0"/>
              <w:rPr>
                <w:sz w:val="20"/>
                <w:szCs w:val="20"/>
                <w:color w:val="auto"/>
              </w:rPr>
            </w:pPr>
            <w:r>
              <w:rPr>
                <w:rFonts w:ascii="Arial" w:cs="Arial" w:eastAsia="Arial" w:hAnsi="Arial"/>
                <w:sz w:val="18"/>
                <w:szCs w:val="18"/>
                <w:color w:val="auto"/>
              </w:rPr>
              <w:t>November 1, 2017</w:t>
            </w: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HCSB Financial Corporation (“HCSB”)</w:t>
            </w:r>
          </w:p>
        </w:tc>
        <w:tc>
          <w:tcPr>
            <w:tcW w:w="2500" w:type="dxa"/>
            <w:vAlign w:val="bottom"/>
          </w:tcPr>
          <w:p>
            <w:pPr>
              <w:ind w:left="20"/>
              <w:spacing w:after="0"/>
              <w:rPr>
                <w:sz w:val="20"/>
                <w:szCs w:val="20"/>
                <w:color w:val="auto"/>
              </w:rPr>
            </w:pPr>
            <w:r>
              <w:rPr>
                <w:rFonts w:ascii="Arial" w:cs="Arial" w:eastAsia="Arial" w:hAnsi="Arial"/>
                <w:sz w:val="18"/>
                <w:szCs w:val="18"/>
                <w:color w:val="auto"/>
              </w:rPr>
              <w:t>July 31, 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acquired entities’ results are included in United’s consolidated results beginning on the respective acquisition dates.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net income of $39.6 million, or $0.49 per diluted share, for the second quarter of 2018, compared to net income of $28.3 million, or $0.39 per diluted share, for the second quarter of 2017. For the six months ended June 30, 2018, United reported net income of $77.3 million, or $0.97 per diluted share, compared to $51.8 million, or $0.72 per diluted share for the first six months of 2017.</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revenue increased to $108 million for the second quarter of 2018, compared to $85.1 million for the second quarter of 2017, primarily due to higher loan volume, much of which resulted from the Acquisitions. Net interest margin increased to 3.90% for the three months ended June 30, 2018 from 3.47% for the same period in 2017 due to the effect of rising interest rates on floating rate loans and investment securities and a more favorable earning asset mix due to the Acquisitions. For the six months ended June 30, 2018, net interest revenue was $212 million and the net interest margin was 3.85% compared to net interest revenue of $169 million and net interest margin of 3.46% for the same period in 2017.</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was $1.80 million for the second quarter of 2018, compared to $800,000 for the second quarter of 2017. For the six months ended June 30, 2018, the provision for credit losses was $5.60 million, compared to $1.60 million for the same period in 2017. Net charge-offs for the second quarter of 2018 were $1.36 million, compared to $1.62 million for the second quarter of 2017. Since credit quality remained stable, the increase in the provision reflects growth in the loan and lease portfolio (collectively referred to as the “loan portfolio” or “loans”), including a $2.29 million increase resulting from including NLFC’s loans in the allowance for loan losses model in the first quarter of 2018. Because NLFC’s loans were recorded at a premium, the allowance for loan losses model required us to establish an allowance for loan losses sufficient to cover estimated credit losses inherent in the NLFC loan portfolio.</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2018, United’s allowance for loan losses was $61.1 million, or 0.74% of loans, compared to $58.9 million, or 0.76% of loans, at December 31, 2017 reflecting stable asset quality. Nonperforming assets of $24.4 million were 0.20% of total assets at June 30, 2018, down from 0.23% at December 31, 2017. During the second quarter of 2018, $3.61 million in loans were placed on nonaccrual compared with $8.11 million in the second quarter of 2017.</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Noninterest income of $23.3 million for the second quarter of 2018 was down $345,000, or 1%, from the second quarter of 2017. Service charges and fees decreased 18% compared to the second quarter of 2017 due mainly to the effect of the Durbin Amendment of the Dodd-Frank Act (the “Durbin Amendment”), which took effect for United in the third quarter of 2017 and limited the amount of interchange fees charged on debit card transactions. Decreases in service charges and fees were offset by increases in other noninterest income comprising of volume driven increases in miscellaneous banking fees, fee revenues from the equipment finance business, which came through acquisition of NLFC, and gains on extinguishment of debt. Mortgage fees of $5.31 million for the second quarter of 2018 increased from $4.81 million in the second quarter of 2017. The increase was due to United’s emphasis on growing its mortgage business by recruiting lenders in metropolitan markets. For the first six months of 2018, total noninterest income remained relatively consistent compared to the same period of 2017 due to the decrease in service charges and fees and increase in securities losses being offset by increases in mortgage fees and other noninterest income, including gains on derivative cancellations recognized in the first quarter.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For the second quarter of 2018, noninterest expenses of $76.9 million increased $13.6 million from the second quarter of 2017, primarily due to the addition of noninterest expenses related to the Acquisitions. Salaries and benefits expense increased $8.03 million from second quarter and $14.2 million from the first half of 2017, mostly due to the Acquisitions and investment in additional staff and new teams to expand the Commercial Banking Solutions area as well as higher incentive compensation in connection with increased lending activities and improvement in earnings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financial information determined by methods other than in accordance with GAAP. Such non-GAAP financial information includes the following measures: “tangible book value per common share,” “average tangible equity to average assets,”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“net income available to common shareholders – operating,” “diluted net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52.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and diluted earnings per common share of $39.6 million and $0.49, respectively, for the second quarter of 2018. This compared to net income and diluted earnings per common share of $28.3 million and $0.39, respectively, for the same period in 2017. For the six months ended June 30, 2018, United reported net income of $77.3 million compared to net income of $51.8 million for the same period in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reported operating net income of $42.4 million and $82.1 million, respectively, for the second quarter and first half of 2018, compared to $29.4 million and $57.6 million, respectively, for the same periods in 2017. For the second quarter and first half of 2018, operating net income excludes merger-related and branch closure charges and a deferred tax asset impairment charge resulting from Georgia lowering its corporate income tax rate, which net of tax, totaled $2.75 million and $4.77 million, respectively. For the second quarter of 2017, operating net income excludes merger-related and executive retirement charges, net of the associated income tax benefit, of $1.16 million. For the first half of 2017, operating net income excludes merger-related and executive retirement charges and the release from accumulated other comprehensive income of the disproportionate tax effect related to cash flow hedges, which, net of tax, totaled $2.45 million and $3.40 million,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4" w:name="page55"/>
    <w:bookmarkEnd w:id="5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color w:val="auto"/>
              </w:rPr>
              <w:t>UNITED COMMUNITY BANKS, INC.</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70"/>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color w:val="auto"/>
              </w:rPr>
              <w:t>Table 1 - Financial Highlights</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color w:val="auto"/>
              </w:rPr>
              <w:t>Selected Financial Information</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2018</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Second</w:t>
            </w: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w w:val="88"/>
              </w:rPr>
              <w:t>For the Six Months Ended June 30,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01"/>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2"/>
              </w:rPr>
              <w:t>Quarter 2018</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6"/>
              <w:spacing w:after="0" w:line="102" w:lineRule="exact"/>
              <w:rPr>
                <w:sz w:val="20"/>
                <w:szCs w:val="20"/>
                <w:color w:val="auto"/>
              </w:rPr>
            </w:pPr>
            <w:r>
              <w:rPr>
                <w:rFonts w:ascii="Arial" w:cs="Arial" w:eastAsia="Arial" w:hAnsi="Arial"/>
                <w:sz w:val="11"/>
                <w:szCs w:val="11"/>
                <w:b w:val="1"/>
                <w:bCs w:val="1"/>
                <w:color w:val="auto"/>
              </w:rPr>
              <w:t>YTD 2018 -</w:t>
            </w:r>
          </w:p>
        </w:tc>
      </w:tr>
      <w:tr>
        <w:trPr>
          <w:trHeight w:val="140"/>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i w:val="1"/>
                <w:iCs w:val="1"/>
                <w:color w:val="auto"/>
              </w:rPr>
              <w:t>(in thousands, except per share data)</w:t>
            </w:r>
          </w:p>
        </w:tc>
        <w:tc>
          <w:tcPr>
            <w:tcW w:w="80" w:type="dxa"/>
            <w:vAlign w:val="bottom"/>
          </w:tcPr>
          <w:p>
            <w:pPr>
              <w:spacing w:after="0"/>
              <w:rPr>
                <w:sz w:val="12"/>
                <w:szCs w:val="12"/>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87"/>
              </w:rPr>
              <w:t>Second Quarter</w:t>
            </w:r>
          </w:p>
        </w:tc>
        <w:tc>
          <w:tcPr>
            <w:tcW w:w="6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First Quarter</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Fourth Quarter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Third Quarter</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Second Quarter</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- 2017 Change</w:t>
            </w:r>
          </w:p>
        </w:tc>
        <w:tc>
          <w:tcPr>
            <w:tcW w:w="10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b w:val="1"/>
                <w:bCs w:val="1"/>
                <w:color w:val="auto"/>
              </w:rPr>
              <w:t>2017 Change</w:t>
            </w:r>
          </w:p>
        </w:tc>
      </w:tr>
      <w:tr>
        <w:trPr>
          <w:trHeight w:val="22"/>
        </w:trPr>
        <w:tc>
          <w:tcPr>
            <w:tcW w:w="3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 SUMMARY</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122,215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106,757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93,166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237,505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184,124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4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13,739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8,018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15,422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interest revenue</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108,476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97,508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85,148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211,761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168,702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26 %</w:t>
            </w:r>
          </w:p>
        </w:tc>
      </w:tr>
      <w:tr>
        <w:trPr>
          <w:trHeight w:val="248"/>
        </w:trPr>
        <w:tc>
          <w:tcPr>
            <w:tcW w:w="3180" w:type="dxa"/>
            <w:vAlign w:val="bottom"/>
            <w:gridSpan w:val="2"/>
          </w:tcPr>
          <w:p>
            <w:pPr>
              <w:ind w:left="40"/>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1,800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1,600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Noninterest income</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21,928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23,685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45,759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228"/>
        </w:trPr>
        <w:tc>
          <w:tcPr>
            <w:tcW w:w="318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130,016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121,881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118,236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109,348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108,033</w:t>
            </w:r>
          </w:p>
        </w:tc>
        <w:tc>
          <w:tcPr>
            <w:tcW w:w="120" w:type="dxa"/>
            <w:vAlign w:val="bottom"/>
          </w:tcPr>
          <w:p>
            <w:pPr>
              <w:spacing w:after="0"/>
              <w:rPr>
                <w:sz w:val="19"/>
                <w:szCs w:val="19"/>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251,897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212,861</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76,850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75,882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65,674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63,229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150,325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126,055</w:t>
            </w:r>
          </w:p>
        </w:tc>
        <w:tc>
          <w:tcPr>
            <w:tcW w:w="9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19</w:t>
            </w:r>
          </w:p>
        </w:tc>
      </w:tr>
      <w:tr>
        <w:trPr>
          <w:trHeight w:val="22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Income before income tax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53,166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48,406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42,354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43,674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44,804</w:t>
            </w:r>
          </w:p>
        </w:tc>
        <w:tc>
          <w:tcPr>
            <w:tcW w:w="120" w:type="dxa"/>
            <w:vAlign w:val="bottom"/>
          </w:tcPr>
          <w:p>
            <w:pPr>
              <w:spacing w:after="0"/>
              <w:rPr>
                <w:sz w:val="19"/>
                <w:szCs w:val="19"/>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101,572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86,806</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54,270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16,537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r>
      <w:tr>
        <w:trPr>
          <w:trHeight w:val="228"/>
        </w:trPr>
        <w:tc>
          <w:tcPr>
            <w:tcW w:w="3180" w:type="dxa"/>
            <w:vAlign w:val="bottom"/>
            <w:gridSpan w:val="2"/>
          </w:tcPr>
          <w:p>
            <w:pPr>
              <w:ind w:left="18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39,634</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37,658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(11,916)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27,946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28,267</w:t>
            </w:r>
          </w:p>
        </w:tc>
        <w:tc>
          <w:tcPr>
            <w:tcW w:w="120" w:type="dxa"/>
            <w:vAlign w:val="bottom"/>
          </w:tcPr>
          <w:p>
            <w:pPr>
              <w:spacing w:after="0"/>
              <w:rPr>
                <w:sz w:val="19"/>
                <w:szCs w:val="19"/>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77,292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51,791</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49</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Merger-related and other charges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40"/>
              <w:spacing w:after="0"/>
              <w:rPr>
                <w:sz w:val="20"/>
                <w:szCs w:val="20"/>
                <w:color w:val="auto"/>
              </w:rPr>
            </w:pPr>
            <w:r>
              <w:rPr>
                <w:rFonts w:ascii="Arial" w:cs="Arial" w:eastAsia="Arial" w:hAnsi="Arial"/>
                <w:sz w:val="11"/>
                <w:szCs w:val="11"/>
                <w:color w:val="auto"/>
              </w:rPr>
              <w:t>Income tax benefit of merger-related and other charges</w:t>
            </w:r>
          </w:p>
        </w:tc>
        <w:tc>
          <w:tcPr>
            <w:tcW w:w="80" w:type="dxa"/>
            <w:vAlign w:val="bottom"/>
          </w:tcPr>
          <w:p>
            <w:pPr>
              <w:spacing w:after="0"/>
              <w:rPr>
                <w:sz w:val="21"/>
                <w:szCs w:val="21"/>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(1,433)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9"/>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5"/>
              </w:rPr>
              <w:t>Impact of remeasurement of deferred tax asset resulting from 2017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8"/>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Tax Cuts and Jobs Act</w:t>
            </w: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38,199</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248"/>
        </w:trPr>
        <w:tc>
          <w:tcPr>
            <w:tcW w:w="3180" w:type="dxa"/>
            <w:vAlign w:val="bottom"/>
            <w:gridSpan w:val="2"/>
          </w:tcPr>
          <w:p>
            <w:pPr>
              <w:ind w:left="40"/>
              <w:spacing w:after="0"/>
              <w:rPr>
                <w:sz w:val="20"/>
                <w:szCs w:val="20"/>
                <w:color w:val="auto"/>
              </w:rPr>
            </w:pPr>
            <w:r>
              <w:rPr>
                <w:rFonts w:ascii="Arial" w:cs="Arial" w:eastAsia="Arial" w:hAnsi="Arial"/>
                <w:sz w:val="11"/>
                <w:szCs w:val="11"/>
                <w:color w:val="auto"/>
              </w:rPr>
              <w:t>Release of disproportionate tax effects lodged in OCI</w:t>
            </w:r>
          </w:p>
        </w:tc>
        <w:tc>
          <w:tcPr>
            <w:tcW w:w="80" w:type="dxa"/>
            <w:vAlign w:val="bottom"/>
          </w:tcPr>
          <w:p>
            <w:pPr>
              <w:spacing w:after="0"/>
              <w:rPr>
                <w:sz w:val="21"/>
                <w:szCs w:val="21"/>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3,400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44"/>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 xml:space="preserve">Net income - operating </w:t>
            </w:r>
            <w:r>
              <w:rPr>
                <w:rFonts w:ascii="Arial" w:cs="Arial" w:eastAsia="Arial" w:hAnsi="Arial"/>
                <w:sz w:val="8"/>
                <w:szCs w:val="8"/>
                <w:b w:val="1"/>
                <w:bCs w:val="1"/>
                <w:color w:val="auto"/>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42,386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39,676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32,476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30,219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29,422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82,062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57,642</w:t>
            </w:r>
          </w:p>
        </w:tc>
        <w:tc>
          <w:tcPr>
            <w:tcW w:w="9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42</w:t>
            </w: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PERFORMANCE MEASURES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Per common share:</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Diluted net income (loss) - GAAP</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0.72</w:t>
            </w:r>
          </w:p>
        </w:tc>
        <w:tc>
          <w:tcPr>
            <w:tcW w:w="9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35</w:t>
            </w: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Diluted net income - operating </w:t>
            </w:r>
            <w:r>
              <w:rPr>
                <w:rFonts w:ascii="Arial" w:cs="Arial" w:eastAsia="Arial" w:hAnsi="Arial"/>
                <w:sz w:val="8"/>
                <w:szCs w:val="8"/>
                <w:color w:val="auto"/>
              </w:rPr>
              <w:t>(1)</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0.53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0.41</w:t>
            </w:r>
          </w:p>
        </w:tc>
        <w:tc>
          <w:tcPr>
            <w:tcW w:w="12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0.80</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29</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Cash dividends declared</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0.18</w:t>
            </w:r>
          </w:p>
        </w:tc>
        <w:tc>
          <w:tcPr>
            <w:tcW w:w="9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50</w:t>
            </w: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Book value</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17.29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15.83</w:t>
            </w:r>
          </w:p>
        </w:tc>
        <w:tc>
          <w:tcPr>
            <w:tcW w:w="12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15.83</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Tangible book value </w:t>
            </w:r>
            <w:r>
              <w:rPr>
                <w:rFonts w:ascii="Arial" w:cs="Arial" w:eastAsia="Arial" w:hAnsi="Arial"/>
                <w:sz w:val="8"/>
                <w:szCs w:val="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13.74</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Key performance ratios:</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common equity - GAAP </w:t>
            </w:r>
            <w:r>
              <w:rPr>
                <w:rFonts w:ascii="Arial" w:cs="Arial" w:eastAsia="Arial" w:hAnsi="Arial"/>
                <w:sz w:val="8"/>
                <w:szCs w:val="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Return on common equity - operating </w:t>
            </w:r>
            <w:r>
              <w:rPr>
                <w:rFonts w:ascii="Arial" w:cs="Arial" w:eastAsia="Arial" w:hAnsi="Arial"/>
                <w:sz w:val="8"/>
                <w:szCs w:val="8"/>
                <w:color w:val="auto"/>
              </w:rPr>
              <w:t>(1)(2)(4)</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11.97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10.39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10.32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tangible common equity - operating </w:t>
            </w:r>
            <w:r>
              <w:rPr>
                <w:rFonts w:ascii="Arial" w:cs="Arial" w:eastAsia="Arial" w:hAnsi="Arial"/>
                <w:sz w:val="8"/>
                <w:szCs w:val="8"/>
                <w:color w:val="auto"/>
              </w:rPr>
              <w:t>(1)(2)(3)(4)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Return on assets - GAAP </w:t>
            </w:r>
            <w:r>
              <w:rPr>
                <w:rFonts w:ascii="Arial" w:cs="Arial" w:eastAsia="Arial" w:hAnsi="Arial"/>
                <w:sz w:val="8"/>
                <w:szCs w:val="8"/>
                <w:color w:val="auto"/>
              </w:rPr>
              <w:t>(4)</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0.98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assets - operating </w:t>
            </w:r>
            <w:r>
              <w:rPr>
                <w:rFonts w:ascii="Arial" w:cs="Arial" w:eastAsia="Arial" w:hAnsi="Arial"/>
                <w:sz w:val="8"/>
                <w:szCs w:val="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Dividend payout ratio - GAAP</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30.61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23.08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Dividend payout ratio - operating </w:t>
            </w:r>
            <w:r>
              <w:rPr>
                <w:rFonts w:ascii="Arial" w:cs="Arial" w:eastAsia="Arial" w:hAnsi="Arial"/>
                <w:sz w:val="8"/>
                <w:szCs w:val="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Net interest margin (fully taxable equivalent) </w:t>
            </w:r>
            <w:r>
              <w:rPr>
                <w:rFonts w:ascii="Arial" w:cs="Arial" w:eastAsia="Arial" w:hAnsi="Arial"/>
                <w:sz w:val="8"/>
                <w:szCs w:val="8"/>
                <w:color w:val="auto"/>
              </w:rPr>
              <w:t>(4)</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Efficiency ratio - GAAP</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58.58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Efficiency ratio - operating </w:t>
            </w:r>
            <w:r>
              <w:rPr>
                <w:rFonts w:ascii="Arial" w:cs="Arial" w:eastAsia="Arial" w:hAnsi="Arial"/>
                <w:sz w:val="8"/>
                <w:szCs w:val="8"/>
                <w:color w:val="auto"/>
              </w:rPr>
              <w:t>(1)</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55.77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56.21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56.77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Average equity to average assets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Average tangible equity to average assets </w:t>
            </w:r>
            <w:r>
              <w:rPr>
                <w:rFonts w:ascii="Arial" w:cs="Arial" w:eastAsia="Arial" w:hAnsi="Arial"/>
                <w:sz w:val="8"/>
                <w:szCs w:val="8"/>
                <w:color w:val="auto"/>
              </w:rPr>
              <w:t>(3)</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8.83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9.23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Average tangible common equity to average assets </w:t>
            </w:r>
            <w:r>
              <w:rPr>
                <w:rFonts w:ascii="Arial" w:cs="Arial" w:eastAsia="Arial" w:hAnsi="Arial"/>
                <w:sz w:val="8"/>
                <w:szCs w:val="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280"/>
              <w:spacing w:after="0"/>
              <w:rPr>
                <w:sz w:val="20"/>
                <w:szCs w:val="20"/>
                <w:color w:val="auto"/>
              </w:rPr>
            </w:pPr>
            <w:r>
              <w:rPr>
                <w:rFonts w:ascii="Arial" w:cs="Arial" w:eastAsia="Arial" w:hAnsi="Arial"/>
                <w:sz w:val="11"/>
                <w:szCs w:val="11"/>
                <w:color w:val="auto"/>
              </w:rPr>
              <w:t xml:space="preserve">Tangible common equity to risk-weighted assets </w:t>
            </w:r>
            <w:r>
              <w:rPr>
                <w:rFonts w:ascii="Arial" w:cs="Arial" w:eastAsia="Arial" w:hAnsi="Arial"/>
                <w:sz w:val="8"/>
                <w:szCs w:val="8"/>
                <w:color w:val="auto"/>
              </w:rPr>
              <w:t>(3)</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11.36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12.44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12.44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48"/>
        </w:trPr>
        <w:tc>
          <w:tcPr>
            <w:tcW w:w="3180" w:type="dxa"/>
            <w:vAlign w:val="bottom"/>
            <w:gridSpan w:val="2"/>
          </w:tcPr>
          <w:p>
            <w:pPr>
              <w:ind w:left="40"/>
              <w:spacing w:after="0"/>
              <w:rPr>
                <w:sz w:val="20"/>
                <w:szCs w:val="20"/>
                <w:color w:val="auto"/>
              </w:rPr>
            </w:pPr>
            <w:r>
              <w:rPr>
                <w:rFonts w:ascii="Arial" w:cs="Arial" w:eastAsia="Arial" w:hAnsi="Arial"/>
                <w:sz w:val="11"/>
                <w:szCs w:val="11"/>
                <w:b w:val="1"/>
                <w:bCs w:val="1"/>
                <w:color w:val="auto"/>
              </w:rPr>
              <w:t>ASSET QUALITY</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Nonperforming loans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23,658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23,095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23,095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Foreclosed properties</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2,597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2,739</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2,739</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0"/>
        </w:trPr>
        <w:tc>
          <w:tcPr>
            <w:tcW w:w="3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Total nonperforming assets (NPAs)</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24,414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26,892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25,834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25,834</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Allowance for loan losses</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61,071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61,085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58,914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58,605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59,500</w:t>
            </w:r>
          </w:p>
        </w:tc>
        <w:tc>
          <w:tcPr>
            <w:tcW w:w="12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61,071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59,500</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charge-offs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3,302</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Allowance for loan losses to loans</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0.76 %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0.85%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0.85%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Net charge-offs to average loans </w:t>
            </w:r>
            <w:r>
              <w:rPr>
                <w:rFonts w:ascii="Arial" w:cs="Arial" w:eastAsia="Arial" w:hAnsi="Arial"/>
                <w:sz w:val="8"/>
                <w:szCs w:val="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NPAs to loans and foreclosed properties</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0.30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0.37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0.37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NPAs to 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 xml:space="preserve">AVERAGE BALANCES </w:t>
            </w:r>
            <w:r>
              <w:rPr>
                <w:rFonts w:ascii="Arial" w:cs="Arial" w:eastAsia="Arial" w:hAnsi="Arial"/>
                <w:sz w:val="11"/>
                <w:szCs w:val="11"/>
                <w:i w:val="1"/>
                <w:iCs w:val="1"/>
                <w:color w:val="auto"/>
              </w:rPr>
              <w:t>($ in millions)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Loans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8,177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7,993</w:t>
            </w:r>
          </w:p>
        </w:tc>
        <w:tc>
          <w:tcPr>
            <w:tcW w:w="100" w:type="dxa"/>
            <w:vAlign w:val="bottom"/>
          </w:tcPr>
          <w:p>
            <w:pPr>
              <w:spacing w:after="0"/>
              <w:rPr>
                <w:sz w:val="21"/>
                <w:szCs w:val="2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7,560</w:t>
            </w:r>
          </w:p>
        </w:tc>
        <w:tc>
          <w:tcPr>
            <w:tcW w:w="10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7,149</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6,980</w:t>
            </w:r>
          </w:p>
        </w:tc>
        <w:tc>
          <w:tcPr>
            <w:tcW w:w="12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8,086</w:t>
            </w:r>
          </w:p>
        </w:tc>
        <w:tc>
          <w:tcPr>
            <w:tcW w:w="100" w:type="dxa"/>
            <w:vAlign w:val="bottom"/>
          </w:tcPr>
          <w:p>
            <w:pPr>
              <w:spacing w:after="0"/>
              <w:rPr>
                <w:sz w:val="21"/>
                <w:szCs w:val="2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6,942</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Investment securities</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2,798</w:t>
            </w:r>
          </w:p>
        </w:tc>
        <w:tc>
          <w:tcPr>
            <w:tcW w:w="9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r>
      <w:tr>
        <w:trPr>
          <w:trHeight w:val="248"/>
        </w:trPr>
        <w:tc>
          <w:tcPr>
            <w:tcW w:w="3180" w:type="dxa"/>
            <w:vAlign w:val="bottom"/>
            <w:gridSpan w:val="2"/>
          </w:tcPr>
          <w:p>
            <w:pPr>
              <w:ind w:left="180"/>
              <w:spacing w:after="0"/>
              <w:rPr>
                <w:sz w:val="20"/>
                <w:szCs w:val="20"/>
                <w:color w:val="auto"/>
              </w:rPr>
            </w:pPr>
            <w:r>
              <w:rPr>
                <w:rFonts w:ascii="Arial" w:cs="Arial" w:eastAsia="Arial" w:hAnsi="Arial"/>
                <w:sz w:val="11"/>
                <w:szCs w:val="11"/>
                <w:color w:val="auto"/>
              </w:rPr>
              <w:t>Earning assets</w:t>
            </w:r>
          </w:p>
        </w:tc>
        <w:tc>
          <w:tcPr>
            <w:tcW w:w="8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11,193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9,899</w:t>
            </w:r>
          </w:p>
        </w:tc>
        <w:tc>
          <w:tcPr>
            <w:tcW w:w="12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9,885</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r>
      <w:tr>
        <w:trPr>
          <w:trHeight w:val="22"/>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84"/>
        </w:trPr>
        <w:tc>
          <w:tcPr>
            <w:tcW w:w="3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842"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assets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12,213</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12,111</w:t>
            </w: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11,687</w:t>
            </w: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10,980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10,704</w:t>
            </w:r>
          </w:p>
        </w:tc>
        <w:tc>
          <w:tcPr>
            <w:tcW w:w="6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12,163</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10,691</w:t>
            </w:r>
          </w:p>
        </w:tc>
        <w:tc>
          <w:tcPr>
            <w:tcW w:w="6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r>
      <w:tr>
        <w:trPr>
          <w:trHeight w:val="87"/>
        </w:trPr>
        <w:tc>
          <w:tcPr>
            <w:tcW w:w="25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r>
      <w:tr>
        <w:trPr>
          <w:trHeight w:val="248"/>
        </w:trPr>
        <w:tc>
          <w:tcPr>
            <w:tcW w:w="2580" w:type="dxa"/>
            <w:vAlign w:val="bottom"/>
          </w:tcPr>
          <w:p>
            <w:pPr>
              <w:ind w:left="180"/>
              <w:spacing w:after="0"/>
              <w:rPr>
                <w:sz w:val="20"/>
                <w:szCs w:val="20"/>
                <w:color w:val="auto"/>
              </w:rPr>
            </w:pPr>
            <w:r>
              <w:rPr>
                <w:rFonts w:ascii="Arial" w:cs="Arial" w:eastAsia="Arial" w:hAnsi="Arial"/>
                <w:sz w:val="11"/>
                <w:szCs w:val="11"/>
                <w:color w:val="auto"/>
              </w:rPr>
              <w:t>Deposits</w:t>
            </w:r>
          </w:p>
        </w:tc>
        <w:tc>
          <w:tcPr>
            <w:tcW w:w="88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9,978</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9,759</w:t>
            </w:r>
          </w:p>
        </w:tc>
        <w:tc>
          <w:tcPr>
            <w:tcW w:w="3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9,624</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8,913</w:t>
            </w:r>
          </w:p>
        </w:tc>
        <w:tc>
          <w:tcPr>
            <w:tcW w:w="34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color w:val="auto"/>
              </w:rPr>
              <w:t>8,659</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9,869</w:t>
            </w:r>
          </w:p>
        </w:tc>
        <w:tc>
          <w:tcPr>
            <w:tcW w:w="38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8,626</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14</w:t>
            </w:r>
          </w:p>
        </w:tc>
      </w:tr>
      <w:tr>
        <w:trPr>
          <w:trHeight w:val="22"/>
        </w:trPr>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Shareholders’ equity</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1,370</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1,336</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1,310</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1,193</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rPr>
              <w:t>1,123</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1,353</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1,108</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r>
      <w:tr>
        <w:trPr>
          <w:trHeight w:val="248"/>
        </w:trPr>
        <w:tc>
          <w:tcPr>
            <w:tcW w:w="2580" w:type="dxa"/>
            <w:vAlign w:val="bottom"/>
          </w:tcPr>
          <w:p>
            <w:pPr>
              <w:ind w:left="180"/>
              <w:spacing w:after="0"/>
              <w:rPr>
                <w:sz w:val="20"/>
                <w:szCs w:val="20"/>
                <w:color w:val="auto"/>
              </w:rPr>
            </w:pPr>
            <w:r>
              <w:rPr>
                <w:rFonts w:ascii="Arial" w:cs="Arial" w:eastAsia="Arial" w:hAnsi="Arial"/>
                <w:sz w:val="11"/>
                <w:szCs w:val="11"/>
                <w:color w:val="auto"/>
              </w:rPr>
              <w:t>Common shares - basic (thousands)</w:t>
            </w:r>
          </w:p>
        </w:tc>
        <w:tc>
          <w:tcPr>
            <w:tcW w:w="88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79,753</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79,205</w:t>
            </w:r>
          </w:p>
        </w:tc>
        <w:tc>
          <w:tcPr>
            <w:tcW w:w="3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76,768</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73,151</w:t>
            </w:r>
          </w:p>
        </w:tc>
        <w:tc>
          <w:tcPr>
            <w:tcW w:w="34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color w:val="auto"/>
              </w:rPr>
              <w:t>71,810</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3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79,477</w:t>
            </w:r>
          </w:p>
        </w:tc>
        <w:tc>
          <w:tcPr>
            <w:tcW w:w="38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71,798</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w:t>
            </w:r>
          </w:p>
        </w:tc>
      </w:tr>
      <w:tr>
        <w:trPr>
          <w:trHeight w:val="22"/>
        </w:trPr>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Common shares - diluted (thousands)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79,755</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79,215</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76,768</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73,162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rPr>
              <w:t>71,820</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79,487</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71,809</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r>
      <w:tr>
        <w:trPr>
          <w:trHeight w:val="135"/>
        </w:trPr>
        <w:tc>
          <w:tcPr>
            <w:tcW w:w="2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 xml:space="preserve">AT PERIOD END </w:t>
            </w:r>
            <w:r>
              <w:rPr>
                <w:rFonts w:ascii="Arial" w:cs="Arial" w:eastAsia="Arial" w:hAnsi="Arial"/>
                <w:sz w:val="11"/>
                <w:szCs w:val="11"/>
                <w:i w:val="1"/>
                <w:iCs w:val="1"/>
                <w:color w:val="auto"/>
              </w:rPr>
              <w:t>($ in millions)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8"/>
        </w:trPr>
        <w:tc>
          <w:tcPr>
            <w:tcW w:w="2580" w:type="dxa"/>
            <w:vAlign w:val="bottom"/>
          </w:tcPr>
          <w:p>
            <w:pPr>
              <w:ind w:left="180"/>
              <w:spacing w:after="0"/>
              <w:rPr>
                <w:sz w:val="20"/>
                <w:szCs w:val="20"/>
                <w:color w:val="auto"/>
              </w:rPr>
            </w:pPr>
            <w:r>
              <w:rPr>
                <w:rFonts w:ascii="Arial" w:cs="Arial" w:eastAsia="Arial" w:hAnsi="Arial"/>
                <w:sz w:val="11"/>
                <w:szCs w:val="11"/>
                <w:color w:val="auto"/>
              </w:rPr>
              <w:t>Loans</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8,220</w:t>
            </w:r>
          </w:p>
        </w:tc>
        <w:tc>
          <w:tcPr>
            <w:tcW w:w="3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8,184</w:t>
            </w:r>
          </w:p>
        </w:tc>
        <w:tc>
          <w:tcPr>
            <w:tcW w:w="3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7,736</w:t>
            </w: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7,203</w:t>
            </w:r>
          </w:p>
        </w:tc>
        <w:tc>
          <w:tcPr>
            <w:tcW w:w="3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6"/>
              <w:spacing w:after="0"/>
              <w:rPr>
                <w:sz w:val="20"/>
                <w:szCs w:val="20"/>
                <w:color w:val="auto"/>
              </w:rPr>
            </w:pPr>
            <w:r>
              <w:rPr>
                <w:rFonts w:ascii="Arial" w:cs="Arial" w:eastAsia="Arial" w:hAnsi="Arial"/>
                <w:sz w:val="11"/>
                <w:szCs w:val="11"/>
                <w:color w:val="auto"/>
              </w:rPr>
              <w:t>7,041</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3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8,220</w:t>
            </w: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7,041</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17</w:t>
            </w:r>
          </w:p>
        </w:tc>
      </w:tr>
      <w:tr>
        <w:trPr>
          <w:trHeight w:val="22"/>
        </w:trPr>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Investment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2,834</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2,731</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2,937</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rPr>
              <w:t>2,787</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2,787</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r>
      <w:tr>
        <w:trPr>
          <w:trHeight w:val="248"/>
        </w:trPr>
        <w:tc>
          <w:tcPr>
            <w:tcW w:w="2580" w:type="dxa"/>
            <w:vAlign w:val="bottom"/>
          </w:tcPr>
          <w:p>
            <w:pPr>
              <w:ind w:left="180"/>
              <w:spacing w:after="0"/>
              <w:rPr>
                <w:sz w:val="20"/>
                <w:szCs w:val="20"/>
                <w:color w:val="auto"/>
              </w:rPr>
            </w:pPr>
            <w:r>
              <w:rPr>
                <w:rFonts w:ascii="Arial" w:cs="Arial" w:eastAsia="Arial" w:hAnsi="Arial"/>
                <w:sz w:val="11"/>
                <w:szCs w:val="11"/>
                <w:color w:val="auto"/>
              </w:rPr>
              <w:t>Total assets</w:t>
            </w:r>
          </w:p>
        </w:tc>
        <w:tc>
          <w:tcPr>
            <w:tcW w:w="88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12,386</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12,264</w:t>
            </w:r>
          </w:p>
        </w:tc>
        <w:tc>
          <w:tcPr>
            <w:tcW w:w="3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11,915</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11,129</w:t>
            </w:r>
          </w:p>
        </w:tc>
        <w:tc>
          <w:tcPr>
            <w:tcW w:w="34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color w:val="auto"/>
              </w:rPr>
              <w:t>10,837</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12,386</w:t>
            </w:r>
          </w:p>
        </w:tc>
        <w:tc>
          <w:tcPr>
            <w:tcW w:w="38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10,837</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14</w:t>
            </w:r>
          </w:p>
        </w:tc>
      </w:tr>
      <w:tr>
        <w:trPr>
          <w:trHeight w:val="22"/>
        </w:trPr>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Deposits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9,966</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9,993</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9,808</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9,127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rPr>
              <w:t>8,736</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9,966</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8,736</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r>
      <w:tr>
        <w:trPr>
          <w:trHeight w:val="248"/>
        </w:trPr>
        <w:tc>
          <w:tcPr>
            <w:tcW w:w="2580" w:type="dxa"/>
            <w:vAlign w:val="bottom"/>
          </w:tcPr>
          <w:p>
            <w:pPr>
              <w:ind w:left="180"/>
              <w:spacing w:after="0"/>
              <w:rPr>
                <w:sz w:val="20"/>
                <w:szCs w:val="20"/>
                <w:color w:val="auto"/>
              </w:rPr>
            </w:pPr>
            <w:r>
              <w:rPr>
                <w:rFonts w:ascii="Arial" w:cs="Arial" w:eastAsia="Arial" w:hAnsi="Arial"/>
                <w:sz w:val="11"/>
                <w:szCs w:val="11"/>
                <w:color w:val="auto"/>
              </w:rPr>
              <w:t>Shareholders’ equity</w:t>
            </w:r>
          </w:p>
        </w:tc>
        <w:tc>
          <w:tcPr>
            <w:tcW w:w="88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1,379</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1,357</w:t>
            </w:r>
          </w:p>
        </w:tc>
        <w:tc>
          <w:tcPr>
            <w:tcW w:w="3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1,303</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1,221</w:t>
            </w:r>
          </w:p>
        </w:tc>
        <w:tc>
          <w:tcPr>
            <w:tcW w:w="34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color w:val="auto"/>
              </w:rPr>
              <w:t>1,133</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3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1,379</w:t>
            </w:r>
          </w:p>
        </w:tc>
        <w:tc>
          <w:tcPr>
            <w:tcW w:w="38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1,133</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22</w:t>
            </w:r>
          </w:p>
        </w:tc>
      </w:tr>
      <w:tr>
        <w:trPr>
          <w:trHeight w:val="22"/>
        </w:trPr>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48"/>
        </w:trPr>
        <w:tc>
          <w:tcPr>
            <w:tcW w:w="2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Common shares outstanding (thousands)</w:t>
            </w: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79,138</w:t>
            </w:r>
          </w:p>
        </w:tc>
        <w:tc>
          <w:tcPr>
            <w:tcW w:w="3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79,123</w:t>
            </w: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77,580</w:t>
            </w: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73,403</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70,981</w:t>
            </w:r>
          </w:p>
        </w:tc>
        <w:tc>
          <w:tcPr>
            <w:tcW w:w="6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79,138</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70,981</w:t>
            </w:r>
          </w:p>
        </w:tc>
        <w:tc>
          <w:tcPr>
            <w:tcW w:w="6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r>
      <w:tr>
        <w:trPr>
          <w:trHeight w:val="22"/>
        </w:trPr>
        <w:tc>
          <w:tcPr>
            <w:tcW w:w="25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bl>
    <w:p>
      <w:pPr>
        <w:spacing w:after="0" w:line="134" w:lineRule="exact"/>
        <w:rPr>
          <w:sz w:val="20"/>
          <w:szCs w:val="20"/>
          <w:color w:val="auto"/>
        </w:rPr>
      </w:pPr>
    </w:p>
    <w:p>
      <w:pPr>
        <w:ind w:right="40" w:firstLine="8"/>
        <w:spacing w:after="0" w:line="247" w:lineRule="auto"/>
        <w:tabs>
          <w:tab w:leader="none" w:pos="178"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Excludes merger-related and other charges which includes amortization of certain executive change of control benefits, the fourth quarter 2017 impact of remeasurement of United’s deferred tax assets following the passage of tax reform legislation and a first quarter 2017 release of disproportionate tax effects lodged in OCI. (2) Net income less preferred stock dividends, divided by average realized common equity, which excludes accumulated other comprehensive income (loss). (3) Excludes effect of acquisition related intangibles and associated amortization. (4) Annualized.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6" w:name="page57"/>
    <w:bookmarkEnd w:id="56"/>
    <w:p>
      <w:pPr>
        <w:spacing w:after="0" w:line="6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UNITED COMMUNITY BANKS, INC.</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Table 1 (Continued) - Non-GAAP Performance Measures Reconciliation</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24130</wp:posOffset>
            </wp:positionV>
            <wp:extent cx="4596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2018</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1"/>
              </w:rPr>
              <w:t>For the Six Months Ended June 30,</w:t>
            </w:r>
          </w:p>
        </w:tc>
      </w:tr>
      <w:tr>
        <w:trPr>
          <w:trHeight w:val="534"/>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Second Quarter</w:t>
            </w:r>
          </w:p>
        </w:tc>
        <w:tc>
          <w:tcPr>
            <w:tcW w:w="10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First Quarter</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Fourth Quarter</w:t>
            </w:r>
          </w:p>
        </w:tc>
        <w:tc>
          <w:tcPr>
            <w:tcW w:w="1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Third Quarter</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Second Quarter</w:t>
            </w:r>
          </w:p>
        </w:tc>
        <w:tc>
          <w:tcPr>
            <w:tcW w:w="100" w:type="dxa"/>
            <w:vAlign w:val="bottom"/>
          </w:tcPr>
          <w:p>
            <w:pPr>
              <w:spacing w:after="0"/>
              <w:rPr>
                <w:sz w:val="24"/>
                <w:szCs w:val="24"/>
                <w:color w:val="auto"/>
              </w:rPr>
            </w:pPr>
          </w:p>
        </w:tc>
        <w:tc>
          <w:tcPr>
            <w:tcW w:w="840" w:type="dxa"/>
            <w:vAlign w:val="bottom"/>
          </w:tcPr>
          <w:p>
            <w:pPr>
              <w:jc w:val="right"/>
              <w:ind w:right="279"/>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99"/>
              <w:spacing w:after="0"/>
              <w:rPr>
                <w:sz w:val="20"/>
                <w:szCs w:val="20"/>
                <w:color w:val="auto"/>
              </w:rPr>
            </w:pPr>
            <w:r>
              <w:rPr>
                <w:rFonts w:ascii="Arial" w:cs="Arial" w:eastAsia="Arial" w:hAnsi="Arial"/>
                <w:sz w:val="12"/>
                <w:szCs w:val="12"/>
                <w:b w:val="1"/>
                <w:bCs w:val="1"/>
                <w:color w:val="auto"/>
              </w:rPr>
              <w:t>2017</w:t>
            </w:r>
          </w:p>
        </w:tc>
      </w:tr>
      <w:tr>
        <w:trPr>
          <w:trHeight w:val="216"/>
        </w:trPr>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Expense reconciliation</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Expenses (GAAP)</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76,850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73,475</w:t>
            </w:r>
          </w:p>
        </w:tc>
        <w:tc>
          <w:tcPr>
            <w:tcW w:w="10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75,882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65,674</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63,229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150,325</w:t>
            </w:r>
          </w:p>
        </w:tc>
        <w:tc>
          <w:tcPr>
            <w:tcW w:w="120" w:type="dxa"/>
            <w:vAlign w:val="bottom"/>
          </w:tcPr>
          <w:p>
            <w:pPr>
              <w:spacing w:after="0"/>
              <w:rPr>
                <w:sz w:val="22"/>
                <w:szCs w:val="22"/>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126,055</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(2,873)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(2,646)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(7,358)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(3,420)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(1,830)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(5,519)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(3,884)</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Expenses - operating</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73,977</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70,829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68,524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62,254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61,399</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144,806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122,171</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Net income (loss) reconciliation</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Net income (loss) (GAAP)</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39,634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37,658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(11,916)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27,946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28,267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77,292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51,791</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2,646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7,358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3,420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1,830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5,519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3,884</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(1,165)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(1,433)</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2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38,199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3,400</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Net income - operating</w:t>
            </w: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42,386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39,676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rPr>
              <w:t>32,476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30,219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29,422</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82,062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57,642</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Diluted income (loss) per common share reconciliation</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Diluted income (loss) per common share (GAAP)</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0.72</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0.03</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0.05</w:t>
            </w:r>
          </w:p>
        </w:tc>
      </w:tr>
      <w:tr>
        <w:trPr>
          <w:trHeight w:val="241"/>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Diluted income per common share - operating</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0.80</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Book value per common share reconciliation</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Book value per common share (GAAP)</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17.29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17.02</w:t>
            </w:r>
          </w:p>
        </w:tc>
        <w:tc>
          <w:tcPr>
            <w:tcW w:w="10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16.50</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15.83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17.29</w:t>
            </w:r>
          </w:p>
        </w:tc>
        <w:tc>
          <w:tcPr>
            <w:tcW w:w="120" w:type="dxa"/>
            <w:vAlign w:val="bottom"/>
          </w:tcPr>
          <w:p>
            <w:pPr>
              <w:spacing w:after="0"/>
              <w:rPr>
                <w:sz w:val="22"/>
                <w:szCs w:val="22"/>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15.83</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(2.09)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(2.09)</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Tangible book value per common share</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13.25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12.96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13.65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14.11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13.74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13.25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13.74</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Return on tangible common equity reconciliation</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Return on common equity (GAAP)</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11.11 %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11.15 %</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9.27 %</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0.44</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0.61</w:t>
            </w:r>
          </w:p>
        </w:tc>
      </w:tr>
      <w:tr>
        <w:trPr>
          <w:trHeight w:val="257"/>
        </w:trPr>
        <w:tc>
          <w:tcPr>
            <w:tcW w:w="41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Return on common equity - operating</w:t>
            </w:r>
          </w:p>
        </w:tc>
        <w:tc>
          <w:tcPr>
            <w:tcW w:w="2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11.97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11.71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9.73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10.39</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11.84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10.32</w:t>
            </w:r>
          </w:p>
        </w:tc>
      </w:tr>
      <w:tr>
        <w:trPr>
          <w:trHeight w:val="264"/>
        </w:trPr>
        <w:tc>
          <w:tcPr>
            <w:tcW w:w="41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3.69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1.83</w:t>
            </w:r>
          </w:p>
        </w:tc>
      </w:tr>
      <w:tr>
        <w:trPr>
          <w:trHeight w:val="241"/>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Return on tangible common equity - operating</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15.79 %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11.93 %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11.93 %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12.19 %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15.53 %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12.15 %</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Return on assets reconciliation</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Return on assets (GAAP)</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1.30 %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1.26 %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1.28 %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0.98 %</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0.05</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2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0.06</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Return on assets - operating</w:t>
            </w:r>
          </w:p>
        </w:tc>
        <w:tc>
          <w:tcPr>
            <w:tcW w:w="2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1.39 %</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1.10 %</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1.10 %</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1.36 %</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1.09 %</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Dividend payout ratio reconciliation</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Dividend payout ratio (GAAP)</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30.61 %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27.84 %</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25.00 %</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(1.00)</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74.27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(1.50)</w:t>
            </w:r>
          </w:p>
        </w:tc>
      </w:tr>
      <w:tr>
        <w:trPr>
          <w:trHeight w:val="241"/>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Dividend payout ratio - operating</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22.50 %</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Efficiency ratio reconciliation</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Efficiency ratio (GAAP)</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57.94 %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57.83 %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63.03 %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59.27 %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57.89 %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57.89 %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58.58 %</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(6.11)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(1.81)</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Efficiency ratio - operating</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55.77 %</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55.75 %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56.92 %</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56.18 %</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56.21 %</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55.76 %</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56.77 %</w:t>
            </w:r>
          </w:p>
        </w:tc>
      </w:tr>
      <w:tr>
        <w:trPr>
          <w:trHeight w:val="53"/>
        </w:trPr>
        <w:tc>
          <w:tcPr>
            <w:tcW w:w="4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1044" w:right="239" w:bottom="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4180" w:type="dxa"/>
            <w:vAlign w:val="bottom"/>
          </w:tcPr>
          <w:p>
            <w:pPr>
              <w:ind w:left="40"/>
              <w:spacing w:after="0"/>
              <w:rPr>
                <w:sz w:val="20"/>
                <w:szCs w:val="20"/>
                <w:color w:val="auto"/>
              </w:rPr>
            </w:pPr>
            <w:r>
              <w:rPr>
                <w:rFonts w:ascii="Arial" w:cs="Arial" w:eastAsia="Arial" w:hAnsi="Arial"/>
                <w:sz w:val="12"/>
                <w:szCs w:val="12"/>
                <w:b w:val="1"/>
                <w:bCs w:val="1"/>
                <w:color w:val="auto"/>
              </w:rPr>
              <w:t>Average equity to assets reconciliation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 to assets (GAAP)</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11.03 %</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10.86 %</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11.13 %</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10.36 %</w:t>
            </w:r>
          </w:p>
        </w:tc>
      </w:tr>
      <w:tr>
        <w:trPr>
          <w:trHeight w:val="264"/>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(2.21)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(1.69)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(1.27)</w:t>
            </w:r>
          </w:p>
        </w:tc>
      </w:tr>
      <w:tr>
        <w:trPr>
          <w:trHeight w:val="241"/>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Tangible common equity to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9.23 %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8.82 %</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9.09 %</w:t>
            </w: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9"/>
        </w:trPr>
        <w:tc>
          <w:tcPr>
            <w:tcW w:w="4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0"/>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Tangible common equity to risk-weighted assets reconciliation</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1"/>
        </w:trPr>
        <w:tc>
          <w:tcPr>
            <w:tcW w:w="4180" w:type="dxa"/>
            <w:vAlign w:val="bottom"/>
          </w:tcPr>
          <w:p>
            <w:pPr>
              <w:ind w:left="40"/>
              <w:spacing w:after="0"/>
              <w:rPr>
                <w:sz w:val="20"/>
                <w:szCs w:val="20"/>
                <w:color w:val="auto"/>
              </w:rPr>
            </w:pPr>
            <w:r>
              <w:rPr>
                <w:rFonts w:ascii="Arial" w:cs="Arial" w:eastAsia="Arial" w:hAnsi="Arial"/>
                <w:sz w:val="12"/>
                <w:szCs w:val="12"/>
                <w:color w:val="auto"/>
              </w:rPr>
              <w:t>Tier 1 capital ratio (Regulatory)</w:t>
            </w:r>
          </w:p>
        </w:tc>
        <w:tc>
          <w:tcPr>
            <w:tcW w:w="940" w:type="dxa"/>
            <w:vAlign w:val="bottom"/>
          </w:tcPr>
          <w:p>
            <w:pPr>
              <w:jc w:val="right"/>
              <w:spacing w:after="0"/>
              <w:rPr>
                <w:sz w:val="20"/>
                <w:szCs w:val="20"/>
                <w:color w:val="auto"/>
              </w:rPr>
            </w:pPr>
            <w:r>
              <w:rPr>
                <w:rFonts w:ascii="Arial" w:cs="Arial" w:eastAsia="Arial" w:hAnsi="Arial"/>
                <w:sz w:val="12"/>
                <w:szCs w:val="12"/>
                <w:color w:val="auto"/>
              </w:rPr>
              <w:t>11.94 %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11.61 %</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12.24 %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12.27 %</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11.91 %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11.94 %</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11.91 %</w:t>
            </w: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Effect of other comprehensive income</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(0.29)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(0.15)</w:t>
            </w:r>
          </w:p>
        </w:tc>
      </w:tr>
      <w:tr>
        <w:trPr>
          <w:trHeight w:val="261"/>
        </w:trPr>
        <w:tc>
          <w:tcPr>
            <w:tcW w:w="4180" w:type="dxa"/>
            <w:vAlign w:val="bottom"/>
          </w:tcPr>
          <w:p>
            <w:pPr>
              <w:ind w:left="40"/>
              <w:spacing w:after="0"/>
              <w:rPr>
                <w:sz w:val="20"/>
                <w:szCs w:val="20"/>
                <w:color w:val="auto"/>
              </w:rPr>
            </w:pPr>
            <w:r>
              <w:rPr>
                <w:rFonts w:ascii="Arial" w:cs="Arial" w:eastAsia="Arial" w:hAnsi="Arial"/>
                <w:sz w:val="12"/>
                <w:szCs w:val="12"/>
                <w:color w:val="auto"/>
              </w:rPr>
              <w:t>Effect of deferred tax limitation</w:t>
            </w: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0.33</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0.42</w:t>
            </w:r>
          </w:p>
        </w:tc>
        <w:tc>
          <w:tcPr>
            <w:tcW w:w="10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0.94</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0.95</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0.33</w:t>
            </w:r>
          </w:p>
        </w:tc>
        <w:tc>
          <w:tcPr>
            <w:tcW w:w="12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0.95</w:t>
            </w: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Effect of trust preferred</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(0.36)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(0.25)</w:t>
            </w:r>
          </w:p>
        </w:tc>
      </w:tr>
      <w:tr>
        <w:trPr>
          <w:trHeight w:val="264"/>
        </w:trPr>
        <w:tc>
          <w:tcPr>
            <w:tcW w:w="4180" w:type="dxa"/>
            <w:vAlign w:val="bottom"/>
          </w:tcPr>
          <w:p>
            <w:pPr>
              <w:ind w:left="40"/>
              <w:spacing w:after="0"/>
              <w:rPr>
                <w:sz w:val="20"/>
                <w:szCs w:val="20"/>
                <w:color w:val="auto"/>
              </w:rPr>
            </w:pPr>
            <w:r>
              <w:rPr>
                <w:rFonts w:ascii="Arial" w:cs="Arial" w:eastAsia="Arial" w:hAnsi="Arial"/>
                <w:sz w:val="12"/>
                <w:szCs w:val="12"/>
                <w:color w:val="auto"/>
              </w:rPr>
              <w:t>Basel III intangibles transition adjustment</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79"/>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9"/>
              <w:spacing w:after="0"/>
              <w:rPr>
                <w:sz w:val="20"/>
                <w:szCs w:val="20"/>
                <w:color w:val="auto"/>
              </w:rPr>
            </w:pPr>
            <w:r>
              <w:rPr>
                <w:rFonts w:ascii="Arial" w:cs="Arial" w:eastAsia="Arial" w:hAnsi="Arial"/>
                <w:sz w:val="12"/>
                <w:szCs w:val="12"/>
                <w:color w:val="auto"/>
              </w:rPr>
              <w:t>(0.02)</w:t>
            </w:r>
          </w:p>
        </w:tc>
      </w:tr>
      <w:tr>
        <w:trPr>
          <w:trHeight w:val="241"/>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Tangible common equity to risk-weighted assets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12.44 %</w:t>
            </w: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second quarter of 2018 was $108 million, compared to $85.1 million for the second quarter of 2017. Taxable equivalent net interest revenue for the second quarter of 2018 was $109 million, which represents an increase of $23.4 million from the same period in 2017. The combination of the larger earning asset base from the Acquisitions, growth in the loan portfolio and a wider net interest margin were responsible for the increase in net interest revenue.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interest-earning assets for the second quarter of 2018 increased $1.29 billion, or 13%, from the second quarter of 2017, which was due primarily to the increase in loans. Average loans increased $1.20 billion, or 17%, from the second quarter of last year, which includes the effect of the Acquisitions. The yield on loans increased 77 basis points, reflecting the effect of rising interest rates on the floating rate loans in the portfolio and the acquisition of higher yielding loans from NLFC and FOFN.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interest-bearing liabilities of $7.49 billion for the second quarter of 2018 increased $751 million from the second quarter of 2017. Average non-interest-bearing deposits increased $458 million from the second quarter of 2017 to $3.19 billion for the second quarter of 2018. The average cost of interest-bearing liabilities for the second quarter of 2018 was 0.74% compared to 0.48% for the same period in 2017, reflecting higher average rates on interest-bearing deposits and short-term borrowings. Although the fed funds rate has increased 75 basis points since June 30, 2017, United’s cost of interest-bearing deposits has increased only 24 basis points over that same time period, which has contributed to margin expansion and an increase in net interest revenue.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second quarters of 2018 and 2017, the net interest spread was 3.65% and 3.31%, respectively, while the net interest margin was 3.90% and 3.47%, respectively. The increase in the net interest margin reflects the impact of higher short-term interest rates on floating-rate loans and securities while the pricing on interest-bearing liabilities increased slightly from the prior year. Additionally, United was able to improve its overall yield on interest-earning assets through growth in the loan portfolio, which had a positive impact on the composition of interest-earning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2018, net interest revenue was $212 million, an increase of $43.1 million, or 26%, from the first six months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 2017. Similarly, fully taxable equivalent net interest revenue for the first six months of 2018 was $213 million, an increase of $43.2 million, or 26%, from the first six months of 2017. Average earning assets increased 13% to $11.1 billion during the first six months of 2018 compared to the same period a year ago, primarily due to the increase in loans, including the Acquisitions. The yield on earning assets increased 55 basis points to 4.31% in the first six months of 2018 primarily due to higher loan and securities yields. The higher loan portfolio yield reflects the effect of rising interest rates and changes in portfolio composition, primarily due to the NLFC acquisition. Taxable investment yield increased 3 basis points for the first six months of 2018 compared to the same period in 2017, which further improved the net interest margin. The rate on interest-bearing liabilities over the same period increased 23 basis points. The higher yield on interest-earning assets more than offset the higher cost of interest-bearing liabilities and resulted in an 39 basis point increase in the net interest margin from the first half of 2017 to the first half of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interest-earning assets and interest-bearing liabilities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bscript"/>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8,177,343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103,395</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5.07%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6,979,980</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74,811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4.30%</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b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2,651,816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17,229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2,719,390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17,421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bscript"/>
              </w:rPr>
              <w:t>(1)(3)</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55,992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11,192,511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122,678</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9,898,505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93,559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(61,163)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Premises and equipment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218,517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192,906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b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731,514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569,435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12,213,327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10,704,495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0.25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Money market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2,214,077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2,583</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2,064,143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Time</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1,524,124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1,274,009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300,389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1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6,788,867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8,119</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5,927,985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3,601</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335,521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594,815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316,812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697,574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5,620</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807,413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4,417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7,486,441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6,735,398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1"/>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168,417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114,873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10,843,705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9,581,488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1,369,622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1,123,007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12,213,327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10,704,495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108,939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85,541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Arial" w:cs="Arial" w:eastAsia="Arial" w:hAnsi="Arial"/>
                <w:sz w:val="16"/>
                <w:szCs w:val="16"/>
                <w:color w:val="auto"/>
                <w:w w:val="96"/>
              </w:rPr>
              <w:t>3.65%</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3.31%</w:t>
            </w: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b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3.47%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140" w:hanging="172"/>
        <w:spacing w:after="0" w:line="250" w:lineRule="auto"/>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2018 and 39% in 2017, reflecting the statutory federal income tax rate and the federal tax adjusted state income tax rate.</w:t>
      </w: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Securities available for sale are shown at amortized cost. Pretax unrealized losses of $42.9 million in 2018 and $6.58 million in 2017 are included in other assets for purposes of this presentation.</w:t>
      </w:r>
    </w:p>
    <w:p>
      <w:pPr>
        <w:spacing w:after="0" w:line="12" w:lineRule="exact"/>
        <w:rPr>
          <w:rFonts w:ascii="Arial" w:cs="Arial" w:eastAsia="Arial" w:hAnsi="Arial"/>
          <w:sz w:val="13"/>
          <w:szCs w:val="13"/>
          <w:color w:val="auto"/>
        </w:rPr>
      </w:pP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742" w:right="239" w:bottom="1440" w:gutter="0" w:footer="0" w:header="0"/>
          <w:type w:val="continuous"/>
        </w:sectPr>
      </w:pPr>
    </w:p>
    <w:bookmarkStart w:id="60" w:name="page61"/>
    <w:bookmarkEnd w:id="60"/>
    <w:p>
      <w:pPr>
        <w:ind w:left="4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8,085,849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199,784</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4.98%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6,942,130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147,552</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4.29%</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2,687,200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34,552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2,749,339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34,854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148,528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2,689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11,134,528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238,397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9,885,171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184,854</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(60,718)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(61,414)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Premises and equipment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217,625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191,509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724,488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573,281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12,162,620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10,690,595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0.23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1,930,624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Money market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2,222,304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4,758</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2,064,792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Time</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1,529,639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1,269,005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6,726,601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14,412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5,937,959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423,137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637,728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Total borrowed funds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780,794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11,332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841,165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8,763</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7,507,395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25,744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6,779,124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2,687,665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115,808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10,809,513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9,582,597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1,353,107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1,107,998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12,162,620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10,690,595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212,653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169,432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3.62%</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3.30%</w:t>
            </w: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3.46%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140" w:hanging="172"/>
        <w:spacing w:after="0" w:line="250" w:lineRule="auto"/>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2018 and 39% in 2017, reflecting the statutory federal income tax rate and the federal tax adjusted state income tax rate.</w:t>
      </w: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14"/>
          <w:szCs w:val="14"/>
          <w:color w:val="auto"/>
        </w:rPr>
      </w:pPr>
    </w:p>
    <w:p>
      <w:pPr>
        <w:ind w:left="180" w:right="780" w:hanging="172"/>
        <w:spacing w:after="0" w:line="241" w:lineRule="auto"/>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Securities available for sale are shown at amortized cost. Pretax unrealized losses of $35.6 million in 2018 and $638 thousand in 2017 are included in other assets for purposes of this presentation.</w:t>
      </w: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742" w:right="239" w:bottom="1440" w:gutter="0" w:footer="0" w:header="0"/>
          <w:type w:val="continuous"/>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39" w:lineRule="exact"/>
        <w:rPr>
          <w:sz w:val="20"/>
          <w:szCs w:val="20"/>
          <w:color w:val="auto"/>
        </w:rPr>
      </w:pPr>
    </w:p>
    <w:p>
      <w:pPr>
        <w:ind w:left="40" w:right="5180"/>
        <w:spacing w:after="0" w:line="344"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June 30, 2018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gridSpan w:val="1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gridSpan w:val="15"/>
          </w:tcPr>
          <w:p>
            <w:pPr>
              <w:jc w:val="right"/>
              <w:ind w:right="30"/>
              <w:spacing w:after="0"/>
              <w:rPr>
                <w:sz w:val="20"/>
                <w:szCs w:val="20"/>
                <w:color w:val="auto"/>
              </w:rPr>
            </w:pPr>
            <w:r>
              <w:rPr>
                <w:rFonts w:ascii="Arial" w:cs="Arial" w:eastAsia="Arial" w:hAnsi="Arial"/>
                <w:sz w:val="18"/>
                <w:szCs w:val="18"/>
                <w:b w:val="1"/>
                <w:bCs w:val="1"/>
                <w:color w:val="auto"/>
              </w:rPr>
              <w:t>Compared to 2017 Increase (decrease) Due to Changes in</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Volume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Volume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28,584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Taxable securities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securities (FTE)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Federal funds sold and other interest-earning assets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interest-earning assets (FTE)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29,119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53,543</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Brokered deposits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borrowed funds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380"/>
              <w:spacing w:after="0"/>
              <w:rPr>
                <w:sz w:val="20"/>
                <w:szCs w:val="20"/>
                <w:color w:val="auto"/>
              </w:rPr>
            </w:pPr>
            <w:r>
              <w:rPr>
                <w:rFonts w:ascii="Arial" w:cs="Arial" w:eastAsia="Arial" w:hAnsi="Arial"/>
                <w:sz w:val="18"/>
                <w:szCs w:val="18"/>
                <w:b w:val="1"/>
                <w:bCs w:val="1"/>
                <w:color w:val="auto"/>
              </w:rPr>
              <w:t>Increase in net interest revenue (FTE)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12,489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10,909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23,398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23,994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19,227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43,221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corresponding analysis of the allowance for credit losses at quarter-end. Provision for credit losses was $1.8 million and $5.6 million for the three and six months ended June 30, 2018, compared to $800,000 and $1.6 million for the same periods in 2017.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NLFC on February 1, 2018. At June 30, 2018, United included the performing non-impaired loans acquired from NLFC in its general allowance calculation in order to reflect the necessary allowance for incurred losses, which accounted for a majority of the increase in the provision expense. For the six months ended June 30, 2018, net loan charge-offs as an annualized percentage of average outstanding loans were 0.07% compared to 0.10% for the same period in 2017.</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 discussion on credit quality and the allowance for loan losses is included in the “Asset Quality and Risk Elements” section of this report.</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4"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income for the second quarter of 2018 was $23.3 million, a decrease of $345,000, or 1%, compared to the second quarter of 2017. For the six months ended June 30, 2018, noninterest income totaled $45.7 million, flat compared to the same period of 2017. The following table presents the components of noninterest income for the periods indicated.</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Noninterest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ind w:left="62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Change</w:t>
            </w: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w:t>
            </w: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Overdraft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ATM and debit card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 service charges and fees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charges and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Mortgage loan and related fees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Brokerage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4"/>
              </w:rPr>
              <w:t>Gains on sales of SBA/USDA loans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Securities losses, net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4,151</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23,685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45,759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charges and fees of $8.79 million for the second quarter of 2018 decreased $1.91 million, or 18%, from the second quarter of 2017. Service charges and fees for the six months ended June 30, 2018 decreased $3.59 million, or 17% compared to the same period of 2017. The decrease is primarily due to the effect of the Durbin Amendment, which took effect for United in the third quarter of 2017 and limited the amount of interchange fees charged on debit card transactions.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Mortgage loan and related fees for the second quarter of 2018 increased $496,000, or 10%, from the second quarter of 2017. For the six months ended June 30, 2018 mortgage loan and related fees increased $1.43 million from the same period of 2017. The increase reflects United’s focus on growing the mortgage business by recruiting new mortgage lenders in key metropolitan markets and an increase in purchase and refinancing activity. In the second quarter of 2018, United closed 1,077 loans totaling $259 million compared with 888 loans totaling $204 million in the second quarter of 2017. Year-to-date mortgage production in 2018 amounted to 1,876 loans totaling $450 million, compared to 1,585 loans totaling $355 million for the same period in 2017. United had $151 million and $254 million in home purchase mortgage originations in the second quarter and first half of 2018, which accounted for 59% and 58% of production volume, respectively, compared with $141 million and $234 million, or 69% and 66%, respectively, of production volume for the same periods a year ago.</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Brokerage fees for the first six months of 2018 decreased 19%, compared to the same period of 2017, reflecting downtime in the first quarter of 2018 associated with transitioning to a new third-party broker dealer. Brokerage fees for the second quarter of 2018 increased 5% compared to the second quarter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and first six months of 2018, United realized $2.40 million and $4.18 million, respectively, in gains from the sales of the guaranteed portion of Small Business Administration (“SBA”) and United States Department of Agriculture (“USDA”) loans, compared to $2.63 million and $4.59 million in the same periods of 2017. United’s SBA/USDA lending strategy includes selling a portion of the loan production each quarter. In the second quarter and first six months of 2018, United sold the guaranteed portion of loans in the amount of $28.5 million and $50.7 million, respectively, compared to $30.3 million and $53.7 million, respectively, for the same periods a year ago.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noninterest income for the second quarter and first six months of 2018 was up $1.72 million and $4.15 million, respectively, from the same periods of 2017. Much of the increase in both periods is due to the Acquisitions. Noninterest income from NLFC added approximately $1.06 million and $1.85 million, respectively, to fee revenue for the second quarter and first six months of 2018. Second quarter 2018 other noninterest income also includes $533,000 in gains from the prepayment of fixed rate FHLB advances. In addition 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those gains, other noninterest income for the first six months of 2018 includes $1.16 million in gains from the first quarter cancellation of interest rate swaps and caps that were serving as economic hedges to protect against rising interest rates.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losses of $364,000 and $1.30 million recognized in the second quarter and first six months of 2018, respectively, were part of the same balance sheet management activities described above that resulted in the gains from prepayment of FHLB advances and cancellation of the derivative instruments. The gains from those activities and the securities losses are mostly offsetting.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Noninterest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ind w:left="6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Change</w:t>
            </w:r>
          </w:p>
        </w:tc>
      </w:tr>
      <w:tr>
        <w:trPr>
          <w:trHeight w:val="27"/>
        </w:trPr>
        <w:tc>
          <w:tcPr>
            <w:tcW w:w="2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w:t>
            </w: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Postage, printing and supplies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FDIC assessments and other</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charges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1,872</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09"/>
        </w:trPr>
        <w:tc>
          <w:tcPr>
            <w:tcW w:w="2720" w:type="dxa"/>
            <w:vAlign w:val="bottom"/>
          </w:tcPr>
          <w:p>
            <w:pPr>
              <w:ind w:left="180"/>
              <w:spacing w:after="0"/>
              <w:rPr>
                <w:sz w:val="20"/>
                <w:szCs w:val="20"/>
                <w:color w:val="auto"/>
              </w:rPr>
            </w:pPr>
            <w:r>
              <w:rPr>
                <w:rFonts w:ascii="Arial" w:cs="Arial" w:eastAsia="Arial" w:hAnsi="Arial"/>
                <w:sz w:val="18"/>
                <w:szCs w:val="18"/>
                <w:color w:val="auto"/>
                <w:w w:val="90"/>
              </w:rPr>
              <w:t>Total excluding merger-related and</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other charges</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74,570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13,171</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145,991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122,171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23,820</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Merger-related and other charges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57"/>
        </w:trPr>
        <w:tc>
          <w:tcPr>
            <w:tcW w:w="2720" w:type="dxa"/>
            <w:vAlign w:val="bottom"/>
          </w:tcPr>
          <w:p>
            <w:pPr>
              <w:ind w:left="180"/>
              <w:spacing w:after="0"/>
              <w:rPr>
                <w:sz w:val="20"/>
                <w:szCs w:val="20"/>
                <w:color w:val="auto"/>
              </w:rPr>
            </w:pPr>
            <w:r>
              <w:rPr>
                <w:rFonts w:ascii="Arial" w:cs="Arial" w:eastAsia="Arial" w:hAnsi="Arial"/>
                <w:sz w:val="18"/>
                <w:szCs w:val="18"/>
                <w:color w:val="auto"/>
              </w:rPr>
              <w:t>Total noninterest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76,850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63,229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13,621</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150,325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126,055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24,270</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expenses for the second quarter and first six months of 2018 totaled $76.9 million and $150 million, respectively, up $13.6 million or 22% and $24.3 million, or 19% from the same periods of 2017. The increase reflects the inclusion of the operating expenses of Acquisitions.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employee benefits for the second quarter of 2018 were $45.4 million, up $8.03 million, or 21%, from the second quarter of 2017. For the first six months of 2018, salaries and employee benefits were $88.2 million, up $14.2 million, or 19% from the same period of 2017. The increase was due to a number of factors including investments in additional staff and new teams to expand Commercial Banking Solutions and other key areas, additional staff resulting from the Acquisitions, and annual merit based salary increases awarded in the second quarter. Full time equivalent headcount totaled 2,289 at June 30, 2018, up from 1,928 at June 30,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Occupancy expenses increased primarily due to higher depreciation and lease rental charges for the expanded branch network resulting from the Acquisitions. Professional fees for the second quarter of 2018 of $3.46 million were up $1.09 million or 46%, from the second quarter of 2017. For the first six months of 2018, professional fees increased $2.09 million, or 39% from the same period of 2017. The increase was due primarily to the Acquisitions and increased legal fees associated with loan growth.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of $1.85 million and $3.75 million in the second quarter and first six months of 2018 increased relative to the same periods in 2017 due to the additional amortization resulting from intangibles related to the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and first six months of 2018, merger-related and other charges of $2.28 million and $4.33 million, respectively, consisted primarily of severance, conversion costs, branch closure costs, and legal and professional fees. In the second quarter of 2017, merger-related and other charges of $1.83 million consisted primarily of costs associated with executive retirements. In the first half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2017, merger-related and other charges of $3.88 million included executive retirement costs as well as severance, branch closure costs and technology equipment write offs.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income tax provision for the three and six months ended June 30, 2018 was $13.5 million and $24.3 million, respectively, which represents an effective tax rate of 25.5% and 23.9% respectively, for each period. The income tax provision for the three and six months ended June 30, 2017 was $16.5 million and $35.0 million, respectively, which represents an effective tax rate of 36.9% and 40.3%, respectively, for each period. The effective tax rate for the second quarter and first six months of 2018 reflects the lower federal income tax rate enacted following the passage of the Tax Act in the fourth quarter of 2017. The income tax provision for the second quarter of 2018 also included $509,000 of additional tax expense caused by the partial impairment of United’s net deferred tax asset as a result of the announcement that Georgia has elected to lower its corporate income tax rate from 6.00% to 5.75% effective January 1, 2019. The effective tax rate in the first six months of 2017 was affected by the release of disproportionate tax effects in the first quarter of 2017.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and December 31, 2017, United maintained a valuation allowance on its net deferred tax asset of $4.71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June 30, 2018 that it was more likely than not that the net deferred tax asset of $77.3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assets at June 30, 2018 and December 31, 2017 were $12.4 billion and $11.9 billion, respectively. Average total assets for both the second quarter and first half of 2018 were $12.2 billion, up from $10.7 billion in both the second quarter and first half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7 - Loans Outstanding</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Loan Type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1,681,737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1,923,993</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1,821,384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1,595,174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1,193,046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1,130,990</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735,575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711,936</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464,594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5,896,336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5,362,093</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1,020,606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973,544</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707,718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731,227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195,580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183,019</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127,504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277,275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358,185</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8,220,271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7,735,572</w:t>
            </w: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11"/>
        </w:trPr>
        <w:tc>
          <w:tcPr>
            <w:tcW w:w="7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total loans: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11"/>
        </w:trPr>
        <w:tc>
          <w:tcPr>
            <w:tcW w:w="7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Geographic Location</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North Georgia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1,000,943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1,018,945</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Atlanta MSA</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1,533,064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1,510,067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1,067,356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1,049,592</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Coastal Georgia</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622,845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629,919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Gainesville MSA</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229,431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248,060</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Tennessee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474,196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474,515</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1,571,171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1,485,632</w:t>
            </w:r>
          </w:p>
        </w:tc>
      </w:tr>
      <w:tr>
        <w:trPr>
          <w:trHeight w:val="3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Banking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1,443,979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960,657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32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277,286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358,185</w:t>
            </w:r>
          </w:p>
        </w:tc>
      </w:tr>
      <w:tr>
        <w:trPr>
          <w:trHeight w:val="3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8,220,271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7,735,572</w:t>
            </w: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96" w:right="239" w:bottom="1440" w:gutter="0" w:footer="0" w:header="0"/>
          <w:type w:val="continuous"/>
        </w:sectPr>
      </w:pPr>
    </w:p>
    <w:bookmarkStart w:id="66" w:name="page67"/>
    <w:bookmarkEnd w:id="66"/>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or are generated by the Commercial Banking Solutions division that focuses on specific commercial loan businesses, such as SBA and franchise lending. Approximately 75% of United’s loans are secured by real estate. Total loans averaged $8.18 billion in the second quarter of 2018, compared with $6.98 billion in the second quarter of 2017, an increase of 17% due in part to the Acquisitions. At June 30, 2018, total loans were $8.22 billion, an increase of $485 million from December 31, 2017, of which $359 million came through the acquisition of NLFC.</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June 30, 2018 and December 31, 2017, the funded portion of home equity lines totaled $708 million and $731 million, respectively. Approximately 3% of the home equity lines at June 30, 2018 were amortizing. Of the $708 million in balances outstanding at June 30, 2018, $428 million, or 60%, were secured by first liens. At June 30, 2018, 53% of the total available home equity lines were drawn upon.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8 - Performing Classified Loans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June 30, 2017</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Category</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42,169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34,427</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17,820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7,247</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97,031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14,970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12,929</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equity</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1,822</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1,697</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120,474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91,747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Market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25,417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26,243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34,638</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MSA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24,886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11,916</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Coastal Georgia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Tennessee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22,841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21,763</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Banking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1,697</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120,474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91,747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performing classified loans totaled $120 million and increased $9.09 million from the prior quarter-end primarily due to the downgrade of two commercial relationships.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9 - Allowance for Credit Losses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 at beginning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61,085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60,543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61,422</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1,100</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814</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563</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673</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895</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899</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733</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5,930</w:t>
            </w:r>
          </w:p>
        </w:tc>
      </w:tr>
      <w:tr>
        <w:trPr>
          <w:trHeight w:val="231"/>
        </w:trPr>
        <w:tc>
          <w:tcPr>
            <w:tcW w:w="590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357</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592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117</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149</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2,628</w:t>
            </w:r>
          </w:p>
        </w:tc>
      </w:tr>
      <w:tr>
        <w:trPr>
          <w:trHeight w:val="217"/>
        </w:trPr>
        <w:tc>
          <w:tcPr>
            <w:tcW w:w="5900" w:type="dxa"/>
            <w:vAlign w:val="bottom"/>
          </w:tcPr>
          <w:p>
            <w:pPr>
              <w:ind w:left="280"/>
              <w:spacing w:after="0"/>
              <w:rPr>
                <w:sz w:val="20"/>
                <w:szCs w:val="20"/>
                <w:color w:val="auto"/>
              </w:rPr>
            </w:pPr>
            <w:r>
              <w:rPr>
                <w:rFonts w:ascii="Arial" w:cs="Arial" w:eastAsia="Arial" w:hAnsi="Arial"/>
                <w:sz w:val="16"/>
                <w:szCs w:val="16"/>
                <w:color w:val="auto"/>
              </w:rPr>
              <w:t>Net charge-offs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3,302</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loan and lease losses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1,380</w:t>
            </w: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loan and lease losses at end of period</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61,071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59,500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61,071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59,500</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5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unfunded commitments at beginning of period</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2,002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unfunded commitments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unfunded commitments at end of period</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2,222</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63,966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61,722</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At period-end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8,220,271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7,040,932</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8,220,271</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7,040,932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Average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8,177,343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6,979,980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8,085,849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6,942,130</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w w:val="97"/>
              </w:rPr>
              <w:t>Allowance for loan and lease losses as a percentage of period-end loans and leases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average loans (annualized):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Net charge-offs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0.10</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loan and lease losses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r>
      <w:tr>
        <w:trPr>
          <w:trHeight w:val="33"/>
        </w:trPr>
        <w:tc>
          <w:tcPr>
            <w:tcW w:w="5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84" w:right="239" w:bottom="1440" w:gutter="0" w:footer="0" w:header="0"/>
          <w:type w:val="continuous"/>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$64.0 million at June 30, 2018, compared with $61.2 million at December 31, 2017. At June 30, 2018, the allowance for loan losses was $61.1 million, or 0.74% of loans, compared with $58.9 million, or 0.76% of total loans, at December 31,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credit losses at June 30, 2018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nonperforming assets.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10 -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Foreclosed properties/other real estate owned (OREO)</w:t>
            </w:r>
          </w:p>
        </w:tc>
        <w:tc>
          <w:tcPr>
            <w:tcW w:w="26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3,234</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18"/>
        </w:trPr>
        <w:tc>
          <w:tcPr>
            <w:tcW w:w="7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30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nonperforming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24,414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26,892</w:t>
            </w:r>
          </w:p>
        </w:tc>
      </w:tr>
      <w:tr>
        <w:trPr>
          <w:trHeight w:val="311"/>
        </w:trPr>
        <w:tc>
          <w:tcPr>
            <w:tcW w:w="7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Nonperforming loans as a percentage of total loans and leases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assets as a percentage of total loans and OREO</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Nonperforming assets as a percentage of total assets</w:t>
            </w:r>
          </w:p>
        </w:tc>
        <w:tc>
          <w:tcPr>
            <w:tcW w:w="26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0.23</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2018, nonperforming loans were $21.8 million compared to $23.7 million at December 31, 2017. Nonperforming assets, which include nonperforming loans and foreclosed real estate, totaled $24.4 million at June 30, 2018 and $26.9 million at December 31, 2017.</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June 30,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11 - Nonperforming Assets by Category and Market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Nonaccrual</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Foreclosed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Nonaccrual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Foreclosed</w:t>
            </w:r>
          </w:p>
        </w:tc>
        <w:tc>
          <w:tcPr>
            <w:tcW w:w="2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NPAs</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CATEGORY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6,878</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construction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8,912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equity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direct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1,637</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MARKET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North Georgia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7,404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MSA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5,756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Coastal Georgia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Gainesville MSA</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739</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Tennessee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Banking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1,637</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and December 31, 2017, United had $54.7 million and $58.1 million, respectively, in loans with terms that have been modified in TDRs. Included therein were $7.38 million and $5.50 million, respectively, of TDRs that were classified as nonaccrual and were included in nonperforming loans. The remaining TDRs with an aggregate balance of $47.3 million and $52.6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2018 and December 31, 2017, there were $57.4 million and $62.3 million, respectively, of loans classified as impaired under the definition outlined in the Accounting Standards Codification, including TDRs which are by definition considered impaired. Included in impaired loans at June 30, 2018 and December 31, 2017 was $20.5 million and $9.37 million, respectively, that did not require specific reserves or had previously been charged down to net realizable value. The remaining balance of impaired loans at June 30, 2018 and December 31, 2017 of $37.0 million and $52.9 million, respectively, had specific reserves that totaled $2.82 million and $3.26 million, respectively. The average recorded investment in impaired loans for the second quarters of 2018 and 2017 was $58.3 million and $86.4 million, respectively. For the six months ended June 30, 2018 and 2017, the average recorded investment in impaired loans was $62.2 million and $84.2 million, respectively. For the three and six months ended June 30, 2018, United recognized $731,000 and $1.48 million, respectively, in interest revenue on impaired loans compared to $1.00 million and $1.96 million, respectively, for the same periods of the prior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12 - Activity in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1"/>
              </w:rPr>
              <w:t>Second Quarter 2018</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1"/>
              </w:rPr>
              <w:t>Second Quarter 2017</w:t>
            </w:r>
          </w:p>
        </w:tc>
        <w:tc>
          <w:tcPr>
            <w:tcW w:w="10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Nonaccrual</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Foreclosed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Nonaccrual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Foreclosed</w:t>
            </w: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NPAs</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Loans placed on non-accrual</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8,110</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received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Loan charge-offs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Property sales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downs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gains (losses) on sales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205740</wp:posOffset>
            </wp:positionV>
            <wp:extent cx="513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First Six Months of 2018</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First Six Months of 2017</w:t>
            </w:r>
          </w:p>
        </w:tc>
        <w:tc>
          <w:tcPr>
            <w:tcW w:w="9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Nonaccrual</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Foreclosed</w:t>
            </w:r>
          </w:p>
        </w:tc>
        <w:tc>
          <w:tcPr>
            <w:tcW w:w="3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Nonaccrual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Foreclosed</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3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NPAs</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placed on non-accrual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Payments received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charge-offs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Foreclosures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sales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Write downs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(losses) on sales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57"/>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25,834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During the second quarter of 2018, United transferred $984,000 of loans into foreclosed property through foreclosures. During the same period, proceeds from sales of foreclosed property were $1.03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and December 31, 2017, United had securities held-to-maturity with a carrying amount of $298 million and $321 million, respectively, and securities available-for-sale totaling $2.54 billion and $2.62 billion, respectively. At June 30, 2018 and December 31, 2017, the securities portfolio represented approximately 23% and 25%, respectively, of total assets.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800" w:right="239" w:bottom="1440" w:gutter="0" w:footer="0" w:header="0"/>
          <w:type w:val="continuous"/>
        </w:sectPr>
      </w:pPr>
    </w:p>
    <w:bookmarkStart w:id="72" w:name="page73"/>
    <w:bookmarkEnd w:id="72"/>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2018 primarily reflect the effect of changes in interest rates. United did not recognize any other than temporary impairment losses on its investment securities during the three and six months ended June 30, 2018 or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and December 31, 2017, 12% and 15%,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June 30, 2018 were $9.52 billion, compared to $9.44 billion at December 31, 2017. Total core transaction deposits (demand, NOW, money market and savings deposits, excluding public funds deposits) of $6.94 billion at June 30, 2018 increased $175 million since December 31, 2017. United’s high level of service, as evidenced by its strong customer satisfaction scores, has been instrumental in attracting and retaining core transaction deposit accounts.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time deposits, excluding brokered deposits, as of June 30, 2018 were $1.52 billion, down $23.8 million from December 31, 2017. United has allowed some attrition of certificates of deposit, as funding needs have been met with lower cost transaction account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$560 million and $505 million, respectively, as of June 30, 2018 and December 31, 2017. United anticipates continued use of this short and long-term source of funds. Additional information regarding FHLB advances is provided in Note 13 to the consolidated financial statements included in United’s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73" w:name="page74"/>
    <w:bookmarkEnd w:id="73"/>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profitability, primarily in United’s core community banking activities of extending loans and accepting deposits.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twelve-month time frame, longer time horizons are also modeled.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the interest sensitivity position at the dates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Interest Sensitivity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7"/>
          </w:tcPr>
          <w:p>
            <w:pPr>
              <w:ind w:left="320"/>
              <w:spacing w:after="0"/>
              <w:rPr>
                <w:sz w:val="20"/>
                <w:szCs w:val="20"/>
                <w:color w:val="auto"/>
              </w:rPr>
            </w:pPr>
            <w:r>
              <w:rPr>
                <w:rFonts w:ascii="Arial" w:cs="Arial" w:eastAsia="Arial" w:hAnsi="Arial"/>
                <w:sz w:val="18"/>
                <w:szCs w:val="18"/>
                <w:b w:val="1"/>
                <w:bCs w:val="1"/>
                <w:color w:val="auto"/>
                <w:w w:val="93"/>
              </w:rPr>
              <w:t>Increase (Decrease) in Net Interest Revenue from Base Scenario at</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880"/>
              <w:spacing w:after="0"/>
              <w:rPr>
                <w:sz w:val="20"/>
                <w:szCs w:val="20"/>
                <w:color w:val="auto"/>
              </w:rPr>
            </w:pPr>
            <w:r>
              <w:rPr>
                <w:rFonts w:ascii="Arial" w:cs="Arial" w:eastAsia="Arial" w:hAnsi="Arial"/>
                <w:sz w:val="18"/>
                <w:szCs w:val="18"/>
                <w:b w:val="1"/>
                <w:bCs w:val="1"/>
                <w:color w:val="auto"/>
              </w:rPr>
              <w:t>June 30, 2018</w:t>
            </w:r>
          </w:p>
        </w:tc>
        <w:tc>
          <w:tcPr>
            <w:tcW w:w="2780" w:type="dxa"/>
            <w:vAlign w:val="bottom"/>
            <w:gridSpan w:val="3"/>
          </w:tcPr>
          <w:p>
            <w:pPr>
              <w:ind w:left="68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74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Change in Rates</w:t>
            </w:r>
          </w:p>
        </w:tc>
        <w:tc>
          <w:tcPr>
            <w:tcW w:w="1460" w:type="dxa"/>
            <w:vAlign w:val="bottom"/>
            <w:gridSpan w:val="2"/>
          </w:tcPr>
          <w:p>
            <w:pPr>
              <w:ind w:left="440"/>
              <w:spacing w:after="0"/>
              <w:rPr>
                <w:sz w:val="20"/>
                <w:szCs w:val="20"/>
                <w:color w:val="auto"/>
              </w:rPr>
            </w:pPr>
            <w:r>
              <w:rPr>
                <w:rFonts w:ascii="Arial" w:cs="Arial" w:eastAsia="Arial" w:hAnsi="Arial"/>
                <w:sz w:val="18"/>
                <w:szCs w:val="18"/>
                <w:b w:val="1"/>
                <w:bCs w:val="1"/>
                <w:color w:val="auto"/>
              </w:rPr>
              <w:t>Shock</w:t>
            </w:r>
          </w:p>
        </w:tc>
        <w:tc>
          <w:tcPr>
            <w:tcW w:w="1440" w:type="dxa"/>
            <w:vAlign w:val="bottom"/>
            <w:gridSpan w:val="2"/>
          </w:tcPr>
          <w:p>
            <w:pPr>
              <w:ind w:left="420"/>
              <w:spacing w:after="0"/>
              <w:rPr>
                <w:sz w:val="20"/>
                <w:szCs w:val="20"/>
                <w:color w:val="auto"/>
              </w:rPr>
            </w:pPr>
            <w:r>
              <w:rPr>
                <w:rFonts w:ascii="Arial" w:cs="Arial" w:eastAsia="Arial" w:hAnsi="Arial"/>
                <w:sz w:val="18"/>
                <w:szCs w:val="18"/>
                <w:b w:val="1"/>
                <w:bCs w:val="1"/>
                <w:color w:val="auto"/>
              </w:rPr>
              <w:t>Ramp</w:t>
            </w:r>
          </w:p>
        </w:tc>
        <w:tc>
          <w:tcPr>
            <w:tcW w:w="1420" w:type="dxa"/>
            <w:vAlign w:val="bottom"/>
            <w:gridSpan w:val="2"/>
          </w:tcPr>
          <w:p>
            <w:pPr>
              <w:ind w:left="420"/>
              <w:spacing w:after="0"/>
              <w:rPr>
                <w:sz w:val="20"/>
                <w:szCs w:val="20"/>
                <w:color w:val="auto"/>
              </w:rPr>
            </w:pPr>
            <w:r>
              <w:rPr>
                <w:rFonts w:ascii="Arial" w:cs="Arial" w:eastAsia="Arial" w:hAnsi="Arial"/>
                <w:sz w:val="18"/>
                <w:szCs w:val="18"/>
                <w:b w:val="1"/>
                <w:bCs w:val="1"/>
                <w:color w:val="auto"/>
              </w:rPr>
              <w:t>Shock</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Ramp</w:t>
            </w: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 basis point increase</w:t>
            </w:r>
          </w:p>
        </w:tc>
        <w:tc>
          <w:tcPr>
            <w:tcW w:w="1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5"/>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1"/>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5"/>
              </w:rPr>
              <w:t>(0.33)%</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100 basis point decrease</w:t>
            </w:r>
          </w:p>
        </w:tc>
        <w:tc>
          <w:tcPr>
            <w:tcW w:w="1340" w:type="dxa"/>
            <w:vAlign w:val="bottom"/>
          </w:tcPr>
          <w:p>
            <w:pPr>
              <w:ind w:left="72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(6.24)</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74" w:name="page75"/>
    <w:bookmarkEnd w:id="74"/>
    <w:p>
      <w:pPr>
        <w:jc w:val="both"/>
        <w:spacing w:after="0" w:line="264" w:lineRule="auto"/>
        <w:rPr>
          <w:sz w:val="20"/>
          <w:szCs w:val="20"/>
          <w:color w:val="auto"/>
        </w:rPr>
      </w:pPr>
      <w:r>
        <w:rPr>
          <w:rFonts w:ascii="Arial" w:cs="Arial" w:eastAsia="Arial" w:hAnsi="Arial"/>
          <w:sz w:val="18"/>
          <w:szCs w:val="18"/>
          <w:color w:val="auto"/>
        </w:rPr>
        <w:t>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manage interest rate sensitivity, management uses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 In addition to derivative instruments, management uses a variety of balance sheet instruments to manage interest rate risk such as investment securities, wholesale funding, and bank-issued deposits.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$361,000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under normal conditions for at least a 12-month period and under severely adverse liquidity conditions for a minimum of 30 days.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2018, United had cash and cash equivalent balances of $316 million and had sufficient qualifying collateral to increase FHLB advances by $774 million and Federal Reserve discount window borrowing capacity of $1.40 billion. United also has the ability to raise substantial funds through brokered deposits. In addition to these wholesale sources, United has the ability to attract retail deposits by competing more aggressively on pricing.</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 of cash flows, net cash provided by operating activities was $116 million for the six months ended June 30, 2018. Net income of $77.3 million for the six month period included non-cash expenses for the following: deferred income tax expense of $22.8 million, depreciation, amortization and accretion of $17.1 million, provision expense of $5.60 million and stock-based compensation expense of $2.28 million. Other sources of cash from operating activities included an increase in accrued expenses and other liabilities of $12.3 million, offset by an increase in other assets and accrued interest receivable of $18.8 million. Net cash used in investing activities of $124 million consisted primarily of $280 million in purchases of securities of available for sale, cash paid for acquisitions of $56.8 million and a net increase in loans of $117 million. These uses of cash were partially offset by maturities and calls and proceeds from the sale of investment securities available for sale of $174 million and $140 million, respectively. Net cash provided by financing activities of $9.49 million consisted primarily of a net increase in deposits of $159 million, issuance of subordinated debt of $98.2 million and a net increase in FHLB advances of $56.0 million. These sources of cash were partially offset by a net decrease in short-term borrowings of $256 million, cash dividends of $17.5 million and repayments of long-term debt of $30.0 million. In the opinion of management, United’s liquidity position at June 30, 2018, was sufficient to meet its expected cash flow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June 30, 2018 was $1.38 billion, an increase of $75.8 million from December 31, 2017 due to shares issued for the NLFC acquisition plus year-to-date earnings less dividends declared and a decrease in the value of available-for-sale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United’s capital ratios, as calculated under applicable regulatory guidelines, at June 30, 2018 and December 31, 2017. As of June 30, 2018, capital levels remained characterized as “well-capitalized” under the Basel III Capital Rules in effect at the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United Community Banks, Inc.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b w:val="1"/>
                <w:bCs w:val="1"/>
                <w:color w:val="auto"/>
              </w:rPr>
              <w:t>Basel III Guidelines</w:t>
            </w:r>
          </w:p>
        </w:tc>
        <w:tc>
          <w:tcPr>
            <w:tcW w:w="3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(Consolidated)</w:t>
            </w:r>
          </w:p>
        </w:tc>
        <w:tc>
          <w:tcPr>
            <w:tcW w:w="2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United Community Bank</w:t>
            </w:r>
          </w:p>
        </w:tc>
      </w:tr>
      <w:tr>
        <w:trPr>
          <w:trHeight w:val="27"/>
        </w:trPr>
        <w:tc>
          <w:tcPr>
            <w:tcW w:w="26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Well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Minimum</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302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June 30, 2018   December 31, 2017</w:t>
            </w:r>
          </w:p>
        </w:tc>
        <w:tc>
          <w:tcPr>
            <w:tcW w:w="294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June 30, 2018   December 31, 2017</w:t>
            </w:r>
          </w:p>
        </w:tc>
      </w:tr>
      <w:tr>
        <w:trPr>
          <w:trHeight w:val="27"/>
        </w:trPr>
        <w:tc>
          <w:tcPr>
            <w:tcW w:w="26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Risk-based ratios: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Common equity tier 1 capital</w:t>
            </w:r>
          </w:p>
        </w:tc>
        <w:tc>
          <w:tcPr>
            <w:tcW w:w="1300" w:type="dxa"/>
            <w:vAlign w:val="bottom"/>
          </w:tcPr>
          <w:p>
            <w:pPr>
              <w:ind w:left="880"/>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Tier I capital</w:t>
            </w:r>
          </w:p>
        </w:tc>
        <w:tc>
          <w:tcPr>
            <w:tcW w:w="1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12.93</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1300" w:type="dxa"/>
            <w:vAlign w:val="bottom"/>
          </w:tcPr>
          <w:p>
            <w:pPr>
              <w:ind w:left="8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13.63</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Leverage ratio</w:t>
            </w:r>
          </w:p>
        </w:tc>
        <w:tc>
          <w:tcPr>
            <w:tcW w:w="1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9.98</w:t>
            </w:r>
          </w:p>
        </w:tc>
      </w:tr>
      <w:tr>
        <w:trPr>
          <w:trHeight w:val="324"/>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tier 1 capital</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1,074,861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1,053,983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1,220,098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1,135,728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Tier I capital</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1,106,311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1,076,465</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1,220,098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1,135,728</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1,281,909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1,149,191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1,284,064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1,196,954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Risk-weighted assets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9,267,868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8,797,387</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9,252,050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8,781,177</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assets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11,887,877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11,403,248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11,885,069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11,385,716</w:t>
            </w:r>
          </w:p>
        </w:tc>
      </w:tr>
      <w:tr>
        <w:trPr>
          <w:trHeight w:val="675"/>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7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Table 15 - Stock Price Information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9"/>
                <w:szCs w:val="1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Avg Daily</w:t>
            </w:r>
          </w:p>
        </w:tc>
        <w:tc>
          <w:tcPr>
            <w:tcW w:w="10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High</w:t>
            </w:r>
          </w:p>
        </w:tc>
        <w:tc>
          <w:tcPr>
            <w:tcW w:w="10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Close</w:t>
            </w:r>
          </w:p>
        </w:tc>
        <w:tc>
          <w:tcPr>
            <w:tcW w:w="900" w:type="dxa"/>
            <w:vAlign w:val="bottom"/>
          </w:tcPr>
          <w:p>
            <w:pPr>
              <w:jc w:val="right"/>
              <w:spacing w:after="0"/>
              <w:rPr>
                <w:sz w:val="20"/>
                <w:szCs w:val="20"/>
                <w:color w:val="auto"/>
              </w:rPr>
            </w:pPr>
            <w:r>
              <w:rPr>
                <w:rFonts w:ascii="Arial" w:cs="Arial" w:eastAsia="Arial" w:hAnsi="Arial"/>
                <w:sz w:val="18"/>
                <w:szCs w:val="18"/>
                <w:color w:val="auto"/>
              </w:rPr>
              <w:t>Avg Daily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0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Volume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30.47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25.29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402,230</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402,802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365,725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material changes in United’s market risk as of June 30, 2018 from that presented in the Annual Report on Form 10-K for the year ended December 31, 2017. The interest rate sensitivity position at June 30, 2018 is included in Table 13 in management’s discussion and analysis of this report.</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June 30, 2018.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second quarter of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Total Number of</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 Purchased</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2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as Part of Publicly</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Price Paid</w:t>
            </w:r>
          </w:p>
        </w:tc>
        <w:tc>
          <w:tcPr>
            <w:tcW w:w="2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Announced Plans</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Yet Be Purchased Under</w:t>
            </w:r>
          </w:p>
        </w:tc>
      </w:tr>
      <w:tr>
        <w:trPr>
          <w:trHeight w:val="255"/>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w w:val="91"/>
              </w:rPr>
              <w:t>(Dollars in thousands, except for per share amounts)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Share</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 xml:space="preserve">the Plans or Programs </w:t>
            </w:r>
            <w:r>
              <w:rPr>
                <w:rFonts w:ascii="Arial" w:cs="Arial" w:eastAsia="Arial" w:hAnsi="Arial"/>
                <w:sz w:val="18"/>
                <w:szCs w:val="18"/>
                <w:b w:val="1"/>
                <w:bCs w:val="1"/>
                <w:color w:val="auto"/>
                <w:w w:val="88"/>
                <w:vertAlign w:val="superscript"/>
              </w:rPr>
              <w:t>(1)</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 April 30, 2018</w:t>
            </w:r>
          </w:p>
        </w:tc>
        <w:tc>
          <w:tcPr>
            <w:tcW w:w="14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May 1, 2018 - May 31, 2018</w:t>
            </w: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64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36,342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 June 30, 2018</w:t>
            </w:r>
          </w:p>
        </w:tc>
        <w:tc>
          <w:tcPr>
            <w:tcW w:w="14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5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640"/>
              <w:spacing w:after="0"/>
              <w:rPr>
                <w:sz w:val="20"/>
                <w:szCs w:val="20"/>
                <w:color w:val="auto"/>
              </w:rPr>
            </w:pPr>
            <w:r>
              <w:rPr>
                <w:rFonts w:ascii="Arial" w:cs="Arial" w:eastAsia="Arial" w:hAnsi="Arial"/>
                <w:sz w:val="18"/>
                <w:szCs w:val="18"/>
                <w:color w:val="auto"/>
              </w:rPr>
              <w:t>—   $</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36,342</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3" w:lineRule="auto"/>
        <w:tabs>
          <w:tab w:leader="none" w:pos="150" w:val="left"/>
        </w:tabs>
        <w:numPr>
          <w:ilvl w:val="0"/>
          <w:numId w:val="10"/>
        </w:numPr>
        <w:rPr>
          <w:rFonts w:ascii="Arial" w:cs="Arial" w:eastAsia="Arial" w:hAnsi="Arial"/>
          <w:sz w:val="17"/>
          <w:szCs w:val="17"/>
          <w:color w:val="auto"/>
          <w:vertAlign w:val="superscript"/>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In November of 2017, the Board of Directors extended this program through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June 30, 2018, the remaining authorization was $36.3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 – 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96"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17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2"/>
              </w:rPr>
              <w:t>Item 6. Exhibits</w:t>
            </w:r>
          </w:p>
        </w:tc>
        <w:tc>
          <w:tcPr>
            <w:tcW w:w="6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17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Exhibit No.</w:t>
            </w:r>
          </w:p>
        </w:tc>
        <w:tc>
          <w:tcPr>
            <w:tcW w:w="9640" w:type="dxa"/>
            <w:vAlign w:val="bottom"/>
            <w:gridSpan w:val="6"/>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500"/>
        </w:trPr>
        <w:tc>
          <w:tcPr>
            <w:tcW w:w="9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8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20" w:type="dxa"/>
            <w:vAlign w:val="bottom"/>
          </w:tcPr>
          <w:p>
            <w:pPr>
              <w:spacing w:after="0"/>
              <w:rPr>
                <w:sz w:val="24"/>
                <w:szCs w:val="24"/>
                <w:color w:val="auto"/>
              </w:rPr>
            </w:pPr>
          </w:p>
        </w:tc>
        <w:tc>
          <w:tcPr>
            <w:tcW w:w="89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Executive Transition Agreement, dated May 10, 2018, by and between United Community Banks, Inc. and Jimmy C. Tallent</w:t>
              </w:r>
            </w:hyperlink>
          </w:p>
        </w:tc>
        <w:tc>
          <w:tcPr>
            <w:tcW w:w="660" w:type="dxa"/>
            <w:vAlign w:val="bottom"/>
            <w:gridSpan w:val="3"/>
          </w:tcPr>
          <w:p>
            <w:pPr>
              <w:spacing w:after="0"/>
              <w:rPr>
                <w:sz w:val="24"/>
                <w:szCs w:val="24"/>
                <w:color w:val="auto"/>
              </w:rPr>
            </w:pPr>
          </w:p>
        </w:tc>
      </w:tr>
      <w:tr>
        <w:trPr>
          <w:trHeight w:val="57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40" w:type="dxa"/>
            <w:vAlign w:val="bottom"/>
            <w:tcBorders>
              <w:bottom w:val="single" w:sz="8" w:color="0000FF"/>
            </w:tcBorders>
            <w:gridSpan w:val="6"/>
          </w:tcPr>
          <w:p>
            <w:pPr>
              <w:spacing w:after="0"/>
              <w:rPr>
                <w:rFonts w:ascii="Arial" w:cs="Arial" w:eastAsia="Arial" w:hAnsi="Arial"/>
                <w:sz w:val="18"/>
                <w:szCs w:val="18"/>
                <w:color w:val="0000FF"/>
                <w:w w:val="94"/>
              </w:rPr>
            </w:pPr>
            <w:hyperlink w:anchor="page92">
              <w:r>
                <w:rPr>
                  <w:rFonts w:ascii="Arial" w:cs="Arial" w:eastAsia="Arial" w:hAnsi="Arial"/>
                  <w:sz w:val="18"/>
                  <w:szCs w:val="18"/>
                  <w:color w:val="0000FF"/>
                  <w:w w:val="94"/>
                </w:rPr>
                <w:t>Certification by H. Lynn Harton, Chief Executive Officer of United Community Banks, Inc., pursuant to Exchange Act Rules 13a-</w:t>
              </w:r>
            </w:hyperlink>
          </w:p>
        </w:tc>
      </w:tr>
      <w:tr>
        <w:trPr>
          <w:trHeight w:val="196"/>
        </w:trPr>
        <w:tc>
          <w:tcPr>
            <w:tcW w:w="920" w:type="dxa"/>
            <w:vAlign w:val="bottom"/>
          </w:tcPr>
          <w:p>
            <w:pPr>
              <w:spacing w:after="0"/>
              <w:rPr>
                <w:sz w:val="17"/>
                <w:szCs w:val="17"/>
                <w:color w:val="auto"/>
              </w:rPr>
            </w:pPr>
          </w:p>
        </w:tc>
        <w:tc>
          <w:tcPr>
            <w:tcW w:w="32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85"/>
              </w:rPr>
            </w:pPr>
            <w:hyperlink w:anchor="page9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20" w:type="dxa"/>
            <w:vAlign w:val="bottom"/>
          </w:tcPr>
          <w:p>
            <w:pPr>
              <w:spacing w:after="0"/>
              <w:rPr>
                <w:sz w:val="17"/>
                <w:szCs w:val="17"/>
                <w:color w:val="auto"/>
              </w:rPr>
            </w:pPr>
          </w:p>
        </w:tc>
        <w:tc>
          <w:tcPr>
            <w:tcW w:w="664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14(a) and 15d-14(a), as adopted pursuant to Section 302 of the Sarbanes-Oxley Act of 2002.</w:t>
              </w:r>
            </w:hyperlink>
          </w:p>
        </w:tc>
        <w:tc>
          <w:tcPr>
            <w:tcW w:w="3000" w:type="dxa"/>
            <w:vAlign w:val="bottom"/>
            <w:gridSpan w:val="5"/>
          </w:tcPr>
          <w:p>
            <w:pPr>
              <w:spacing w:after="0"/>
              <w:rPr>
                <w:sz w:val="17"/>
                <w:szCs w:val="17"/>
                <w:color w:val="auto"/>
              </w:rPr>
            </w:pPr>
          </w:p>
        </w:tc>
      </w:tr>
      <w:tr>
        <w:trPr>
          <w:trHeight w:val="520"/>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40" w:type="dxa"/>
            <w:vAlign w:val="bottom"/>
            <w:gridSpan w:val="6"/>
          </w:tcPr>
          <w:p>
            <w:pPr>
              <w:spacing w:after="0"/>
              <w:rPr>
                <w:rFonts w:ascii="Arial" w:cs="Arial" w:eastAsia="Arial" w:hAnsi="Arial"/>
                <w:sz w:val="18"/>
                <w:szCs w:val="18"/>
                <w:color w:val="0000FF"/>
                <w:w w:val="96"/>
              </w:rPr>
            </w:pPr>
            <w:hyperlink w:anchor="page93">
              <w:r>
                <w:rPr>
                  <w:rFonts w:ascii="Arial" w:cs="Arial" w:eastAsia="Arial" w:hAnsi="Arial"/>
                  <w:sz w:val="18"/>
                  <w:szCs w:val="18"/>
                  <w:color w:val="0000FF"/>
                  <w:w w:val="96"/>
                </w:rPr>
                <w:t>Certification by Jefferson L. Harralson, Executive Vice President and Chief Financial Officer of United Community Banks, Inc.,</w:t>
              </w:r>
            </w:hyperlink>
          </w:p>
        </w:tc>
      </w:tr>
      <w:tr>
        <w:trPr>
          <w:trHeight w:val="196"/>
        </w:trPr>
        <w:tc>
          <w:tcPr>
            <w:tcW w:w="920" w:type="dxa"/>
            <w:vAlign w:val="bottom"/>
          </w:tcPr>
          <w:p>
            <w:pPr>
              <w:spacing w:after="0"/>
              <w:rPr>
                <w:sz w:val="17"/>
                <w:szCs w:val="17"/>
                <w:color w:val="auto"/>
              </w:rPr>
            </w:pPr>
          </w:p>
        </w:tc>
        <w:tc>
          <w:tcPr>
            <w:tcW w:w="320" w:type="dxa"/>
            <w:vAlign w:val="bottom"/>
            <w:gridSpan w:val="2"/>
          </w:tcPr>
          <w:p>
            <w:pPr>
              <w:jc w:val="right"/>
              <w:spacing w:after="0" w:line="196" w:lineRule="exact"/>
              <w:rPr>
                <w:rFonts w:ascii="Arial" w:cs="Arial" w:eastAsia="Arial" w:hAnsi="Arial"/>
                <w:sz w:val="18"/>
                <w:szCs w:val="18"/>
                <w:color w:val="0000FF"/>
                <w:w w:val="85"/>
              </w:rPr>
            </w:pPr>
            <w:hyperlink w:anchor="page9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20" w:type="dxa"/>
            <w:vAlign w:val="bottom"/>
          </w:tcPr>
          <w:p>
            <w:pPr>
              <w:spacing w:after="0"/>
              <w:rPr>
                <w:sz w:val="17"/>
                <w:szCs w:val="17"/>
                <w:color w:val="auto"/>
              </w:rPr>
            </w:pPr>
          </w:p>
        </w:tc>
        <w:tc>
          <w:tcPr>
            <w:tcW w:w="9620" w:type="dxa"/>
            <w:vAlign w:val="bottom"/>
            <w:tcBorders>
              <w:top w:val="single" w:sz="8" w:color="0000FF"/>
            </w:tcBorders>
            <w:gridSpan w:val="5"/>
          </w:tcPr>
          <w:p>
            <w:pPr>
              <w:spacing w:after="0" w:line="196" w:lineRule="exact"/>
              <w:rPr>
                <w:rFonts w:ascii="Arial" w:cs="Arial" w:eastAsia="Arial" w:hAnsi="Arial"/>
                <w:sz w:val="18"/>
                <w:szCs w:val="18"/>
                <w:color w:val="0000FF"/>
                <w:w w:val="92"/>
              </w:rPr>
            </w:pPr>
            <w:hyperlink w:anchor="page93">
              <w:r>
                <w:rPr>
                  <w:rFonts w:ascii="Arial" w:cs="Arial" w:eastAsia="Arial" w:hAnsi="Arial"/>
                  <w:sz w:val="18"/>
                  <w:szCs w:val="18"/>
                  <w:color w:val="0000FF"/>
                  <w:w w:val="92"/>
                </w:rPr>
                <w:t>pursuant to Exchange Act Rules 13a-14(a) and 15d-14(a), as adopted pursuant to Section 302 of the Sarbanes-Oxley Act of 2002.</w:t>
              </w:r>
            </w:hyperlink>
          </w:p>
        </w:tc>
        <w:tc>
          <w:tcPr>
            <w:tcW w:w="20" w:type="dxa"/>
            <w:vAlign w:val="bottom"/>
          </w:tcPr>
          <w:p>
            <w:pPr>
              <w:spacing w:after="0"/>
              <w:rPr>
                <w:sz w:val="17"/>
                <w:szCs w:val="17"/>
                <w:color w:val="auto"/>
              </w:rPr>
            </w:pPr>
          </w:p>
        </w:tc>
      </w:tr>
      <w:tr>
        <w:trPr>
          <w:trHeight w:val="520"/>
        </w:trPr>
        <w:tc>
          <w:tcPr>
            <w:tcW w:w="920" w:type="dxa"/>
            <w:vAlign w:val="bottom"/>
          </w:tcPr>
          <w:p>
            <w:pPr>
              <w:spacing w:after="0"/>
              <w:rPr>
                <w:sz w:val="24"/>
                <w:szCs w:val="24"/>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32</w:t>
              </w:r>
            </w:hyperlink>
          </w:p>
        </w:tc>
        <w:tc>
          <w:tcPr>
            <w:tcW w:w="520" w:type="dxa"/>
            <w:vAlign w:val="bottom"/>
          </w:tcPr>
          <w:p>
            <w:pPr>
              <w:spacing w:after="0"/>
              <w:rPr>
                <w:sz w:val="24"/>
                <w:szCs w:val="24"/>
                <w:color w:val="auto"/>
              </w:rPr>
            </w:pPr>
          </w:p>
        </w:tc>
        <w:tc>
          <w:tcPr>
            <w:tcW w:w="9320" w:type="dxa"/>
            <w:vAlign w:val="bottom"/>
            <w:tcBorders>
              <w:top w:val="single" w:sz="8" w:color="0000FF"/>
            </w:tcBorders>
            <w:gridSpan w:val="4"/>
          </w:tcPr>
          <w:p>
            <w:pPr>
              <w:spacing w:after="0"/>
              <w:rPr>
                <w:rFonts w:ascii="Arial" w:cs="Arial" w:eastAsia="Arial" w:hAnsi="Arial"/>
                <w:sz w:val="18"/>
                <w:szCs w:val="18"/>
                <w:color w:val="0000FF"/>
                <w:w w:val="96"/>
              </w:rPr>
            </w:pPr>
            <w:hyperlink w:anchor="page94">
              <w:r>
                <w:rPr>
                  <w:rFonts w:ascii="Arial" w:cs="Arial" w:eastAsia="Arial" w:hAnsi="Arial"/>
                  <w:sz w:val="18"/>
                  <w:szCs w:val="18"/>
                  <w:color w:val="0000FF"/>
                  <w:w w:val="96"/>
                </w:rPr>
                <w:t>Certification pursuant to 18 U.S.C. Section 1350, as adopted pursuant to Section 906 of the Sarbanes-Oxley Act of 2002.</w:t>
              </w:r>
            </w:hyperlink>
          </w:p>
        </w:tc>
        <w:tc>
          <w:tcPr>
            <w:tcW w:w="320" w:type="dxa"/>
            <w:vAlign w:val="bottom"/>
            <w:gridSpan w:val="2"/>
          </w:tcPr>
          <w:p>
            <w:pPr>
              <w:spacing w:after="0"/>
              <w:rPr>
                <w:sz w:val="24"/>
                <w:szCs w:val="24"/>
                <w:color w:val="auto"/>
              </w:rPr>
            </w:pPr>
          </w:p>
        </w:tc>
      </w:tr>
      <w:tr>
        <w:trPr>
          <w:trHeight w:val="20"/>
        </w:trPr>
        <w:tc>
          <w:tcPr>
            <w:tcW w:w="10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r>
      <w:tr>
        <w:trPr>
          <w:trHeight w:val="561"/>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101.INS</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101.SCH</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101.CAL</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101.DEF</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101.LAB</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760" w:type="dxa"/>
            <w:vAlign w:val="bottom"/>
            <w:gridSpan w:val="4"/>
          </w:tcPr>
          <w:p>
            <w:pPr>
              <w:jc w:val="right"/>
              <w:ind w:right="520"/>
              <w:spacing w:after="0"/>
              <w:rPr>
                <w:sz w:val="20"/>
                <w:szCs w:val="20"/>
                <w:color w:val="auto"/>
              </w:rPr>
            </w:pPr>
            <w:r>
              <w:rPr>
                <w:rFonts w:ascii="Arial" w:cs="Arial" w:eastAsia="Arial" w:hAnsi="Arial"/>
                <w:sz w:val="18"/>
                <w:szCs w:val="18"/>
                <w:color w:val="auto"/>
              </w:rPr>
              <w:t>101.PRE</w:t>
            </w:r>
          </w:p>
        </w:tc>
        <w:tc>
          <w:tcPr>
            <w:tcW w:w="96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40" w:type="dxa"/>
            <w:vAlign w:val="bottom"/>
          </w:tcPr>
          <w:p>
            <w:pPr>
              <w:ind w:left="3860"/>
              <w:spacing w:after="0"/>
              <w:rPr>
                <w:sz w:val="20"/>
                <w:szCs w:val="20"/>
                <w:color w:val="auto"/>
              </w:rPr>
            </w:pPr>
            <w:r>
              <w:rPr>
                <w:rFonts w:ascii="Arial" w:cs="Arial" w:eastAsia="Arial" w:hAnsi="Arial"/>
                <w:sz w:val="18"/>
                <w:szCs w:val="18"/>
                <w:color w:val="auto"/>
              </w:rPr>
              <w:t>73</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TRANSITION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EXECUTIVE TRANSITION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Transition Agreement</w:t>
      </w:r>
      <w:r>
        <w:rPr>
          <w:rFonts w:ascii="Arial" w:cs="Arial" w:eastAsia="Arial" w:hAnsi="Arial"/>
          <w:sz w:val="20"/>
          <w:szCs w:val="20"/>
          <w:color w:val="auto"/>
        </w:rPr>
        <w:t>”) is made as of the 10th day of May, 2018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UNITED COMMUNITY BANKS, INC.</w:t>
      </w:r>
      <w:r>
        <w:rPr>
          <w:rFonts w:ascii="Arial" w:cs="Arial" w:eastAsia="Arial" w:hAnsi="Arial"/>
          <w:sz w:val="20"/>
          <w:szCs w:val="20"/>
          <w:color w:val="auto"/>
        </w:rPr>
        <w:t>, incorporated under the laws of the state of Georgia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and Jimmy C. Tallent, a resident of the State of Georgia (“</w:t>
      </w:r>
      <w:r>
        <w:rPr>
          <w:rFonts w:ascii="Arial" w:cs="Arial" w:eastAsia="Arial" w:hAnsi="Arial"/>
          <w:sz w:val="20"/>
          <w:szCs w:val="20"/>
          <w:b w:val="1"/>
          <w:bCs w:val="1"/>
          <w:i w:val="1"/>
          <w:iCs w:val="1"/>
          <w:color w:val="auto"/>
        </w:rPr>
        <w:t>Tallent</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Tallent currently serves as Chief Executive Officer and Chairman of the Corporation; 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and Tallent desire to set forth their mutual agreement with respect to matters relating to Tallent’s</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from the position as Chief Executive Officer and Chairman and his continued service, first, as Executive Chairman, then, as consultant, and the terms of Tallent’s transition, compensation and benefits and other matters related thereto;</w:t>
      </w:r>
    </w:p>
    <w:p>
      <w:pPr>
        <w:spacing w:after="0" w:line="19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above premises and the mutual agreements hereinafter set forth, the parties hereby agree</w:t>
      </w:r>
      <w:r>
        <w:rPr>
          <w:rFonts w:ascii="Arial" w:cs="Arial" w:eastAsia="Arial" w:hAnsi="Arial"/>
          <w:sz w:val="20"/>
          <w:szCs w:val="20"/>
          <w:b w:val="1"/>
          <w:bCs w:val="1"/>
          <w:color w:val="auto"/>
        </w:rPr>
        <w:t xml:space="preserve"> </w:t>
      </w:r>
      <w:r>
        <w:rPr>
          <w:rFonts w:ascii="Arial" w:cs="Arial" w:eastAsia="Arial" w:hAnsi="Arial"/>
          <w:sz w:val="20"/>
          <w:szCs w:val="20"/>
          <w:color w:val="auto"/>
        </w:rPr>
        <w:t>as follows:</w:t>
      </w:r>
    </w:p>
    <w:p>
      <w:pPr>
        <w:spacing w:after="0" w:line="17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Transition; Duties</w:t>
      </w:r>
      <w:r>
        <w:rPr>
          <w:rFonts w:ascii="Arial" w:cs="Arial" w:eastAsia="Arial" w:hAnsi="Arial"/>
          <w:sz w:val="20"/>
          <w:szCs w:val="20"/>
          <w:u w:val="single" w:color="auto"/>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Executive Chairman</w:t>
      </w:r>
      <w:r>
        <w:rPr>
          <w:rFonts w:ascii="Arial" w:cs="Arial" w:eastAsia="Arial" w:hAnsi="Arial"/>
          <w:sz w:val="18"/>
          <w:szCs w:val="18"/>
          <w:color w:val="auto"/>
        </w:rPr>
        <w:t>. Effective July 1, 2018 (the “</w:t>
      </w:r>
      <w:r>
        <w:rPr>
          <w:rFonts w:ascii="Arial" w:cs="Arial" w:eastAsia="Arial" w:hAnsi="Arial"/>
          <w:sz w:val="18"/>
          <w:szCs w:val="18"/>
          <w:b w:val="1"/>
          <w:bCs w:val="1"/>
          <w:i w:val="1"/>
          <w:iCs w:val="1"/>
          <w:color w:val="auto"/>
        </w:rPr>
        <w:t>Executive Chairman Transition Date</w:t>
      </w:r>
      <w:r>
        <w:rPr>
          <w:rFonts w:ascii="Arial" w:cs="Arial" w:eastAsia="Arial" w:hAnsi="Arial"/>
          <w:sz w:val="18"/>
          <w:szCs w:val="18"/>
          <w:color w:val="auto"/>
        </w:rPr>
        <w:t>”), Tallent shall resign as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and Chairman of the Corporation and commence employment as the Executive Chairman of the Corporation. Tallent shall serve as Executive Chairman of the Corporation from the Executive Chairman Transition Date through June 30, 2019;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Tallent and the Board of Directors of the Corporation may extend the Executive Chairman Term in one or more consecutive one-year increments by mutual agreement (the original term and any renewal term, being the “</w:t>
      </w:r>
      <w:r>
        <w:rPr>
          <w:rFonts w:ascii="Arial" w:cs="Arial" w:eastAsia="Arial" w:hAnsi="Arial"/>
          <w:sz w:val="18"/>
          <w:szCs w:val="18"/>
          <w:b w:val="1"/>
          <w:bCs w:val="1"/>
          <w:i w:val="1"/>
          <w:iCs w:val="1"/>
          <w:color w:val="auto"/>
        </w:rPr>
        <w:t>Executive Chairman Term</w:t>
      </w:r>
      <w:r>
        <w:rPr>
          <w:rFonts w:ascii="Arial" w:cs="Arial" w:eastAsia="Arial" w:hAnsi="Arial"/>
          <w:sz w:val="18"/>
          <w:szCs w:val="18"/>
          <w:color w:val="auto"/>
        </w:rPr>
        <w:t>”) and Tallent may at any time while serving as Executive Chairman resign as Executive Chairman and commence service as consultant pursuant to Section 1.2 below. As Executive Chairman, Tallent shall perform and discharge the duties and responsibilities reasonably assigned to Tallent from time to time by the Board of Directors of the Corporation, which will include only those duties and responsibilities customarily performed by an Executive Chairman including, without limitation, facilitating a smooth transition by providing his knowledge, counsel and advice to his successor; and providing general strategy guidance with respect to the Corporation and United Community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or together with the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including regarding the Company’s organic growth strategy and mergers and acquisitions. Tallent shall also advise the Company with respect to investor, customer, and employee relations. For the avoidance of doubt, during the Executive Chairman Term, Tallent shall be a regular full-time employee of the Corporation.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Consultant</w:t>
      </w:r>
      <w:r>
        <w:rPr>
          <w:rFonts w:ascii="Arial" w:cs="Arial" w:eastAsia="Arial" w:hAnsi="Arial"/>
          <w:sz w:val="19"/>
          <w:szCs w:val="19"/>
          <w:color w:val="auto"/>
        </w:rPr>
        <w:t>. Effective as of the end of the Executive Chairman Term, as extended, if applicable (the “</w:t>
      </w:r>
      <w:r>
        <w:rPr>
          <w:rFonts w:ascii="Arial" w:cs="Arial" w:eastAsia="Arial" w:hAnsi="Arial"/>
          <w:sz w:val="19"/>
          <w:szCs w:val="19"/>
          <w:b w:val="1"/>
          <w:bCs w:val="1"/>
          <w:i w:val="1"/>
          <w:iCs w:val="1"/>
          <w:color w:val="auto"/>
        </w:rPr>
        <w:t>Consultant Transition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and until the three-year anniversary of the Consultant Transition Date if the Consultant Transition Date begins on or before July 1, 2019</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until the two year anniversary of the Consultant Transition Date if the Consultant Transition Date begins thereafter (the “</w:t>
      </w:r>
      <w:r>
        <w:rPr>
          <w:rFonts w:ascii="Arial" w:cs="Arial" w:eastAsia="Arial" w:hAnsi="Arial"/>
          <w:sz w:val="19"/>
          <w:szCs w:val="19"/>
          <w:b w:val="1"/>
          <w:bCs w:val="1"/>
          <w:i w:val="1"/>
          <w:iCs w:val="1"/>
          <w:color w:val="auto"/>
        </w:rPr>
        <w:t>Consulting Term</w:t>
      </w:r>
      <w:r>
        <w:rPr>
          <w:rFonts w:ascii="Arial" w:cs="Arial" w:eastAsia="Arial" w:hAnsi="Arial"/>
          <w:sz w:val="19"/>
          <w:szCs w:val="19"/>
          <w:color w:val="auto"/>
        </w:rPr>
        <w:t>”), Tallent shall resign as Executive Chairman and cease employment with the Corporation and shall thereafter serve as a consultant and provide services to the Company in the form of strategic advice as reasonably requested from time to time by the Corporation’s Chief Executive Officer and/or Board of Directors. For the avoidance of doubt, during the Consulting Term, Tallent shall provide services as an independent contractor and not as an employee, agent or representative of the Company. During the Consulting Term, Tallent shall devote sufficient business time and energy in providing consulting services as is reasonably necessary to perform his consulting services, which the Corporation and Tallent anticipate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53" w:right="239" w:bottom="1440" w:gutter="0" w:footer="0" w:header="0"/>
        </w:sectPr>
      </w:pPr>
    </w:p>
    <w:bookmarkStart w:id="81" w:name="page82"/>
    <w:bookmarkEnd w:id="81"/>
    <w:p>
      <w:pPr>
        <w:spacing w:after="0" w:line="260" w:lineRule="auto"/>
        <w:rPr>
          <w:sz w:val="20"/>
          <w:szCs w:val="20"/>
          <w:color w:val="auto"/>
        </w:rPr>
      </w:pPr>
      <w:r>
        <w:rPr>
          <w:rFonts w:ascii="Arial" w:cs="Arial" w:eastAsia="Arial" w:hAnsi="Arial"/>
          <w:sz w:val="20"/>
          <w:szCs w:val="20"/>
          <w:color w:val="auto"/>
        </w:rPr>
        <w:t>to be no more than 20% of the average level of services performed by Tallent for the Company over the thirty-six months immediately preceding the Consultant Transition Date.</w:t>
      </w:r>
    </w:p>
    <w:p>
      <w:pPr>
        <w:spacing w:after="0" w:line="184" w:lineRule="exact"/>
        <w:rPr>
          <w:sz w:val="20"/>
          <w:szCs w:val="20"/>
          <w:color w:val="auto"/>
        </w:rPr>
      </w:pPr>
    </w:p>
    <w:p>
      <w:pPr>
        <w:ind w:firstLine="8"/>
        <w:spacing w:after="0" w:line="267" w:lineRule="auto"/>
        <w:tabs>
          <w:tab w:leader="none" w:pos="414"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color w:val="auto"/>
        </w:rPr>
        <w:t>. Tallent shall receive the following compensation and benefits during the Executive Chairman Term and the Consulting</w:t>
      </w:r>
      <w:r>
        <w:rPr>
          <w:rFonts w:ascii="Arial" w:cs="Arial" w:eastAsia="Arial" w:hAnsi="Arial"/>
          <w:sz w:val="20"/>
          <w:szCs w:val="20"/>
          <w:b w:val="1"/>
          <w:bCs w:val="1"/>
          <w:color w:val="auto"/>
        </w:rPr>
        <w:t xml:space="preserve"> </w:t>
      </w:r>
      <w:r>
        <w:rPr>
          <w:rFonts w:ascii="Arial" w:cs="Arial" w:eastAsia="Arial" w:hAnsi="Arial"/>
          <w:sz w:val="20"/>
          <w:szCs w:val="20"/>
          <w:color w:val="auto"/>
        </w:rPr>
        <w:t>Term (together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 except as otherwise provided below:</w:t>
      </w:r>
    </w:p>
    <w:p>
      <w:pPr>
        <w:spacing w:after="0" w:line="17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b w:val="1"/>
          <w:bCs w:val="1"/>
          <w:u w:val="single" w:color="auto"/>
          <w:color w:val="auto"/>
        </w:rPr>
        <w:t>Salary; Compensation for Services</w:t>
      </w:r>
      <w:r>
        <w:rPr>
          <w:rFonts w:ascii="Arial" w:cs="Arial" w:eastAsia="Arial" w:hAnsi="Arial"/>
          <w:sz w:val="20"/>
          <w:szCs w:val="20"/>
          <w:color w:val="auto"/>
        </w:rPr>
        <w:t>. In consideration of his service during the Term and his agreement to the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Sections 4-7 of this Agreement during and after the Term:</w:t>
      </w:r>
    </w:p>
    <w:p>
      <w:pPr>
        <w:spacing w:after="0" w:line="183" w:lineRule="exact"/>
        <w:rPr>
          <w:sz w:val="20"/>
          <w:szCs w:val="20"/>
          <w:color w:val="auto"/>
        </w:rPr>
      </w:pPr>
    </w:p>
    <w:p>
      <w:pPr>
        <w:jc w:val="both"/>
        <w:ind w:left="660" w:firstLine="645"/>
        <w:spacing w:after="0" w:line="246" w:lineRule="auto"/>
        <w:tabs>
          <w:tab w:leader="none" w:pos="1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During the Executive Chairman Term, Tallent’s annual base salary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shall be Five Hundred Thousand Dollars ($500,000) per year (the “</w:t>
      </w:r>
      <w:r>
        <w:rPr>
          <w:rFonts w:ascii="Arial" w:cs="Arial" w:eastAsia="Arial" w:hAnsi="Arial"/>
          <w:sz w:val="20"/>
          <w:szCs w:val="20"/>
          <w:b w:val="1"/>
          <w:bCs w:val="1"/>
          <w:i w:val="1"/>
          <w:iCs w:val="1"/>
          <w:color w:val="auto"/>
        </w:rPr>
        <w:t>Executive Chairman Salary</w:t>
      </w:r>
      <w:r>
        <w:rPr>
          <w:rFonts w:ascii="Arial" w:cs="Arial" w:eastAsia="Arial" w:hAnsi="Arial"/>
          <w:sz w:val="20"/>
          <w:szCs w:val="20"/>
          <w:color w:val="auto"/>
        </w:rPr>
        <w:t>”) (prorated for any partial year), which amount shall be paid in equal installments throughout the year (no less frequently than monthly) in accordance with the Company’s regular payroll practices and policies during the Executive Chairman Term.</w:t>
      </w:r>
    </w:p>
    <w:p>
      <w:pPr>
        <w:spacing w:after="0" w:line="205" w:lineRule="exact"/>
        <w:rPr>
          <w:rFonts w:ascii="Arial" w:cs="Arial" w:eastAsia="Arial" w:hAnsi="Arial"/>
          <w:sz w:val="20"/>
          <w:szCs w:val="20"/>
          <w:color w:val="auto"/>
        </w:rPr>
      </w:pPr>
    </w:p>
    <w:p>
      <w:pPr>
        <w:jc w:val="both"/>
        <w:ind w:left="660" w:firstLine="645"/>
        <w:spacing w:after="0" w:line="250" w:lineRule="auto"/>
        <w:tabs>
          <w:tab w:leader="none" w:pos="17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During the Consulting Term, the Corporation shall pay Tallent Three Hundred and Fifty Thousand Dollars ($350,000) per year (“</w:t>
      </w:r>
      <w:r>
        <w:rPr>
          <w:rFonts w:ascii="Arial" w:cs="Arial" w:eastAsia="Arial" w:hAnsi="Arial"/>
          <w:sz w:val="20"/>
          <w:szCs w:val="20"/>
          <w:b w:val="1"/>
          <w:bCs w:val="1"/>
          <w:i w:val="1"/>
          <w:iCs w:val="1"/>
          <w:color w:val="auto"/>
        </w:rPr>
        <w:t>Consultant Compensation</w:t>
      </w:r>
      <w:r>
        <w:rPr>
          <w:rFonts w:ascii="Arial" w:cs="Arial" w:eastAsia="Arial" w:hAnsi="Arial"/>
          <w:sz w:val="20"/>
          <w:szCs w:val="20"/>
          <w:color w:val="auto"/>
        </w:rPr>
        <w:t>”) (prorated for any partial year), which amount shall be paid in equal monthly installments on the 1st business day of each month during the Consulting Term.</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u w:val="single" w:color="auto"/>
          <w:color w:val="auto"/>
        </w:rPr>
        <w:t>Equity Awards</w:t>
      </w:r>
      <w:r>
        <w:rPr>
          <w:rFonts w:ascii="Arial" w:cs="Arial" w:eastAsia="Arial" w:hAnsi="Arial"/>
          <w:sz w:val="18"/>
          <w:szCs w:val="18"/>
          <w:color w:val="auto"/>
        </w:rPr>
        <w:t>.</w:t>
      </w:r>
    </w:p>
    <w:p>
      <w:pPr>
        <w:spacing w:after="0" w:line="235" w:lineRule="exact"/>
        <w:rPr>
          <w:sz w:val="20"/>
          <w:szCs w:val="20"/>
          <w:color w:val="auto"/>
        </w:rPr>
      </w:pPr>
    </w:p>
    <w:p>
      <w:pPr>
        <w:jc w:val="both"/>
        <w:ind w:left="660" w:firstLine="645"/>
        <w:spacing w:after="0" w:line="250" w:lineRule="auto"/>
        <w:tabs>
          <w:tab w:leader="none" w:pos="1805" w:val="left"/>
        </w:tabs>
        <w:numPr>
          <w:ilvl w:val="0"/>
          <w:numId w:val="14"/>
        </w:numPr>
        <w:rPr>
          <w:rFonts w:ascii="Arial" w:cs="Arial" w:eastAsia="Arial" w:hAnsi="Arial"/>
          <w:sz w:val="20"/>
          <w:szCs w:val="20"/>
          <w:color w:val="auto"/>
        </w:rPr>
      </w:pPr>
      <w:r>
        <w:rPr>
          <w:rFonts w:ascii="Arial" w:cs="Arial" w:eastAsia="Arial" w:hAnsi="Arial"/>
          <w:sz w:val="20"/>
          <w:szCs w:val="20"/>
          <w:color w:val="auto"/>
        </w:rPr>
        <w:t>During the Executive Chairman Term, Tallent will be eligible for regular equity awards on the same basis as and no less favorable than generally awarded to executive management of the Company. The target value of the equity awards will be 75% of Tallent’s then-applicable Executive Chairman Salary.</w:t>
      </w:r>
    </w:p>
    <w:p>
      <w:pPr>
        <w:spacing w:after="0" w:line="199" w:lineRule="exact"/>
        <w:rPr>
          <w:rFonts w:ascii="Arial" w:cs="Arial" w:eastAsia="Arial" w:hAnsi="Arial"/>
          <w:sz w:val="20"/>
          <w:szCs w:val="20"/>
          <w:color w:val="auto"/>
        </w:rPr>
      </w:pPr>
    </w:p>
    <w:p>
      <w:pPr>
        <w:jc w:val="both"/>
        <w:ind w:left="660" w:firstLine="645"/>
        <w:spacing w:after="0" w:line="259" w:lineRule="auto"/>
        <w:tabs>
          <w:tab w:leader="none" w:pos="18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During the Consulting Term, Tallent shall forego his eligibility for all regular equity awards generally awarded to executive management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all of Tallent’s outstanding equity awards as of the Consultant Transition Date shall continue to vest and remain outstanding as if Tallent remained employed with the Company notwithstanding this Transition Agreement, the termination of Tallent’s employment or other service with the Company at any time or the terms of such equity awards or the plans under which they were granted providing for expiration of such equity awards in connection with the termination of Tallent’s employment or other service with the Company.</w:t>
      </w:r>
    </w:p>
    <w:p>
      <w:pPr>
        <w:spacing w:after="0" w:line="186"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b w:val="1"/>
          <w:bCs w:val="1"/>
          <w:u w:val="single" w:color="auto"/>
          <w:color w:val="auto"/>
        </w:rPr>
        <w:t>Business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reimburse Tallent for reasonable and necessary business expenses incurred by Tallent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performance of his duties and services hereunder in accordance with reimbursement policies of the Company.</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u w:val="single" w:color="auto"/>
          <w:color w:val="auto"/>
        </w:rPr>
        <w:t>Benefits</w:t>
      </w:r>
      <w:r>
        <w:rPr>
          <w:rFonts w:ascii="Arial" w:cs="Arial" w:eastAsia="Arial" w:hAnsi="Arial"/>
          <w:sz w:val="16"/>
          <w:szCs w:val="16"/>
          <w:b w:val="1"/>
          <w:bCs w:val="1"/>
          <w:color w:val="auto"/>
        </w:rPr>
        <w:t>.</w:t>
      </w:r>
    </w:p>
    <w:p>
      <w:pPr>
        <w:spacing w:after="0" w:line="235" w:lineRule="exact"/>
        <w:rPr>
          <w:sz w:val="20"/>
          <w:szCs w:val="20"/>
          <w:color w:val="auto"/>
        </w:rPr>
      </w:pPr>
    </w:p>
    <w:p>
      <w:pPr>
        <w:jc w:val="both"/>
        <w:ind w:left="660" w:firstLine="645"/>
        <w:spacing w:after="0" w:line="278" w:lineRule="auto"/>
        <w:tabs>
          <w:tab w:leader="none" w:pos="17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the compensation and benefits specifically described in this Transition Agreement, during the Executive Chairman Term, Tallent shall be entitled to such benefits as may be available from time to time to all other executive officers and employees of the Company. All such benefits shall be awarded and administered in accordance with the Company’s standard policies and practices and the terms of such plans. Such benefits may include, by way of example only, retirement, health and disability insurance benefits, sick leave and such other benefits as the Company provides to its executive officers and employees.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82" w:name="page83"/>
    <w:bookmarkEnd w:id="82"/>
    <w:p>
      <w:pPr>
        <w:jc w:val="both"/>
        <w:ind w:left="660" w:firstLine="645"/>
        <w:spacing w:after="0" w:line="244" w:lineRule="auto"/>
        <w:tabs>
          <w:tab w:leader="none" w:pos="1737"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first eighteen (18) months after the end of the Executive Chairman Term, if Tallent makes a valid Consolidated Omnibus Budget Reconciliation Act of 1985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election, the Company shall (i) provide Tallent, his spouse and his dependents with continued coverage under the Company’s health plan pursuant to COBRA; and (ii) on behalf of Tallent, his spouse and his dependents, pay (on a monthly basis) Tallent’s and their medical COBRA premiums in the same percentage as the Company pays the premiums for active employees under the Company health plan.</w:t>
      </w:r>
    </w:p>
    <w:p>
      <w:pPr>
        <w:spacing w:after="0" w:line="208" w:lineRule="exact"/>
        <w:rPr>
          <w:rFonts w:ascii="Arial" w:cs="Arial" w:eastAsia="Arial" w:hAnsi="Arial"/>
          <w:sz w:val="20"/>
          <w:szCs w:val="20"/>
          <w:color w:val="auto"/>
        </w:rPr>
      </w:pPr>
    </w:p>
    <w:p>
      <w:pPr>
        <w:ind w:left="660" w:right="20" w:firstLine="645"/>
        <w:spacing w:after="0" w:line="316" w:lineRule="auto"/>
        <w:tabs>
          <w:tab w:leader="none" w:pos="17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Term, on behalf of Tallent, the Company shall continue to pay Tallent’s split dollar insurance policy premiums pursuant to that certain Split-Dollar Agreement between United Community Banks, Inc. and Jimmy C. Tallent dated June 1, 1994.</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Change in Control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and acknowledge that the Corporation and Tallent previously entered into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Amended and Restated Change in Control Severance Agreement (the “</w:t>
      </w:r>
      <w:r>
        <w:rPr>
          <w:rFonts w:ascii="Arial" w:cs="Arial" w:eastAsia="Arial" w:hAnsi="Arial"/>
          <w:sz w:val="18"/>
          <w:szCs w:val="18"/>
          <w:b w:val="1"/>
          <w:bCs w:val="1"/>
          <w:i w:val="1"/>
          <w:iCs w:val="1"/>
          <w:color w:val="auto"/>
        </w:rPr>
        <w:t>CIC Agreement</w:t>
      </w:r>
      <w:r>
        <w:rPr>
          <w:rFonts w:ascii="Arial" w:cs="Arial" w:eastAsia="Arial" w:hAnsi="Arial"/>
          <w:sz w:val="18"/>
          <w:szCs w:val="18"/>
          <w:color w:val="auto"/>
        </w:rPr>
        <w:t>”). The Company and Tallent agree that: (i) the CIC Agreement shall remain in effect pursuant to its terms (except as otherwise set forth herein) notwithstanding the terms of this Transition Agreement; (ii) the term of the CIC Agreement will not terminate on Tallent’s termination of employment but shall continue and remain in effect through the Term of this Transition Agreement; (iii) the “Date of Termination” in the CIC Agreement shall be the date upon which Tallent’s employment and consulting service with the Company both cease; (iv) any reference to Tallent’s employment in the CIC Agreement shall be read to refer to Tallent’s employment through the Executive Chairman Term and Tallent’s service as a consultant during the Consulting Term; (v) all references in the CIC Agreement to Tallent’s Base Salary, annual bonus and other benefits shall be read to refer to the comparable items of compensation or benefits being provided to Tallent at the relevant time during the Term if the termination of Tallent’s employment or service during the Term entitles Tallent to the compensation and benefits set forth in the CIC Agreement, and (vi) all of the terms of the CIC Agreement will be read and interpreted so as to extend the protections and benefits of the CIC Agreement to Tallent during the Term to the same extent as entities during Tallent’s employment with the Company prior to the Transition Agreement. In the event Tallent is entitled to compensation or benefits under the CIC Agreement, such compensation or benefits shall be reduced to the extent of any amounts paid to Tallent hereunder after the end of the Term.</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2.6 </w:t>
      </w:r>
      <w:r>
        <w:rPr>
          <w:rFonts w:ascii="Arial" w:cs="Arial" w:eastAsia="Arial" w:hAnsi="Arial"/>
          <w:sz w:val="19"/>
          <w:szCs w:val="19"/>
          <w:b w:val="1"/>
          <w:bCs w:val="1"/>
          <w:u w:val="single" w:color="auto"/>
          <w:color w:val="auto"/>
        </w:rPr>
        <w:t>Annual Discretionary Bonus</w:t>
      </w:r>
      <w:r>
        <w:rPr>
          <w:rFonts w:ascii="Arial" w:cs="Arial" w:eastAsia="Arial" w:hAnsi="Arial"/>
          <w:sz w:val="19"/>
          <w:szCs w:val="19"/>
          <w:b w:val="1"/>
          <w:bCs w:val="1"/>
          <w:color w:val="auto"/>
        </w:rPr>
        <w:t xml:space="preserve">. </w:t>
      </w:r>
      <w:r>
        <w:rPr>
          <w:rFonts w:ascii="Arial" w:cs="Arial" w:eastAsia="Arial" w:hAnsi="Arial"/>
          <w:sz w:val="19"/>
          <w:szCs w:val="19"/>
          <w:color w:val="auto"/>
        </w:rPr>
        <w:t>Tallent shall be eligible to receive, with respect to each calendar year which includes any portion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Executive Chairman Term, a discretionary bonus determined by the Board of Directors of the Corporation under the Company’s annual incentive plan applicable to executive management based upon Tallent’s contributions to the Company and on the same terms generally applicable to the other executive officers. The target amount of the annual bonus will be 75% of Tallent’s then-applicable Executive Chairman Salary; provided that, for calendar year 2018, the target amount of the annual bonus for Tallent’s services as Chief Executive Officer and Chairman for the first half of the year and as Executive Chairman for the second half of the year will be 75% of the sum of (x) Tallent’s Base Salary for the six (6) months from January 1, 2018 until June 30, 2018 plus (y) Tallent’s Executive Chairman Salary for the six (6) months from July 1, 2018 until December 31, 2018.</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235" w:lineRule="exact"/>
        <w:rPr>
          <w:sz w:val="20"/>
          <w:szCs w:val="20"/>
          <w:color w:val="auto"/>
        </w:rPr>
      </w:pPr>
    </w:p>
    <w:p>
      <w:pPr>
        <w:jc w:val="both"/>
        <w:ind w:left="660" w:firstLine="645"/>
        <w:spacing w:after="0" w:line="250" w:lineRule="auto"/>
        <w:tabs>
          <w:tab w:leader="none" w:pos="181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During the Executive Chairman Term, the Company shall deduct from each payment of compensation for services as Executive Chairman hereunder all amounts required to be deducted and withheld in accordance with applicable federal and state income, employment and other withholding requirements.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5" w:right="239" w:bottom="1440" w:gutter="0" w:footer="0" w:header="0"/>
        </w:sectPr>
      </w:pPr>
    </w:p>
    <w:bookmarkStart w:id="83" w:name="page84"/>
    <w:bookmarkEnd w:id="83"/>
    <w:p>
      <w:pPr>
        <w:jc w:val="both"/>
        <w:ind w:left="660" w:firstLine="645"/>
        <w:spacing w:after="0" w:line="244" w:lineRule="auto"/>
        <w:tabs>
          <w:tab w:leader="none" w:pos="1737" w:val="left"/>
        </w:tabs>
        <w:numPr>
          <w:ilvl w:val="1"/>
          <w:numId w:val="18"/>
        </w:numPr>
        <w:rPr>
          <w:rFonts w:ascii="Arial" w:cs="Arial" w:eastAsia="Arial" w:hAnsi="Arial"/>
          <w:sz w:val="20"/>
          <w:szCs w:val="20"/>
          <w:color w:val="auto"/>
        </w:rPr>
      </w:pPr>
      <w:r>
        <w:rPr>
          <w:rFonts w:ascii="Arial" w:cs="Arial" w:eastAsia="Arial" w:hAnsi="Arial"/>
          <w:sz w:val="20"/>
          <w:szCs w:val="20"/>
          <w:color w:val="auto"/>
        </w:rPr>
        <w:t>During the Consulting Term, Tallent agrees to pay all taxes due on amounts paid to him for services as a consultant, and is solely responsible for timely remittance to appropriate authorities of all federal, state and local taxes and charges incident to the payment of compensation for such services. Without limitation, the parties hereto agree that the Company shall not be responsible for, nor withhold, any taxes, assessments or other fees incurred by or on behalf of Tallent with respect to his consulting services, including but not limited to federal, state and local withholding taxes.</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Suspension or Reduction of Benefits</w:t>
      </w:r>
      <w:r>
        <w:rPr>
          <w:rFonts w:ascii="Arial" w:cs="Arial" w:eastAsia="Arial" w:hAnsi="Arial"/>
          <w:sz w:val="20"/>
          <w:szCs w:val="20"/>
          <w:b w:val="1"/>
          <w:bCs w:val="1"/>
          <w:color w:val="auto"/>
        </w:rPr>
        <w:t>.</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Tallent’s employment and service under this Transition Agreement may only be terminated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83" w:lineRule="exact"/>
        <w:rPr>
          <w:sz w:val="20"/>
          <w:szCs w:val="20"/>
          <w:color w:val="auto"/>
        </w:rPr>
      </w:pPr>
    </w:p>
    <w:p>
      <w:pPr>
        <w:ind w:left="1720" w:hanging="415"/>
        <w:spacing w:after="0"/>
        <w:tabs>
          <w:tab w:leader="none" w:pos="1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By the Board of Directors of the Corporation:</w:t>
      </w:r>
    </w:p>
    <w:p>
      <w:pPr>
        <w:spacing w:after="0" w:line="229" w:lineRule="exact"/>
        <w:rPr>
          <w:rFonts w:ascii="Arial" w:cs="Arial" w:eastAsia="Arial" w:hAnsi="Arial"/>
          <w:sz w:val="20"/>
          <w:szCs w:val="20"/>
          <w:color w:val="auto"/>
        </w:rPr>
      </w:pPr>
    </w:p>
    <w:p>
      <w:pPr>
        <w:ind w:left="2380" w:hanging="427"/>
        <w:spacing w:after="0"/>
        <w:tabs>
          <w:tab w:leader="none" w:pos="23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for Cause; or</w:t>
      </w:r>
    </w:p>
    <w:p>
      <w:pPr>
        <w:spacing w:after="0" w:line="229" w:lineRule="exact"/>
        <w:rPr>
          <w:rFonts w:ascii="Arial" w:cs="Arial" w:eastAsia="Arial" w:hAnsi="Arial"/>
          <w:sz w:val="20"/>
          <w:szCs w:val="20"/>
          <w:color w:val="auto"/>
        </w:rPr>
      </w:pPr>
    </w:p>
    <w:p>
      <w:pPr>
        <w:ind w:left="2440" w:hanging="487"/>
        <w:spacing w:after="0"/>
        <w:tabs>
          <w:tab w:leader="none" w:pos="24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upon Tallent’s Disability and only after the expiration of the Disability Period.</w:t>
      </w:r>
    </w:p>
    <w:p>
      <w:pPr>
        <w:spacing w:after="0" w:line="229" w:lineRule="exact"/>
        <w:rPr>
          <w:rFonts w:ascii="Arial" w:cs="Arial" w:eastAsia="Arial" w:hAnsi="Arial"/>
          <w:sz w:val="20"/>
          <w:szCs w:val="20"/>
          <w:color w:val="auto"/>
        </w:rPr>
      </w:pPr>
    </w:p>
    <w:p>
      <w:pPr>
        <w:ind w:left="660" w:right="20" w:firstLine="645"/>
        <w:spacing w:after="0" w:line="260" w:lineRule="auto"/>
        <w:tabs>
          <w:tab w:leader="none" w:pos="1827" w:val="left"/>
        </w:tabs>
        <w:numPr>
          <w:ilvl w:val="0"/>
          <w:numId w:val="20"/>
        </w:numPr>
        <w:rPr>
          <w:rFonts w:ascii="Arial" w:cs="Arial" w:eastAsia="Arial" w:hAnsi="Arial"/>
          <w:sz w:val="20"/>
          <w:szCs w:val="20"/>
          <w:color w:val="auto"/>
        </w:rPr>
      </w:pPr>
      <w:r>
        <w:rPr>
          <w:rFonts w:ascii="Arial" w:cs="Arial" w:eastAsia="Arial" w:hAnsi="Arial"/>
          <w:sz w:val="20"/>
          <w:szCs w:val="20"/>
          <w:color w:val="auto"/>
        </w:rPr>
        <w:t>By Tallent for any or no reason, provided that Tallent shall give the Corporation not less than thirty (30) days’ prior written notice of his intent to effect the termination; or</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At any time upon mutual, written agreement of the parties or automatically upon Tallent’s death.</w:t>
      </w:r>
    </w:p>
    <w:p>
      <w:pPr>
        <w:spacing w:after="0" w:line="2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u w:val="single" w:color="auto"/>
          <w:color w:val="auto"/>
        </w:rPr>
        <w:t>Effect of Termination and Timing of 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54" w:lineRule="auto"/>
        <w:tabs>
          <w:tab w:leader="none" w:pos="1772" w:val="left"/>
        </w:tabs>
        <w:numPr>
          <w:ilvl w:val="0"/>
          <w:numId w:val="21"/>
        </w:numPr>
        <w:rPr>
          <w:rFonts w:ascii="Arial" w:cs="Arial" w:eastAsia="Arial" w:hAnsi="Arial"/>
          <w:sz w:val="19"/>
          <w:szCs w:val="19"/>
          <w:color w:val="auto"/>
        </w:rPr>
      </w:pPr>
      <w:r>
        <w:rPr>
          <w:rFonts w:ascii="Arial" w:cs="Arial" w:eastAsia="Arial" w:hAnsi="Arial"/>
          <w:sz w:val="19"/>
          <w:szCs w:val="19"/>
          <w:color w:val="auto"/>
        </w:rPr>
        <w:t>Upon the termination of Tallent’s employment and service hereunder for any reason, the Company shall be obligated to pay to Tallent or his estate any Executive Chairman Salary or Consultant Compensation (as applicable) due and owing under Section 2.1 on the effective date of the termination, reimbursement under Section 2.3 of expenses incurred up to the effective date of the Termination, and any compensation and benefits to which Tallent is entitled under the terms of any compensation or benefit plan or agreement in which Tallent participated. Upon the termination of Tallent’s employment and service hereunder by the Board of Directors of the Corporation without Cause, the Company shall be obligated to pay to Tallent in a single lump sum all amounts due pursuant to this Transition Agreement as if such termination had not occurred. In furtherance of the foregoing, (i) if such termination without Cause occurs during the Executive Chairman Term and before June 30, 2019, Tallent shall receive all amounts payable hereunder as Executive Chairman through June 30, 2019 (with any award bonus payable for the year of termination at target, prorated for time employed) and then as a consultant for a three-year Consulting Term that would have began after such Executive Chairman Term, (ii) if such termination without Cause occurs during the Executive Chairman Term beginning on or after July 1, 2019, Tallent shall receive all amounts payable hereunder until the end of the then-applicable Executive Chairman Term and then as a consultant for a two-year Consulting Term that would have began after such Executive Chairman Term, and (iii) if such termination without Cause occurs during the Consulting Term, Tallent shall receive all amounts payable hereunder until the end of such two or three-year Consulting Term as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5"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applicable. Tallent’s outstanding equity awards will continue to remain outstanding as provided in Section 2.2 above.</w:t>
      </w:r>
    </w:p>
    <w:p>
      <w:pPr>
        <w:spacing w:after="0" w:line="216" w:lineRule="exact"/>
        <w:rPr>
          <w:sz w:val="20"/>
          <w:szCs w:val="20"/>
          <w:color w:val="auto"/>
        </w:rPr>
      </w:pPr>
    </w:p>
    <w:p>
      <w:pPr>
        <w:jc w:val="both"/>
        <w:ind w:firstLine="645"/>
        <w:spacing w:after="0" w:line="27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as a condition of the Company’s payment of any amount owed to Tallent under Section 3.2(a) (other than pursuant to the first sentence thereof), Tallent must execute and return to the Company within such period of time following termination as is permitted by the Company (not later than forty-five (45) days following such termination) (and not timely revoke during any revocation period provided pursuant to such release) a customary separation and release agreement in the form provided by the Company. The Company shall provide such separation and release agreement in sufficient time so that if Tallent timely executes and returns such agreement to the Company, the revocation period provided therein shall expire before the date the amounts set forth in Section 3.2(a) are required to be paid.</w:t>
      </w:r>
    </w:p>
    <w:p>
      <w:pPr>
        <w:spacing w:after="0" w:line="169" w:lineRule="exact"/>
        <w:rPr>
          <w:rFonts w:ascii="Arial" w:cs="Arial" w:eastAsia="Arial" w:hAnsi="Arial"/>
          <w:sz w:val="18"/>
          <w:szCs w:val="18"/>
          <w:color w:val="auto"/>
        </w:rPr>
      </w:pPr>
    </w:p>
    <w:p>
      <w:pPr>
        <w:jc w:val="both"/>
        <w:ind w:firstLine="645"/>
        <w:spacing w:after="0" w:line="270" w:lineRule="auto"/>
        <w:tabs>
          <w:tab w:leader="none" w:pos="10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payments pursuant to Section 3.2(a) shall be made no later than the sixtieth (60th) day following Tallent’s termination. Notwithstanding any provision in the Agreement to the contrary, this Transition Agreement shall at all times be interpreted and operated in compliance with the requirements of Code Section 409A,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Specifically, to the extent necessary to avoid the imposition of tax on Tallent under Section 409A, payments payable upon a termination shall be suspended until six (6) months following the effective date of termination, if, immediately prior to Tallent’s termination, Tallent is a “specified employee” (within the meaning of Section 409A) and Section 409A would require the delay of such payment to avoid any penalties thereunder. Each payment hereunder shall be deemed a separate payment for purposes of Section 409A, and the parties agree that the any payments pursuant to Section 3.2(a) are intended to be exempt from Section 409A as a short-term deferral. The parties intend that no payment pursuant to this Transition Agreement shall give rise to any adverse tax consequences to either party pursuant to Section 409A; however, Tallent acknowledges that the Company does not guarantee any particular tax treatment and that Tallent is solely responsible for any taxes he incurs pursuant to Section 409A or any similar statute or regulations, if any, as a result of this Transition Agreement.</w:t>
      </w:r>
    </w:p>
    <w:p>
      <w:pPr>
        <w:spacing w:after="0" w:line="176" w:lineRule="exact"/>
        <w:rPr>
          <w:rFonts w:ascii="Arial" w:cs="Arial" w:eastAsia="Arial" w:hAnsi="Arial"/>
          <w:sz w:val="18"/>
          <w:szCs w:val="18"/>
          <w:color w:val="auto"/>
        </w:rPr>
      </w:pPr>
    </w:p>
    <w:p>
      <w:pPr>
        <w:ind w:firstLine="645"/>
        <w:spacing w:after="0" w:line="316" w:lineRule="auto"/>
        <w:tabs>
          <w:tab w:leader="none" w:pos="12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Transition Agreement and the CIC Agreement, Tallent will be deemed to have terminated his employment and/or service, as applicable, as of the time he incurs a “separation from service” within the meaning of Section 409A.</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u w:val="single" w:color="auto"/>
          <w:color w:val="auto"/>
        </w:rPr>
        <w:t>Regulatory Matters</w:t>
      </w:r>
      <w:r>
        <w:rPr>
          <w:rFonts w:ascii="Arial" w:cs="Arial" w:eastAsia="Arial" w:hAnsi="Arial"/>
          <w:sz w:val="18"/>
          <w:szCs w:val="18"/>
          <w:b w:val="1"/>
          <w:bCs w:val="1"/>
          <w:color w:val="auto"/>
        </w:rPr>
        <w:t>.</w:t>
      </w:r>
    </w:p>
    <w:p>
      <w:pPr>
        <w:spacing w:after="0" w:line="235" w:lineRule="exact"/>
        <w:rPr>
          <w:sz w:val="20"/>
          <w:szCs w:val="20"/>
          <w:color w:val="auto"/>
        </w:rPr>
      </w:pPr>
    </w:p>
    <w:p>
      <w:pPr>
        <w:jc w:val="both"/>
        <w:ind w:firstLine="645"/>
        <w:spacing w:after="0" w:line="244" w:lineRule="auto"/>
        <w:tabs>
          <w:tab w:leader="none" w:pos="1112"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Tallent is removed and/or permanently prohibited from participating in the conduct of the Corporation’s affairs by an order issued under Section 8(e)(4) or 8(g)(1) of the Federal Deposit Insurance Act (“</w:t>
      </w:r>
      <w:r>
        <w:rPr>
          <w:rFonts w:ascii="Arial" w:cs="Arial" w:eastAsia="Arial" w:hAnsi="Arial"/>
          <w:sz w:val="20"/>
          <w:szCs w:val="20"/>
          <w:b w:val="1"/>
          <w:bCs w:val="1"/>
          <w:i w:val="1"/>
          <w:iCs w:val="1"/>
          <w:color w:val="auto"/>
        </w:rPr>
        <w:t>FDIA</w:t>
      </w:r>
      <w:r>
        <w:rPr>
          <w:rFonts w:ascii="Arial" w:cs="Arial" w:eastAsia="Arial" w:hAnsi="Arial"/>
          <w:sz w:val="20"/>
          <w:szCs w:val="20"/>
          <w:color w:val="auto"/>
        </w:rPr>
        <w:t>”) (12 U.S.C. 1818(e)(4) and (g)(1)), all obligations of the Corporation under this Transition Agreement shall terminate, as of the effective date of such order, except for the payment of amounts due and owing under Section 2.1 on the effective date of said order, and reimbursement of expenses incurred as of the effective date of termination.</w:t>
      </w:r>
    </w:p>
    <w:p>
      <w:pPr>
        <w:spacing w:after="0" w:line="208" w:lineRule="exact"/>
        <w:rPr>
          <w:rFonts w:ascii="Arial" w:cs="Arial" w:eastAsia="Arial" w:hAnsi="Arial"/>
          <w:sz w:val="20"/>
          <w:szCs w:val="20"/>
          <w:color w:val="auto"/>
        </w:rPr>
      </w:pPr>
    </w:p>
    <w:p>
      <w:pPr>
        <w:jc w:val="both"/>
        <w:ind w:firstLine="645"/>
        <w:spacing w:after="0" w:line="263" w:lineRule="auto"/>
        <w:tabs>
          <w:tab w:leader="none" w:pos="1165"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Tallent is suspended and/or temporarily prohibited from participating in the conduct of the Company’s affairs by a notice served under Section 8(e)(3) or 8(g)(1) of the FDIA (12 U.S.C. 1818(e)(3) and (g)(1)), all obligations of the Corporation under this Transition Agreement shall be suspended as of the date of service, unless stayed by appropriate proceedings. If the charges in the notice are dismissed, the Corporation shall (1) pay Tallent all or part of the compensation</w:t>
      </w:r>
    </w:p>
    <w:p>
      <w:pPr>
        <w:spacing w:after="0" w:line="21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366" w:right="239" w:bottom="1440" w:gutter="0" w:footer="0" w:header="0"/>
        </w:sectPr>
      </w:pPr>
    </w:p>
    <w:bookmarkStart w:id="85" w:name="page86"/>
    <w:bookmarkEnd w:id="85"/>
    <w:p>
      <w:pPr>
        <w:ind w:left="660"/>
        <w:spacing w:after="0" w:line="260" w:lineRule="auto"/>
        <w:rPr>
          <w:sz w:val="20"/>
          <w:szCs w:val="20"/>
          <w:color w:val="auto"/>
        </w:rPr>
      </w:pPr>
      <w:r>
        <w:rPr>
          <w:rFonts w:ascii="Arial" w:cs="Arial" w:eastAsia="Arial" w:hAnsi="Arial"/>
          <w:sz w:val="20"/>
          <w:szCs w:val="20"/>
          <w:color w:val="auto"/>
        </w:rPr>
        <w:t>withheld while its contract obligations were suspended and (2) reinstate (in whole or in part) any of its obligations which were suspended.</w:t>
      </w:r>
    </w:p>
    <w:p>
      <w:pPr>
        <w:spacing w:after="0" w:line="190" w:lineRule="exact"/>
        <w:rPr>
          <w:sz w:val="20"/>
          <w:szCs w:val="20"/>
          <w:color w:val="auto"/>
        </w:rPr>
      </w:pPr>
    </w:p>
    <w:p>
      <w:pPr>
        <w:ind w:left="660" w:right="20" w:firstLine="645"/>
        <w:spacing w:after="0" w:line="260" w:lineRule="auto"/>
        <w:tabs>
          <w:tab w:leader="none" w:pos="1742" w:val="left"/>
        </w:tabs>
        <w:numPr>
          <w:ilvl w:val="1"/>
          <w:numId w:val="24"/>
        </w:numPr>
        <w:rPr>
          <w:rFonts w:ascii="Arial" w:cs="Arial" w:eastAsia="Arial" w:hAnsi="Arial"/>
          <w:sz w:val="20"/>
          <w:szCs w:val="20"/>
          <w:color w:val="auto"/>
        </w:rPr>
      </w:pPr>
      <w:r>
        <w:rPr>
          <w:rFonts w:ascii="Arial" w:cs="Arial" w:eastAsia="Arial" w:hAnsi="Arial"/>
          <w:sz w:val="20"/>
          <w:szCs w:val="20"/>
          <w:color w:val="auto"/>
        </w:rPr>
        <w:t>If the Corporation is in default as defined in Section 3(x)(1) of the FDIA, all obligations under this Transition Agreement shall terminate as of the date of default, but the vested rights of the parties shall not be affected.</w:t>
      </w:r>
    </w:p>
    <w:p>
      <w:pPr>
        <w:spacing w:after="0" w:line="190" w:lineRule="exact"/>
        <w:rPr>
          <w:rFonts w:ascii="Arial" w:cs="Arial" w:eastAsia="Arial" w:hAnsi="Arial"/>
          <w:sz w:val="20"/>
          <w:szCs w:val="20"/>
          <w:color w:val="auto"/>
        </w:rPr>
      </w:pPr>
    </w:p>
    <w:p>
      <w:pPr>
        <w:jc w:val="both"/>
        <w:ind w:left="660" w:firstLine="645"/>
        <w:spacing w:after="0" w:line="243" w:lineRule="auto"/>
        <w:tabs>
          <w:tab w:leader="none" w:pos="1801"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obligations under this Transition Agreement shall be terminated, except to the extent a determination is made that continuation of the contract is necessary for the continued operation of the Corporation (1) by the director of the Federal Deposit Insurance Corporation (the “</w:t>
      </w:r>
      <w:r>
        <w:rPr>
          <w:rFonts w:ascii="Arial" w:cs="Arial" w:eastAsia="Arial" w:hAnsi="Arial"/>
          <w:sz w:val="20"/>
          <w:szCs w:val="20"/>
          <w:b w:val="1"/>
          <w:bCs w:val="1"/>
          <w:i w:val="1"/>
          <w:iCs w:val="1"/>
          <w:color w:val="auto"/>
        </w:rPr>
        <w:t>FDIC</w:t>
      </w:r>
      <w:r>
        <w:rPr>
          <w:rFonts w:ascii="Arial" w:cs="Arial" w:eastAsia="Arial" w:hAnsi="Arial"/>
          <w:sz w:val="20"/>
          <w:szCs w:val="20"/>
          <w:color w:val="auto"/>
        </w:rPr>
        <w:t>”) or his or her designee (the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at the time the FDIC enters into an agreement to provide assistance to or on behalf of the Corporation under the authority contained in 13(c) of the FDIA; or (2) by the Director, at the time the Director approves a supervisory merger to resolve problems related to operation of the Corporation when the Corporation is determined by the Director to be in an unsafe and unsound condition. Any rights of Tallent that have already vested, however, shall not be affected by such action.</w:t>
      </w:r>
    </w:p>
    <w:p>
      <w:pPr>
        <w:spacing w:after="0" w:line="206" w:lineRule="exact"/>
        <w:rPr>
          <w:rFonts w:ascii="Arial" w:cs="Arial" w:eastAsia="Arial" w:hAnsi="Arial"/>
          <w:sz w:val="20"/>
          <w:szCs w:val="20"/>
          <w:color w:val="auto"/>
        </w:rPr>
      </w:pPr>
    </w:p>
    <w:p>
      <w:pPr>
        <w:jc w:val="both"/>
        <w:ind w:left="660" w:firstLine="645"/>
        <w:spacing w:after="0" w:line="250" w:lineRule="auto"/>
        <w:tabs>
          <w:tab w:leader="none" w:pos="17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Notwithstanding anything herein contained to the contrary, any payments to Tallent by the Corporation pursuant to this Transition Agreement are subject to and conditioned upon their compliance with Section 18(k) of the FDIA (12 U.S.C. Section 1828(k)), and the regulations promulgated thereunder in 12 C.F.R. Part 359 or otherwise.</w:t>
      </w:r>
    </w:p>
    <w:p>
      <w:pPr>
        <w:spacing w:after="0" w:line="193" w:lineRule="exact"/>
        <w:rPr>
          <w:rFonts w:ascii="Arial" w:cs="Arial" w:eastAsia="Arial" w:hAnsi="Arial"/>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Employer Information</w:t>
      </w:r>
      <w:r>
        <w:rPr>
          <w:rFonts w:ascii="Arial" w:cs="Arial" w:eastAsia="Arial" w:hAnsi="Arial"/>
          <w:sz w:val="20"/>
          <w:szCs w:val="20"/>
          <w:b w:val="1"/>
          <w:bCs w:val="1"/>
          <w:color w:val="auto"/>
        </w:rPr>
        <w:t>.</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b w:val="1"/>
          <w:bCs w:val="1"/>
          <w:u w:val="single" w:color="auto"/>
          <w:color w:val="auto"/>
        </w:rPr>
        <w:t>Ownership of Employer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All Corporation Information received or developed by Tallent during the Term will</w:t>
      </w:r>
      <w:r>
        <w:rPr>
          <w:rFonts w:ascii="Arial" w:cs="Arial" w:eastAsia="Arial" w:hAnsi="Arial"/>
          <w:sz w:val="20"/>
          <w:szCs w:val="20"/>
          <w:b w:val="1"/>
          <w:bCs w:val="1"/>
          <w:color w:val="auto"/>
        </w:rPr>
        <w:t xml:space="preserve"> </w:t>
      </w:r>
      <w:r>
        <w:rPr>
          <w:rFonts w:ascii="Arial" w:cs="Arial" w:eastAsia="Arial" w:hAnsi="Arial"/>
          <w:sz w:val="20"/>
          <w:szCs w:val="20"/>
          <w:color w:val="auto"/>
        </w:rPr>
        <w:t>remain the sole and exclusive property of the Corporation.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u w:val="single" w:color="auto"/>
          <w:color w:val="auto"/>
        </w:rPr>
        <w:t>Obligations of Tallent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Tallent agrees:</w:t>
      </w:r>
    </w:p>
    <w:p>
      <w:pPr>
        <w:spacing w:after="0" w:line="235" w:lineRule="exact"/>
        <w:rPr>
          <w:sz w:val="20"/>
          <w:szCs w:val="20"/>
          <w:color w:val="auto"/>
        </w:rPr>
      </w:pPr>
    </w:p>
    <w:p>
      <w:pPr>
        <w:ind w:left="2120" w:hanging="410"/>
        <w:spacing w:after="0"/>
        <w:tabs>
          <w:tab w:leader="none" w:pos="21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hold Corporation Information in strictest confidence;</w:t>
      </w:r>
    </w:p>
    <w:p>
      <w:pPr>
        <w:spacing w:after="0" w:line="229" w:lineRule="exact"/>
        <w:rPr>
          <w:rFonts w:ascii="Arial" w:cs="Arial" w:eastAsia="Arial" w:hAnsi="Arial"/>
          <w:sz w:val="20"/>
          <w:szCs w:val="20"/>
          <w:color w:val="auto"/>
        </w:rPr>
      </w:pPr>
    </w:p>
    <w:p>
      <w:pPr>
        <w:ind w:left="660" w:right="20" w:firstLine="1293"/>
        <w:spacing w:after="0" w:line="260" w:lineRule="auto"/>
        <w:tabs>
          <w:tab w:leader="none" w:pos="2477" w:val="left"/>
        </w:tabs>
        <w:numPr>
          <w:ilvl w:val="1"/>
          <w:numId w:val="26"/>
        </w:numPr>
        <w:rPr>
          <w:rFonts w:ascii="Arial" w:cs="Arial" w:eastAsia="Arial" w:hAnsi="Arial"/>
          <w:sz w:val="20"/>
          <w:szCs w:val="20"/>
          <w:color w:val="auto"/>
        </w:rPr>
      </w:pPr>
      <w:r>
        <w:rPr>
          <w:rFonts w:ascii="Arial" w:cs="Arial" w:eastAsia="Arial" w:hAnsi="Arial"/>
          <w:sz w:val="20"/>
          <w:szCs w:val="20"/>
          <w:color w:val="auto"/>
        </w:rPr>
        <w:t>not to use, duplicate, reproduce, distribute, disclose or otherwise disseminate Corporation Information or any physical embodiments of Corporation Information; and</w:t>
      </w:r>
    </w:p>
    <w:p>
      <w:pPr>
        <w:spacing w:after="0" w:line="190" w:lineRule="exact"/>
        <w:rPr>
          <w:rFonts w:ascii="Arial" w:cs="Arial" w:eastAsia="Arial" w:hAnsi="Arial"/>
          <w:sz w:val="20"/>
          <w:szCs w:val="20"/>
          <w:color w:val="auto"/>
        </w:rPr>
      </w:pPr>
    </w:p>
    <w:p>
      <w:pPr>
        <w:ind w:left="660" w:firstLine="1293"/>
        <w:spacing w:after="0" w:line="260" w:lineRule="auto"/>
        <w:tabs>
          <w:tab w:leader="none" w:pos="2536"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 any event, not to take any action causing or fail to take any action necessary in order to prevent any Corporation Information from losing its character or ceasing to qualify as Confidential Information or a Trade Secret.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event that Tallent is required by law to disclose any Corporation Information, Tallent will not make such disclosure unless (and then only to the extent that) Tallent has been advised by independent legal counsel that such disclosure is required by law and then only after prior written notice is given to the Corporation when Tallent becomes aware that such disclosure has been requested and is required by law. This Section shall survive for a period of two (2) years following termination of this Transition Agreement for any reason with respect to Confidential Information, and shall survive termination of this Transition Agreement for any reason for so long as is permitted by applicable law, with respect to Trade Secrets. Tallent shall have the right to disclose in confidence Trade Secrets to federal, state, and local government officials, or to an attorney, for the sole purpose of reporting or investigating a suspected violation of law. Tallent shall also have the right to disclose Trade Secrets in a document filed in a lawsuit or other proceeding, but only if the filing is made under seal and protected from public disclosure. Nothing in this Transition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6" w:right="239" w:bottom="1440" w:gutter="0" w:footer="0" w:header="0"/>
        </w:sectPr>
      </w:pPr>
    </w:p>
    <w:bookmarkStart w:id="86" w:name="page87"/>
    <w:bookmarkEnd w:id="86"/>
    <w:p>
      <w:pPr>
        <w:jc w:val="both"/>
        <w:spacing w:after="0" w:line="260" w:lineRule="auto"/>
        <w:rPr>
          <w:sz w:val="20"/>
          <w:szCs w:val="20"/>
          <w:color w:val="auto"/>
        </w:rPr>
      </w:pPr>
      <w:r>
        <w:rPr>
          <w:rFonts w:ascii="Arial" w:cs="Arial" w:eastAsia="Arial" w:hAnsi="Arial"/>
          <w:sz w:val="20"/>
          <w:szCs w:val="20"/>
          <w:color w:val="auto"/>
        </w:rPr>
        <w:t>is intended to conflict with 18 U.S.C. § 1833(b) or create liability for disclosures of trade secrets that are expressly allowed by 18 U.S.C. § 1833(b).</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Delivery upon Request or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Upon request by the Corporation, and in any event upon Tallent’s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and service pursuant to Section 3.1, Tallent shall promptly deliver to the Corporation all property belonging to the Corporation and its Affiliates, including, without limitation, all Corporation Information then in Tallent’s possession or control.</w:t>
      </w:r>
    </w:p>
    <w:p>
      <w:pPr>
        <w:spacing w:after="0" w:line="173" w:lineRule="exact"/>
        <w:rPr>
          <w:sz w:val="20"/>
          <w:szCs w:val="20"/>
          <w:color w:val="auto"/>
        </w:rPr>
      </w:pPr>
    </w:p>
    <w:p>
      <w:pPr>
        <w:jc w:val="both"/>
        <w:ind w:left="660" w:hanging="328"/>
        <w:spacing w:after="0" w:line="248"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b w:val="1"/>
          <w:bCs w:val="1"/>
          <w:color w:val="auto"/>
        </w:rPr>
        <w:t xml:space="preserve">. </w:t>
      </w:r>
      <w:r>
        <w:rPr>
          <w:rFonts w:ascii="Arial" w:cs="Arial" w:eastAsia="Arial" w:hAnsi="Arial"/>
          <w:sz w:val="20"/>
          <w:szCs w:val="20"/>
          <w:color w:val="auto"/>
        </w:rPr>
        <w:t>Tallent agrees that during the Term and for a period of one (1) year thereafter, Tallent will not (except on behalf of</w:t>
      </w:r>
      <w:r>
        <w:rPr>
          <w:rFonts w:ascii="Arial" w:cs="Arial" w:eastAsia="Arial" w:hAnsi="Arial"/>
          <w:sz w:val="20"/>
          <w:szCs w:val="20"/>
          <w:b w:val="1"/>
          <w:bCs w:val="1"/>
          <w:color w:val="auto"/>
        </w:rPr>
        <w:t xml:space="preserve"> </w:t>
      </w:r>
      <w:r>
        <w:rPr>
          <w:rFonts w:ascii="Arial" w:cs="Arial" w:eastAsia="Arial" w:hAnsi="Arial"/>
          <w:sz w:val="20"/>
          <w:szCs w:val="20"/>
          <w:color w:val="auto"/>
        </w:rPr>
        <w:t>or with the prior written consent of the Corporation), within the Area, either directly or indirectly, on Tallent’s own behalf or in the service or on behalf of others, perform for any Competing Business services which are the same as the services Tallent provided for the Corporation.</w:t>
      </w:r>
    </w:p>
    <w:p>
      <w:pPr>
        <w:spacing w:after="0" w:line="210" w:lineRule="exact"/>
        <w:rPr>
          <w:rFonts w:ascii="Arial" w:cs="Arial" w:eastAsia="Arial" w:hAnsi="Arial"/>
          <w:sz w:val="18"/>
          <w:szCs w:val="18"/>
          <w:color w:val="auto"/>
        </w:rPr>
      </w:pPr>
    </w:p>
    <w:p>
      <w:pPr>
        <w:jc w:val="both"/>
        <w:ind w:firstLine="8"/>
        <w:spacing w:after="0" w:line="292" w:lineRule="auto"/>
        <w:tabs>
          <w:tab w:leader="none" w:pos="797"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Non-Solicitation of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Tallent agrees that during the Term and for a period of two (2) years thereafter, Tallent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on behalf of or with the prior written consent of the Corporation) on Tallent’s own behalf or in the service or on behalf of others, solicit, divert or appropriate or attempt to solicit, divert or appropriate, any business from any of the Company’s customers, including prospective customers actively sought by the Company, with whom Tallent had material contact during the last two (2) years of Tallent’s employment, for purposes of providing products or services that are competitive with those provided by the Company.</w:t>
      </w:r>
    </w:p>
    <w:p>
      <w:pPr>
        <w:spacing w:after="0" w:line="183" w:lineRule="exact"/>
        <w:rPr>
          <w:rFonts w:ascii="Arial" w:cs="Arial" w:eastAsia="Arial" w:hAnsi="Arial"/>
          <w:sz w:val="19"/>
          <w:szCs w:val="19"/>
          <w:b w:val="1"/>
          <w:bCs w:val="1"/>
          <w:color w:val="auto"/>
        </w:rPr>
      </w:pPr>
    </w:p>
    <w:p>
      <w:pPr>
        <w:jc w:val="both"/>
        <w:ind w:firstLine="8"/>
        <w:spacing w:after="0" w:line="302" w:lineRule="auto"/>
        <w:tabs>
          <w:tab w:leader="none" w:pos="797"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Tallent agrees that during the Term and for a period of two (2) years thereafter, Tallent will not on</w:t>
      </w:r>
      <w:r>
        <w:rPr>
          <w:rFonts w:ascii="Arial" w:cs="Arial" w:eastAsia="Arial" w:hAnsi="Arial"/>
          <w:sz w:val="19"/>
          <w:szCs w:val="19"/>
          <w:b w:val="1"/>
          <w:bCs w:val="1"/>
          <w:color w:val="auto"/>
        </w:rPr>
        <w:t xml:space="preserve"> </w:t>
      </w:r>
      <w:r>
        <w:rPr>
          <w:rFonts w:ascii="Arial" w:cs="Arial" w:eastAsia="Arial" w:hAnsi="Arial"/>
          <w:sz w:val="19"/>
          <w:szCs w:val="19"/>
          <w:color w:val="auto"/>
        </w:rPr>
        <w:t>Tallent’s own behalf or in the service or on behalf of others, solicit, recruit or hire away or attempt to solicit, recruit or hire away, any employee of the Company with whom Tallent had material contact during the last two (2) years of Tallent’s employment.</w:t>
      </w:r>
    </w:p>
    <w:p>
      <w:pPr>
        <w:spacing w:after="0" w:line="174" w:lineRule="exact"/>
        <w:rPr>
          <w:rFonts w:ascii="Arial" w:cs="Arial" w:eastAsia="Arial" w:hAnsi="Arial"/>
          <w:sz w:val="19"/>
          <w:szCs w:val="19"/>
          <w:b w:val="1"/>
          <w:bCs w:val="1"/>
          <w:color w:val="auto"/>
        </w:rPr>
      </w:pPr>
    </w:p>
    <w:p>
      <w:pPr>
        <w:jc w:val="both"/>
        <w:ind w:firstLine="8"/>
        <w:spacing w:after="0" w:line="308" w:lineRule="auto"/>
        <w:tabs>
          <w:tab w:leader="none" w:pos="79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Tallent agrees that the covenants contained in Sections 4 through 7 of this Transition Agreement are of the essence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 Agreement; that each of the covenants is reasonable and necessary to protect the business, interests and properties of the Company, and that irreparable loss and damage will be suffered by the Company should Tallent breach any of the covenants. Therefore, Tallent agrees and consents that, in addition to all the remedies provided by law or in equity, the Corporation shall be entitled to a temporary restraining order and temporary and permanent injunctions to prevent a breach or contemplated breach of any of the covenants. The Corporation and Tallent agree that all remedies available to the Corporation or Tallent, as applicable, shall be cumulative.</w:t>
      </w:r>
    </w:p>
    <w:p>
      <w:pPr>
        <w:spacing w:after="0" w:line="175" w:lineRule="exact"/>
        <w:rPr>
          <w:rFonts w:ascii="Arial" w:cs="Arial" w:eastAsia="Arial" w:hAnsi="Arial"/>
          <w:sz w:val="18"/>
          <w:szCs w:val="18"/>
          <w:b w:val="1"/>
          <w:bCs w:val="1"/>
          <w:color w:val="auto"/>
        </w:rPr>
      </w:pPr>
    </w:p>
    <w:p>
      <w:pPr>
        <w:jc w:val="both"/>
        <w:ind w:firstLine="8"/>
        <w:spacing w:after="0" w:line="311" w:lineRule="auto"/>
        <w:tabs>
          <w:tab w:leader="none" w:pos="79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parties agree that each of the provisions included in this Transition Agreement is separate, distinct and severable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other provisions of this Transition Agreement and that the invalidity or unenforceability of any Agreement provision shall not affect the validity or enforceability of any other provision of this Transition Agreement. Further, if any provision of this Transition Agreement is ruled invalid or unenforceable by a court of competent jurisdiction because of a conflict between the provision and any applicable law or public policy, the provision shall be redrawn to make the provision consistent with, and valid and enforceable under, the law or public policy.</w:t>
      </w:r>
    </w:p>
    <w:p>
      <w:pPr>
        <w:spacing w:after="0" w:line="171" w:lineRule="exact"/>
        <w:rPr>
          <w:rFonts w:ascii="Arial" w:cs="Arial" w:eastAsia="Arial" w:hAnsi="Arial"/>
          <w:sz w:val="18"/>
          <w:szCs w:val="18"/>
          <w:b w:val="1"/>
          <w:bCs w:val="1"/>
          <w:color w:val="auto"/>
        </w:rPr>
      </w:pPr>
    </w:p>
    <w:p>
      <w:pPr>
        <w:jc w:val="both"/>
        <w:ind w:firstLine="8"/>
        <w:spacing w:after="0" w:line="281" w:lineRule="auto"/>
        <w:tabs>
          <w:tab w:leader="none" w:pos="896"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Set-Off by Tallent</w:t>
      </w:r>
      <w:r>
        <w:rPr>
          <w:rFonts w:ascii="Arial" w:cs="Arial" w:eastAsia="Arial" w:hAnsi="Arial"/>
          <w:sz w:val="20"/>
          <w:szCs w:val="20"/>
          <w:color w:val="auto"/>
        </w:rPr>
        <w:t>. The existence of any claim, demand, action or cause of action by Tallent against the Corporation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predicated upon this Transition Agreement or otherwise, shall not constitute a defense to the enforcement by the Corporation of any of its rights 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6" w:right="239" w:bottom="1440" w:gutter="0" w:footer="0" w:header="0"/>
        </w:sectPr>
      </w:pPr>
    </w:p>
    <w:bookmarkStart w:id="87" w:name="page88"/>
    <w:bookmarkEnd w:id="87"/>
    <w:p>
      <w:pPr>
        <w:jc w:val="both"/>
        <w:ind w:firstLine="8"/>
        <w:spacing w:after="0" w:line="281" w:lineRule="auto"/>
        <w:tabs>
          <w:tab w:leader="none" w:pos="885"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All notices, requests, waivers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personally delivered, sent by reputable overnight courier service or mailed by first class mail, return receipt requested, to the recipient at the address below indicated: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Corporation: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United Community Banks, Inc.</w:t>
      </w:r>
    </w:p>
    <w:p>
      <w:pPr>
        <w:ind w:left="3240"/>
        <w:spacing w:after="0"/>
        <w:rPr>
          <w:sz w:val="20"/>
          <w:szCs w:val="20"/>
          <w:color w:val="auto"/>
        </w:rPr>
      </w:pPr>
      <w:r>
        <w:rPr>
          <w:rFonts w:ascii="Arial" w:cs="Arial" w:eastAsia="Arial" w:hAnsi="Arial"/>
          <w:sz w:val="20"/>
          <w:szCs w:val="20"/>
          <w:color w:val="auto"/>
        </w:rPr>
        <w:t>2 West Washington Street</w:t>
      </w:r>
    </w:p>
    <w:p>
      <w:pPr>
        <w:ind w:left="3240"/>
        <w:spacing w:after="0"/>
        <w:rPr>
          <w:sz w:val="20"/>
          <w:szCs w:val="20"/>
          <w:color w:val="auto"/>
        </w:rPr>
      </w:pPr>
      <w:r>
        <w:rPr>
          <w:rFonts w:ascii="Arial" w:cs="Arial" w:eastAsia="Arial" w:hAnsi="Arial"/>
          <w:sz w:val="20"/>
          <w:szCs w:val="20"/>
          <w:color w:val="auto"/>
        </w:rPr>
        <w:t>Greenville, SC 29601</w:t>
      </w:r>
    </w:p>
    <w:p>
      <w:pPr>
        <w:ind w:left="3240"/>
        <w:spacing w:after="0"/>
        <w:rPr>
          <w:sz w:val="20"/>
          <w:szCs w:val="20"/>
          <w:color w:val="auto"/>
        </w:rPr>
      </w:pPr>
      <w:r>
        <w:rPr>
          <w:rFonts w:ascii="Arial" w:cs="Arial" w:eastAsia="Arial" w:hAnsi="Arial"/>
          <w:sz w:val="20"/>
          <w:szCs w:val="20"/>
          <w:color w:val="auto"/>
        </w:rPr>
        <w:t>Attention: Chief Executive Officer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Tallent:</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Jimmy C. Tallent</w:t>
      </w:r>
    </w:p>
    <w:p>
      <w:pPr>
        <w:ind w:left="2600"/>
        <w:spacing w:after="0"/>
        <w:rPr>
          <w:sz w:val="20"/>
          <w:szCs w:val="20"/>
          <w:color w:val="auto"/>
        </w:rPr>
      </w:pPr>
      <w:r>
        <w:rPr>
          <w:rFonts w:ascii="Arial" w:cs="Arial" w:eastAsia="Arial" w:hAnsi="Arial"/>
          <w:sz w:val="20"/>
          <w:szCs w:val="20"/>
          <w:color w:val="auto"/>
        </w:rPr>
        <w:t>544 Ket Hedden Road</w:t>
      </w:r>
    </w:p>
    <w:p>
      <w:pPr>
        <w:ind w:left="2600"/>
        <w:spacing w:after="0"/>
        <w:rPr>
          <w:sz w:val="20"/>
          <w:szCs w:val="20"/>
          <w:color w:val="auto"/>
        </w:rPr>
      </w:pPr>
      <w:r>
        <w:rPr>
          <w:rFonts w:ascii="Arial" w:cs="Arial" w:eastAsia="Arial" w:hAnsi="Arial"/>
          <w:sz w:val="20"/>
          <w:szCs w:val="20"/>
          <w:color w:val="auto"/>
        </w:rPr>
        <w:t>Hiawassee, GA 30546</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or such other address or to the attention of such other person as the recipient party shall have specified by prior written notice to the sending party. All such notices, requests, waivers and other communications shall be deemed to have been effectively given: (a) when personally delivered to the party to be notified; (b) when sent by confirmed facsimile to the party to be notified; (c) five (5) business days after deposit in the United States Mail postage prepaid by certified or registered mail with return receipt requested at any time other than during a general discontinuance of postal service due to strike, lockout, or otherwise (in which case such notice, request, waiver or other communication shall be effectively given upon receipt) and addressed to the party to be notified as set forth above; or (d) one (1) business day after deposit with a national overnight delivery service, postage prepaid, addressed to the party to be notified as set forth above with next-business-day delivery guaranteed. A party may change its or his notice address given above by giving the other party ten (10) days’ written notice of the new address in the manner set forth above.</w:t>
      </w:r>
    </w:p>
    <w:p>
      <w:pPr>
        <w:spacing w:after="0" w:line="206" w:lineRule="exact"/>
        <w:rPr>
          <w:sz w:val="20"/>
          <w:szCs w:val="20"/>
          <w:color w:val="auto"/>
        </w:rPr>
      </w:pPr>
    </w:p>
    <w:p>
      <w:pPr>
        <w:jc w:val="both"/>
        <w:ind w:firstLine="8"/>
        <w:spacing w:after="0" w:line="271" w:lineRule="auto"/>
        <w:tabs>
          <w:tab w:leader="none" w:pos="89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w:t>
      </w:r>
      <w:r>
        <w:rPr>
          <w:rFonts w:ascii="Arial" w:cs="Arial" w:eastAsia="Arial" w:hAnsi="Arial"/>
          <w:sz w:val="20"/>
          <w:szCs w:val="20"/>
          <w:color w:val="auto"/>
        </w:rPr>
        <w:t>. The rights and obligations of the Corporation under this Transition Agreement shall inure to the benefit of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binding upon the successors and assigns of the Corporation, as applicable, including without limitation, a purchaser of all or substantially all the assets of the Corporation. If the Agreement is assigned pursuant to the foregoing sentence, the assignment shall be by novation and the Corporation shall have no further liability hereunder, and the successor or assign, as applicable, shall become the employer hereunder, but Tallent will not be deemed to have experienced a termination of employment or service by virtue of such assignment. The Agreement is a personal contract and the rights and interest of Tallent may not be assigned by Tallent. This Transition Agreement shall inure to the benefit of and be enforceable by Tallent and Tallent’s personal or legal representatives, executors, administrators, successors, heirs, distributees, devisees and legatees.</w:t>
      </w:r>
    </w:p>
    <w:p>
      <w:pPr>
        <w:spacing w:after="0" w:line="204" w:lineRule="exact"/>
        <w:rPr>
          <w:rFonts w:ascii="Arial" w:cs="Arial" w:eastAsia="Arial" w:hAnsi="Arial"/>
          <w:sz w:val="20"/>
          <w:szCs w:val="20"/>
          <w:b w:val="1"/>
          <w:bCs w:val="1"/>
          <w:color w:val="auto"/>
        </w:rPr>
      </w:pPr>
    </w:p>
    <w:p>
      <w:pPr>
        <w:jc w:val="both"/>
        <w:ind w:firstLine="8"/>
        <w:spacing w:after="0" w:line="281" w:lineRule="auto"/>
        <w:tabs>
          <w:tab w:leader="none" w:pos="89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A waiver by one party to this Transition Agreement of any breach of this Transition Agreement by the other party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Transition Agreement shall not be effective unless in writing, and no waiver shall operate or be construed as a waiver of the same or another breach on a subsequent occasion.</w:t>
      </w:r>
    </w:p>
    <w:p>
      <w:pPr>
        <w:spacing w:after="0" w:line="191" w:lineRule="exact"/>
        <w:rPr>
          <w:rFonts w:ascii="Arial" w:cs="Arial" w:eastAsia="Arial" w:hAnsi="Arial"/>
          <w:sz w:val="20"/>
          <w:szCs w:val="20"/>
          <w:b w:val="1"/>
          <w:bCs w:val="1"/>
          <w:color w:val="auto"/>
        </w:rPr>
      </w:pPr>
    </w:p>
    <w:p>
      <w:pPr>
        <w:jc w:val="both"/>
        <w:ind w:firstLine="8"/>
        <w:spacing w:after="0" w:line="274" w:lineRule="auto"/>
        <w:tabs>
          <w:tab w:leader="none" w:pos="89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Applicable Law and Choice of Forum</w:t>
      </w:r>
      <w:r>
        <w:rPr>
          <w:rFonts w:ascii="Arial" w:cs="Arial" w:eastAsia="Arial" w:hAnsi="Arial"/>
          <w:sz w:val="20"/>
          <w:szCs w:val="20"/>
          <w:color w:val="auto"/>
        </w:rPr>
        <w:t>. This Transition Agreement shall be construed and enforced under and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Georgia. The parties agree that any appropriate state court located in Union County, Georgia or federal district court having jurisdiction over Union County, Georgia shall have exclusive jurisdiction of any case or controversy arising under or in connection with this Transition Agreement and shall be a proper forum in which to adjudicate such case or controversy. The parties consent and waive any objection to the jurisdiction or venue of such courts.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3" w:right="239" w:bottom="1440" w:gutter="0" w:footer="0" w:header="0"/>
        </w:sectPr>
      </w:pPr>
    </w:p>
    <w:bookmarkStart w:id="88" w:name="page89"/>
    <w:bookmarkEnd w:id="88"/>
    <w:p>
      <w:pPr>
        <w:jc w:val="both"/>
        <w:ind w:firstLine="8"/>
        <w:spacing w:after="0" w:line="276" w:lineRule="auto"/>
        <w:tabs>
          <w:tab w:leader="none" w:pos="89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Words importing any gender include all genders. Words importing the singular form shall include the plural and</w:t>
      </w:r>
      <w:r>
        <w:rPr>
          <w:rFonts w:ascii="Arial" w:cs="Arial" w:eastAsia="Arial" w:hAnsi="Arial"/>
          <w:sz w:val="20"/>
          <w:szCs w:val="20"/>
          <w:b w:val="1"/>
          <w:bCs w:val="1"/>
          <w:color w:val="auto"/>
        </w:rPr>
        <w:t xml:space="preserve"> </w:t>
      </w:r>
      <w:r>
        <w:rPr>
          <w:rFonts w:ascii="Arial" w:cs="Arial" w:eastAsia="Arial" w:hAnsi="Arial"/>
          <w:sz w:val="20"/>
          <w:szCs w:val="20"/>
          <w:color w:val="auto"/>
        </w:rPr>
        <w:t>vice versa. The terms “herein,” “hereunder,” “hereby,” “hereto,” “hereof” and any similar terms refer to this Transition Agreement. Any captions, titles or headings preceding the text of any article, section or subsection herein are solely for convenience of reference and shall not constitute part of this Transition Agreement or affect its meaning, construction or effect.</w:t>
      </w:r>
    </w:p>
    <w:p>
      <w:pPr>
        <w:spacing w:after="0" w:line="198" w:lineRule="exact"/>
        <w:rPr>
          <w:rFonts w:ascii="Arial" w:cs="Arial" w:eastAsia="Arial" w:hAnsi="Arial"/>
          <w:sz w:val="20"/>
          <w:szCs w:val="20"/>
          <w:b w:val="1"/>
          <w:bCs w:val="1"/>
          <w:color w:val="auto"/>
        </w:rPr>
      </w:pPr>
    </w:p>
    <w:p>
      <w:pPr>
        <w:jc w:val="both"/>
        <w:ind w:firstLine="8"/>
        <w:spacing w:after="0" w:line="276" w:lineRule="auto"/>
        <w:tabs>
          <w:tab w:leader="none" w:pos="89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Transition Agreement embodies the entire and final agreement of the parties on the subject matter stated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Transition Agreement. No amendment or modification of this Transition Agreement shall be valid or binding upon the Corporation, or Tallent unless made in writing and signed by all parties. All prior understandings and agreements relating to the subject matter of this Transition Agreement are hereby expressly terminated.</w:t>
      </w:r>
    </w:p>
    <w:p>
      <w:pPr>
        <w:spacing w:after="0" w:line="198" w:lineRule="exact"/>
        <w:rPr>
          <w:rFonts w:ascii="Arial" w:cs="Arial" w:eastAsia="Arial" w:hAnsi="Arial"/>
          <w:sz w:val="20"/>
          <w:szCs w:val="20"/>
          <w:b w:val="1"/>
          <w:bCs w:val="1"/>
          <w:color w:val="auto"/>
        </w:rPr>
      </w:pPr>
    </w:p>
    <w:p>
      <w:pPr>
        <w:ind w:firstLine="8"/>
        <w:spacing w:after="0" w:line="354" w:lineRule="auto"/>
        <w:tabs>
          <w:tab w:leader="none" w:pos="89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Third Parties</w:t>
      </w:r>
      <w:r>
        <w:rPr>
          <w:rFonts w:ascii="Arial" w:cs="Arial" w:eastAsia="Arial" w:hAnsi="Arial"/>
          <w:sz w:val="18"/>
          <w:szCs w:val="18"/>
          <w:color w:val="auto"/>
        </w:rPr>
        <w:t>. Nothing herein expressed is intended to or shall be construed to confer upon or give to any person, firm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other than the parties hereto and their permitted assigns, any rights or remedies under or by reason of this Transition Agreement.</w:t>
      </w:r>
    </w:p>
    <w:p>
      <w:pPr>
        <w:spacing w:after="0" w:line="132" w:lineRule="exact"/>
        <w:rPr>
          <w:rFonts w:ascii="Arial" w:cs="Arial" w:eastAsia="Arial" w:hAnsi="Arial"/>
          <w:sz w:val="18"/>
          <w:szCs w:val="18"/>
          <w:b w:val="1"/>
          <w:bCs w:val="1"/>
          <w:color w:val="auto"/>
        </w:rPr>
      </w:pPr>
    </w:p>
    <w:p>
      <w:pPr>
        <w:ind w:firstLine="8"/>
        <w:spacing w:after="0" w:line="295" w:lineRule="auto"/>
        <w:tabs>
          <w:tab w:leader="none" w:pos="89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color w:val="auto"/>
        </w:rPr>
        <w:t>. The obligations of Tallent and the Company shall survive Tallent’s termination of employment and/or service and</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expiration of this Transition Agreement for the period designated under each respective section.</w:t>
      </w:r>
    </w:p>
    <w:p>
      <w:pPr>
        <w:spacing w:after="0" w:line="177" w:lineRule="exact"/>
        <w:rPr>
          <w:rFonts w:ascii="Arial" w:cs="Arial" w:eastAsia="Arial" w:hAnsi="Arial"/>
          <w:sz w:val="20"/>
          <w:szCs w:val="20"/>
          <w:b w:val="1"/>
          <w:bCs w:val="1"/>
          <w:color w:val="auto"/>
        </w:rPr>
      </w:pPr>
    </w:p>
    <w:p>
      <w:pPr>
        <w:jc w:val="both"/>
        <w:ind w:firstLine="8"/>
        <w:spacing w:after="0" w:line="274" w:lineRule="auto"/>
        <w:tabs>
          <w:tab w:leader="none" w:pos="89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 Regarding 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Tallent represents that Tallent is not and will not become a party to any non-competition or non-solicitation agreement or any other agreement which would prohibit Tallent from entering into this Transition Agreement or providing the services for the Corporation contemplated by this Transition Agreement on or after the Effective Date. In the event Tallent is subject to any such agreement, this Transition Agreement shall be rendered null and void and the Corporation shall have no obligations to Tallent under this Transition Agreement.</w:t>
      </w:r>
    </w:p>
    <w:p>
      <w:pPr>
        <w:spacing w:after="0" w:line="186" w:lineRule="exact"/>
        <w:rPr>
          <w:rFonts w:ascii="Arial" w:cs="Arial" w:eastAsia="Arial" w:hAnsi="Arial"/>
          <w:sz w:val="20"/>
          <w:szCs w:val="20"/>
          <w:b w:val="1"/>
          <w:bCs w:val="1"/>
          <w:color w:val="auto"/>
        </w:rPr>
      </w:pPr>
    </w:p>
    <w:p>
      <w:pPr>
        <w:ind w:left="660" w:hanging="328"/>
        <w:spacing w:after="0" w:line="26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Whenever used in this Transition Agreement, the following terms and their variant forms shall have the meanings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below:</w:t>
      </w:r>
    </w:p>
    <w:p>
      <w:pPr>
        <w:spacing w:after="0" w:line="177" w:lineRule="exact"/>
        <w:rPr>
          <w:rFonts w:ascii="Arial" w:cs="Arial" w:eastAsia="Arial" w:hAnsi="Arial"/>
          <w:sz w:val="18"/>
          <w:szCs w:val="18"/>
          <w:color w:val="auto"/>
        </w:rPr>
      </w:pPr>
    </w:p>
    <w:p>
      <w:pPr>
        <w:jc w:val="both"/>
        <w:ind w:firstLine="656"/>
        <w:spacing w:after="0" w:line="253" w:lineRule="auto"/>
        <w:tabs>
          <w:tab w:leader="none" w:pos="1093" w:val="left"/>
        </w:tabs>
        <w:numPr>
          <w:ilvl w:val="2"/>
          <w:numId w:val="31"/>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any entity which controls another entity, is controlled by or is under common control with another entity.</w:t>
      </w:r>
      <w:r>
        <w:rPr>
          <w:rFonts w:ascii="Arial" w:cs="Arial" w:eastAsia="Arial" w:hAnsi="Arial"/>
          <w:sz w:val="20"/>
          <w:szCs w:val="20"/>
          <w:b w:val="1"/>
          <w:bCs w:val="1"/>
          <w:color w:val="auto"/>
        </w:rPr>
        <w:t xml:space="preserve"> </w:t>
      </w:r>
      <w:r>
        <w:rPr>
          <w:rFonts w:ascii="Arial" w:cs="Arial" w:eastAsia="Arial" w:hAnsi="Arial"/>
          <w:sz w:val="20"/>
          <w:szCs w:val="20"/>
          <w:color w:val="auto"/>
        </w:rPr>
        <w:t>For this purpose, “control” means ownership of more than fifty percent (50%) of the ordinary voting power of the outstanding equity securities of an entity.</w:t>
      </w:r>
    </w:p>
    <w:p>
      <w:pPr>
        <w:spacing w:after="0" w:line="191" w:lineRule="exact"/>
        <w:rPr>
          <w:rFonts w:ascii="Arial" w:cs="Arial" w:eastAsia="Arial" w:hAnsi="Arial"/>
          <w:sz w:val="20"/>
          <w:szCs w:val="20"/>
          <w:color w:val="auto"/>
        </w:rPr>
      </w:pPr>
    </w:p>
    <w:p>
      <w:pPr>
        <w:ind w:right="20" w:firstLine="656"/>
        <w:spacing w:after="0" w:line="267" w:lineRule="auto"/>
        <w:tabs>
          <w:tab w:leader="none" w:pos="1117" w:val="left"/>
        </w:tabs>
        <w:numPr>
          <w:ilvl w:val="2"/>
          <w:numId w:val="31"/>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this Transition Agreement and any exhibits incorporated herein together with any amendments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made in the manner described in this Transition Agreement.</w:t>
      </w:r>
    </w:p>
    <w:p>
      <w:pPr>
        <w:spacing w:after="0" w:line="177" w:lineRule="exact"/>
        <w:rPr>
          <w:rFonts w:ascii="Arial" w:cs="Arial" w:eastAsia="Arial" w:hAnsi="Arial"/>
          <w:sz w:val="20"/>
          <w:szCs w:val="20"/>
          <w:color w:val="auto"/>
        </w:rPr>
      </w:pPr>
    </w:p>
    <w:p>
      <w:pPr>
        <w:jc w:val="both"/>
        <w:ind w:firstLine="656"/>
        <w:spacing w:after="0" w:line="253" w:lineRule="auto"/>
        <w:tabs>
          <w:tab w:leader="none" w:pos="1079" w:val="left"/>
        </w:tabs>
        <w:numPr>
          <w:ilvl w:val="2"/>
          <w:numId w:val="31"/>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Area</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geographic area within a twenty (20) mile radius of any branch location or other office of the Company. It</w:t>
      </w:r>
      <w:r>
        <w:rPr>
          <w:rFonts w:ascii="Arial" w:cs="Arial" w:eastAsia="Arial" w:hAnsi="Arial"/>
          <w:sz w:val="20"/>
          <w:szCs w:val="20"/>
          <w:b w:val="1"/>
          <w:bCs w:val="1"/>
          <w:color w:val="auto"/>
        </w:rPr>
        <w:t xml:space="preserve"> </w:t>
      </w:r>
      <w:r>
        <w:rPr>
          <w:rFonts w:ascii="Arial" w:cs="Arial" w:eastAsia="Arial" w:hAnsi="Arial"/>
          <w:sz w:val="20"/>
          <w:szCs w:val="20"/>
          <w:color w:val="auto"/>
        </w:rPr>
        <w:t>is the express intent of the parties that the Area as defined herein is the area where Tallent performs services on behalf of the Company under this Transition Agreement.</w:t>
      </w:r>
    </w:p>
    <w:p>
      <w:pPr>
        <w:spacing w:after="0" w:line="191" w:lineRule="exact"/>
        <w:rPr>
          <w:rFonts w:ascii="Arial" w:cs="Arial" w:eastAsia="Arial" w:hAnsi="Arial"/>
          <w:sz w:val="20"/>
          <w:szCs w:val="20"/>
          <w:color w:val="auto"/>
        </w:rPr>
      </w:pPr>
    </w:p>
    <w:p>
      <w:pPr>
        <w:ind w:left="1080" w:hanging="424"/>
        <w:spacing w:after="0"/>
        <w:tabs>
          <w:tab w:leader="none" w:pos="1080" w:val="left"/>
        </w:tabs>
        <w:numPr>
          <w:ilvl w:val="2"/>
          <w:numId w:val="3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Business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business conducted by the Company, which is commercial and consumer banking.</w:t>
      </w:r>
    </w:p>
    <w:p>
      <w:pPr>
        <w:spacing w:after="0" w:line="275" w:lineRule="exact"/>
        <w:rPr>
          <w:rFonts w:ascii="Arial" w:cs="Arial" w:eastAsia="Arial" w:hAnsi="Arial"/>
          <w:sz w:val="16"/>
          <w:szCs w:val="16"/>
          <w:color w:val="auto"/>
        </w:rPr>
      </w:pPr>
    </w:p>
    <w:p>
      <w:pPr>
        <w:ind w:left="1080" w:hanging="424"/>
        <w:spacing w:after="0"/>
        <w:tabs>
          <w:tab w:leader="none" w:pos="1080" w:val="left"/>
        </w:tabs>
        <w:numPr>
          <w:ilvl w:val="2"/>
          <w:numId w:val="31"/>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w:t>
      </w:r>
    </w:p>
    <w:p>
      <w:pPr>
        <w:spacing w:after="0" w:line="235" w:lineRule="exact"/>
        <w:rPr>
          <w:rFonts w:ascii="Arial" w:cs="Arial" w:eastAsia="Arial" w:hAnsi="Arial"/>
          <w:sz w:val="20"/>
          <w:szCs w:val="20"/>
          <w:color w:val="auto"/>
        </w:rPr>
      </w:pPr>
    </w:p>
    <w:p>
      <w:pPr>
        <w:ind w:left="660" w:right="20" w:firstLine="645"/>
        <w:spacing w:after="0" w:line="260" w:lineRule="auto"/>
        <w:tabs>
          <w:tab w:leader="none" w:pos="1816" w:val="left"/>
        </w:tabs>
        <w:numPr>
          <w:ilvl w:val="3"/>
          <w:numId w:val="31"/>
        </w:numPr>
        <w:rPr>
          <w:rFonts w:ascii="Arial" w:cs="Arial" w:eastAsia="Arial" w:hAnsi="Arial"/>
          <w:sz w:val="20"/>
          <w:szCs w:val="20"/>
          <w:color w:val="auto"/>
        </w:rPr>
      </w:pPr>
      <w:r>
        <w:rPr>
          <w:rFonts w:ascii="Arial" w:cs="Arial" w:eastAsia="Arial" w:hAnsi="Arial"/>
          <w:sz w:val="20"/>
          <w:szCs w:val="20"/>
          <w:color w:val="auto"/>
        </w:rPr>
        <w:t>A material breach of the terms of this Transition Agreement by Tallent, including, without limitation, the willful and intentional failure by Tallent to perform in any material respect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3"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Tallent’s duties and responsibilities in the manner and to the extent required under this Transition Agreement;</w:t>
      </w:r>
    </w:p>
    <w:p>
      <w:pPr>
        <w:spacing w:after="0" w:line="229" w:lineRule="exact"/>
        <w:rPr>
          <w:sz w:val="20"/>
          <w:szCs w:val="20"/>
          <w:color w:val="auto"/>
        </w:rPr>
      </w:pPr>
    </w:p>
    <w:p>
      <w:pPr>
        <w:jc w:val="both"/>
        <w:ind w:left="660" w:firstLine="645"/>
        <w:spacing w:after="0" w:line="250" w:lineRule="auto"/>
        <w:tabs>
          <w:tab w:leader="none" w:pos="1753" w:val="left"/>
        </w:tabs>
        <w:numPr>
          <w:ilvl w:val="1"/>
          <w:numId w:val="32"/>
        </w:numPr>
        <w:rPr>
          <w:rFonts w:ascii="Arial" w:cs="Arial" w:eastAsia="Arial" w:hAnsi="Arial"/>
          <w:sz w:val="20"/>
          <w:szCs w:val="20"/>
          <w:color w:val="auto"/>
        </w:rPr>
      </w:pPr>
      <w:r>
        <w:rPr>
          <w:rFonts w:ascii="Arial" w:cs="Arial" w:eastAsia="Arial" w:hAnsi="Arial"/>
          <w:sz w:val="20"/>
          <w:szCs w:val="20"/>
          <w:color w:val="auto"/>
        </w:rPr>
        <w:t>Conduct by Tallent that amounts to fraud, dishonesty, misappropriation (including, without limitation, the use of funds of the Company for personal or other non-business purposes), disloyalty or willful misconduct in the performance of Tallent’s duties and responsibilities hereunder;</w:t>
      </w:r>
    </w:p>
    <w:p>
      <w:pPr>
        <w:spacing w:after="0" w:line="199" w:lineRule="exact"/>
        <w:rPr>
          <w:rFonts w:ascii="Arial" w:cs="Arial" w:eastAsia="Arial" w:hAnsi="Arial"/>
          <w:sz w:val="20"/>
          <w:szCs w:val="20"/>
          <w:color w:val="auto"/>
        </w:rPr>
      </w:pPr>
    </w:p>
    <w:p>
      <w:pPr>
        <w:ind w:left="2400" w:hanging="447"/>
        <w:spacing w:after="0"/>
        <w:tabs>
          <w:tab w:leader="none" w:pos="24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Indictment or its equivalent or conviction of Tallent of a crime involving breach of trust or moral turpitude or any</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felony;</w:t>
      </w:r>
    </w:p>
    <w:p>
      <w:pPr>
        <w:spacing w:after="0" w:line="213" w:lineRule="exact"/>
        <w:rPr>
          <w:rFonts w:ascii="Arial" w:cs="Arial" w:eastAsia="Arial" w:hAnsi="Arial"/>
          <w:sz w:val="18"/>
          <w:szCs w:val="18"/>
          <w:color w:val="auto"/>
        </w:rPr>
      </w:pPr>
    </w:p>
    <w:p>
      <w:pPr>
        <w:ind w:left="660" w:right="20" w:firstLine="1293"/>
        <w:spacing w:after="0" w:line="260" w:lineRule="auto"/>
        <w:tabs>
          <w:tab w:leader="none" w:pos="2472" w:val="left"/>
        </w:tabs>
        <w:numPr>
          <w:ilvl w:val="2"/>
          <w:numId w:val="32"/>
        </w:numPr>
        <w:rPr>
          <w:rFonts w:ascii="Arial" w:cs="Arial" w:eastAsia="Arial" w:hAnsi="Arial"/>
          <w:sz w:val="20"/>
          <w:szCs w:val="20"/>
          <w:color w:val="auto"/>
        </w:rPr>
      </w:pPr>
      <w:r>
        <w:rPr>
          <w:rFonts w:ascii="Arial" w:cs="Arial" w:eastAsia="Arial" w:hAnsi="Arial"/>
          <w:sz w:val="20"/>
          <w:szCs w:val="20"/>
          <w:color w:val="auto"/>
        </w:rPr>
        <w:t>Fraudulent, dishonest, or inappropriate action by Tallent which would, in the reasonable judgment of the Board of Directors of the Corporation, have a materially adverse impact on the reputation of the Company;</w:t>
      </w:r>
    </w:p>
    <w:p>
      <w:pPr>
        <w:spacing w:after="0" w:line="190" w:lineRule="exact"/>
        <w:rPr>
          <w:rFonts w:ascii="Arial" w:cs="Arial" w:eastAsia="Arial" w:hAnsi="Arial"/>
          <w:sz w:val="20"/>
          <w:szCs w:val="20"/>
          <w:color w:val="auto"/>
        </w:rPr>
      </w:pPr>
    </w:p>
    <w:p>
      <w:pPr>
        <w:ind w:left="660" w:firstLine="1293"/>
        <w:spacing w:after="0" w:line="260" w:lineRule="auto"/>
        <w:tabs>
          <w:tab w:leader="none" w:pos="2431" w:val="left"/>
        </w:tabs>
        <w:numPr>
          <w:ilvl w:val="2"/>
          <w:numId w:val="32"/>
        </w:numPr>
        <w:rPr>
          <w:rFonts w:ascii="Arial" w:cs="Arial" w:eastAsia="Arial" w:hAnsi="Arial"/>
          <w:sz w:val="20"/>
          <w:szCs w:val="20"/>
          <w:color w:val="auto"/>
        </w:rPr>
      </w:pPr>
      <w:r>
        <w:rPr>
          <w:rFonts w:ascii="Arial" w:cs="Arial" w:eastAsia="Arial" w:hAnsi="Arial"/>
          <w:sz w:val="20"/>
          <w:szCs w:val="20"/>
          <w:color w:val="auto"/>
        </w:rPr>
        <w:t>Conduct by Tallent that amounts to gross and willful insubordination or gross negligence in the performance of his duties and responsibilities hereunder;</w:t>
      </w:r>
    </w:p>
    <w:p>
      <w:pPr>
        <w:spacing w:after="0" w:line="190" w:lineRule="exact"/>
        <w:rPr>
          <w:rFonts w:ascii="Arial" w:cs="Arial" w:eastAsia="Arial" w:hAnsi="Arial"/>
          <w:sz w:val="20"/>
          <w:szCs w:val="20"/>
          <w:color w:val="auto"/>
        </w:rPr>
      </w:pPr>
    </w:p>
    <w:p>
      <w:pPr>
        <w:jc w:val="both"/>
        <w:ind w:left="660" w:firstLine="1293"/>
        <w:spacing w:after="0" w:line="278" w:lineRule="auto"/>
        <w:tabs>
          <w:tab w:leader="none" w:pos="2499" w:val="left"/>
        </w:tabs>
        <w:numPr>
          <w:ilvl w:val="2"/>
          <w:numId w:val="32"/>
        </w:numPr>
        <w:rPr>
          <w:rFonts w:ascii="Arial" w:cs="Arial" w:eastAsia="Arial" w:hAnsi="Arial"/>
          <w:sz w:val="18"/>
          <w:szCs w:val="18"/>
          <w:color w:val="auto"/>
        </w:rPr>
      </w:pPr>
      <w:r>
        <w:rPr>
          <w:rFonts w:ascii="Arial" w:cs="Arial" w:eastAsia="Arial" w:hAnsi="Arial"/>
          <w:sz w:val="18"/>
          <w:szCs w:val="18"/>
          <w:color w:val="auto"/>
        </w:rPr>
        <w:t>Receipt of any form of notice, written or otherwise, that any regulatory agency having jurisdiction over the Company intends to institute any form of formal or informal regulatory action against Tallent or the Company, provided that the Board of Directors of the Corporation determines in good faith that such action involves acts or omissions by or under the supervision of Tallent or that his Termination could materially advance the Company’s compliance with the purpose of the action or would materially assist the Company in avoiding or reducing the restrictions or adverse effect to the Company related to the regulatory action;</w:t>
      </w:r>
    </w:p>
    <w:p>
      <w:pPr>
        <w:spacing w:after="0" w:line="178" w:lineRule="exact"/>
        <w:rPr>
          <w:rFonts w:ascii="Arial" w:cs="Arial" w:eastAsia="Arial" w:hAnsi="Arial"/>
          <w:sz w:val="18"/>
          <w:szCs w:val="18"/>
          <w:color w:val="auto"/>
        </w:rPr>
      </w:pPr>
    </w:p>
    <w:p>
      <w:pPr>
        <w:ind w:left="660" w:right="20" w:firstLine="1293"/>
        <w:spacing w:after="0" w:line="260" w:lineRule="auto"/>
        <w:tabs>
          <w:tab w:leader="none" w:pos="2387" w:val="left"/>
        </w:tabs>
        <w:numPr>
          <w:ilvl w:val="2"/>
          <w:numId w:val="32"/>
        </w:numPr>
        <w:rPr>
          <w:rFonts w:ascii="Arial" w:cs="Arial" w:eastAsia="Arial" w:hAnsi="Arial"/>
          <w:sz w:val="20"/>
          <w:szCs w:val="20"/>
          <w:color w:val="auto"/>
        </w:rPr>
      </w:pPr>
      <w:r>
        <w:rPr>
          <w:rFonts w:ascii="Arial" w:cs="Arial" w:eastAsia="Arial" w:hAnsi="Arial"/>
          <w:sz w:val="20"/>
          <w:szCs w:val="20"/>
          <w:color w:val="auto"/>
        </w:rPr>
        <w:t>Tallent purchasing securities in any corporation that results in Tallent collectively owning beneficially at any time five percent (5%) or more of the equity securities of any Competing Business; or</w:t>
      </w:r>
    </w:p>
    <w:p>
      <w:pPr>
        <w:spacing w:after="0" w:line="190" w:lineRule="exact"/>
        <w:rPr>
          <w:rFonts w:ascii="Arial" w:cs="Arial" w:eastAsia="Arial" w:hAnsi="Arial"/>
          <w:sz w:val="20"/>
          <w:szCs w:val="20"/>
          <w:color w:val="auto"/>
        </w:rPr>
      </w:pPr>
    </w:p>
    <w:p>
      <w:pPr>
        <w:ind w:left="660" w:firstLine="1293"/>
        <w:spacing w:after="0" w:line="260" w:lineRule="auto"/>
        <w:tabs>
          <w:tab w:leader="none" w:pos="2429" w:val="left"/>
        </w:tabs>
        <w:numPr>
          <w:ilvl w:val="2"/>
          <w:numId w:val="32"/>
        </w:numPr>
        <w:rPr>
          <w:rFonts w:ascii="Arial" w:cs="Arial" w:eastAsia="Arial" w:hAnsi="Arial"/>
          <w:sz w:val="20"/>
          <w:szCs w:val="20"/>
          <w:color w:val="auto"/>
        </w:rPr>
      </w:pPr>
      <w:r>
        <w:rPr>
          <w:rFonts w:ascii="Arial" w:cs="Arial" w:eastAsia="Arial" w:hAnsi="Arial"/>
          <w:sz w:val="20"/>
          <w:szCs w:val="20"/>
          <w:color w:val="auto"/>
        </w:rPr>
        <w:t>Tallent’s removal and/or permanent prohibition by bank regulatory authorities from participating in the conduct of the affairs of the Corporation.</w:t>
      </w:r>
    </w:p>
    <w:p>
      <w:pPr>
        <w:spacing w:after="0" w:line="184" w:lineRule="exact"/>
        <w:rPr>
          <w:rFonts w:ascii="Arial" w:cs="Arial" w:eastAsia="Arial" w:hAnsi="Arial"/>
          <w:sz w:val="20"/>
          <w:szCs w:val="20"/>
          <w:color w:val="auto"/>
        </w:rPr>
      </w:pPr>
    </w:p>
    <w:p>
      <w:pPr>
        <w:ind w:left="1060" w:hanging="404"/>
        <w:spacing w:after="0"/>
        <w:tabs>
          <w:tab w:leader="none" w:pos="10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Internal Revenue Code of 1986, as amended.</w:t>
      </w:r>
    </w:p>
    <w:p>
      <w:pPr>
        <w:spacing w:after="0" w:line="229" w:lineRule="exact"/>
        <w:rPr>
          <w:rFonts w:ascii="Arial" w:cs="Arial" w:eastAsia="Arial" w:hAnsi="Arial"/>
          <w:sz w:val="20"/>
          <w:szCs w:val="20"/>
          <w:color w:val="auto"/>
        </w:rPr>
      </w:pPr>
    </w:p>
    <w:p>
      <w:pPr>
        <w:ind w:firstLine="656"/>
        <w:spacing w:after="0" w:line="267" w:lineRule="auto"/>
        <w:tabs>
          <w:tab w:leader="none" w:pos="109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Competing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any entity (other than the Corporation or its Affiliates) that is conducting any business that is</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or substantially the same as any Business of the Company.</w:t>
      </w:r>
    </w:p>
    <w:p>
      <w:pPr>
        <w:spacing w:after="0" w:line="177" w:lineRule="exact"/>
        <w:rPr>
          <w:rFonts w:ascii="Arial" w:cs="Arial" w:eastAsia="Arial" w:hAnsi="Arial"/>
          <w:sz w:val="20"/>
          <w:szCs w:val="20"/>
          <w:color w:val="auto"/>
        </w:rPr>
      </w:pPr>
    </w:p>
    <w:p>
      <w:pPr>
        <w:jc w:val="both"/>
        <w:ind w:firstLine="656"/>
        <w:spacing w:after="0" w:line="259" w:lineRule="auto"/>
        <w:tabs>
          <w:tab w:leader="none" w:pos="1144"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data and information relating to the business of the Corporation and its Affiliates (which</w:t>
      </w:r>
      <w:r>
        <w:rPr>
          <w:rFonts w:ascii="Arial" w:cs="Arial" w:eastAsia="Arial" w:hAnsi="Arial"/>
          <w:sz w:val="19"/>
          <w:szCs w:val="19"/>
          <w:b w:val="1"/>
          <w:bCs w:val="1"/>
          <w:color w:val="auto"/>
        </w:rPr>
        <w:t xml:space="preserve"> </w:t>
      </w:r>
      <w:r>
        <w:rPr>
          <w:rFonts w:ascii="Arial" w:cs="Arial" w:eastAsia="Arial" w:hAnsi="Arial"/>
          <w:sz w:val="19"/>
          <w:szCs w:val="19"/>
          <w:color w:val="auto"/>
        </w:rPr>
        <w:t>does not rise to the status of a Trade Secret) which is or has been disclosed to Tallent or of which Tallent became aware as a consequence of or through Tallent’s relationship to the Corporation and its Affiliates and which has value to the Corporation and its Affiliates and is not generally known to its competitors. Confidential Information shall not include any data or information that has been voluntarily disclosed to the public by the Corporation or its Affiliates, provided that such public disclosure shall not be deemed to be voluntary when made without authorization by Tallent or any other employee of Corporation or an Affiliate, or that has been independently developed and disclosed by others, or that otherwise enters the public domain through lawful means.</w:t>
      </w:r>
    </w:p>
    <w:p>
      <w:pPr>
        <w:spacing w:after="0" w:line="186" w:lineRule="exact"/>
        <w:rPr>
          <w:rFonts w:ascii="Arial" w:cs="Arial" w:eastAsia="Arial" w:hAnsi="Arial"/>
          <w:sz w:val="19"/>
          <w:szCs w:val="19"/>
          <w:color w:val="auto"/>
        </w:rPr>
      </w:pPr>
    </w:p>
    <w:p>
      <w:pPr>
        <w:ind w:firstLine="656"/>
        <w:spacing w:after="0" w:line="267" w:lineRule="auto"/>
        <w:tabs>
          <w:tab w:leader="none" w:pos="1046"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Tallent’s physical or mental disability or incapacity which would constitute a disability under an accident</w:t>
      </w:r>
      <w:r>
        <w:rPr>
          <w:rFonts w:ascii="Arial" w:cs="Arial" w:eastAsia="Arial" w:hAnsi="Arial"/>
          <w:sz w:val="20"/>
          <w:szCs w:val="20"/>
          <w:b w:val="1"/>
          <w:bCs w:val="1"/>
          <w:color w:val="auto"/>
        </w:rPr>
        <w:t xml:space="preserve"> </w:t>
      </w:r>
      <w:r>
        <w:rPr>
          <w:rFonts w:ascii="Arial" w:cs="Arial" w:eastAsia="Arial" w:hAnsi="Arial"/>
          <w:sz w:val="20"/>
          <w:szCs w:val="20"/>
          <w:color w:val="auto"/>
        </w:rPr>
        <w:t>and health plan maintained by the Corporation that provides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66" w:right="239" w:bottom="1440" w:gutter="0" w:footer="0" w:header="0"/>
        </w:sectPr>
      </w:pPr>
    </w:p>
    <w:bookmarkStart w:id="90" w:name="page91"/>
    <w:bookmarkEnd w:id="90"/>
    <w:p>
      <w:pPr>
        <w:jc w:val="both"/>
        <w:spacing w:after="0" w:line="250" w:lineRule="auto"/>
        <w:rPr>
          <w:sz w:val="20"/>
          <w:szCs w:val="20"/>
          <w:color w:val="auto"/>
        </w:rPr>
      </w:pPr>
      <w:r>
        <w:rPr>
          <w:rFonts w:ascii="Arial" w:cs="Arial" w:eastAsia="Arial" w:hAnsi="Arial"/>
          <w:sz w:val="20"/>
          <w:szCs w:val="20"/>
          <w:color w:val="auto"/>
        </w:rPr>
        <w:t>replacement benefits and in which Tallent participates or, if the Corporation does not maintain such a plan or Tallent does not participate therein, Tallent’s inability to perform the essential functions of Tallent’s job with or without reasonable accommodation as a result of a physical or mental disability or incapacity.</w:t>
      </w:r>
    </w:p>
    <w:p>
      <w:pPr>
        <w:spacing w:after="0" w:line="194" w:lineRule="exact"/>
        <w:rPr>
          <w:sz w:val="20"/>
          <w:szCs w:val="20"/>
          <w:color w:val="auto"/>
        </w:rPr>
      </w:pPr>
    </w:p>
    <w:p>
      <w:pPr>
        <w:jc w:val="both"/>
        <w:ind w:firstLine="656"/>
        <w:spacing w:after="0" w:line="248" w:lineRule="auto"/>
        <w:tabs>
          <w:tab w:leader="none" w:pos="106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Disability Period</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period beginning on the date the Corporation determines that Tallent is subject to a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that constitutes a Disability and ending on either the date that is six (6) months after such determination or the date Tallent begins receiving income replacement benefits under any long-term disability policy maintained by the Company, whichever occurs first, provided in either case Tallent has not returned to employment or other service.</w:t>
      </w:r>
    </w:p>
    <w:p>
      <w:pPr>
        <w:spacing w:after="0" w:line="197" w:lineRule="exact"/>
        <w:rPr>
          <w:rFonts w:ascii="Arial" w:cs="Arial" w:eastAsia="Arial" w:hAnsi="Arial"/>
          <w:sz w:val="20"/>
          <w:szCs w:val="20"/>
          <w:color w:val="auto"/>
        </w:rPr>
      </w:pPr>
    </w:p>
    <w:p>
      <w:pPr>
        <w:ind w:left="1080" w:hanging="424"/>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Corporation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Confidential Information and Trade Secrets.</w:t>
      </w:r>
    </w:p>
    <w:p>
      <w:pPr>
        <w:spacing w:after="0" w:line="229" w:lineRule="exact"/>
        <w:rPr>
          <w:rFonts w:ascii="Arial" w:cs="Arial" w:eastAsia="Arial" w:hAnsi="Arial"/>
          <w:sz w:val="20"/>
          <w:szCs w:val="20"/>
          <w:color w:val="auto"/>
        </w:rPr>
      </w:pPr>
    </w:p>
    <w:p>
      <w:pPr>
        <w:ind w:left="1040" w:hanging="384"/>
        <w:spacing w:after="0"/>
        <w:tabs>
          <w:tab w:leader="none" w:pos="104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period the Agreement is in effect pursuant to Section 2.1.</w:t>
      </w:r>
    </w:p>
    <w:p>
      <w:pPr>
        <w:spacing w:after="0" w:line="215" w:lineRule="exact"/>
        <w:rPr>
          <w:rFonts w:ascii="Arial" w:cs="Arial" w:eastAsia="Arial" w:hAnsi="Arial"/>
          <w:sz w:val="20"/>
          <w:szCs w:val="20"/>
          <w:color w:val="auto"/>
        </w:rPr>
      </w:pPr>
    </w:p>
    <w:p>
      <w:pPr>
        <w:ind w:left="1140" w:hanging="484"/>
        <w:spacing w:after="0"/>
        <w:tabs>
          <w:tab w:leader="none" w:pos="114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 termination of Tallent’s employment as an employee or engagement as a consultant.</w:t>
      </w:r>
    </w:p>
    <w:p>
      <w:pPr>
        <w:spacing w:after="0" w:line="215" w:lineRule="exact"/>
        <w:rPr>
          <w:rFonts w:ascii="Arial" w:cs="Arial" w:eastAsia="Arial" w:hAnsi="Arial"/>
          <w:sz w:val="20"/>
          <w:szCs w:val="20"/>
          <w:color w:val="auto"/>
        </w:rPr>
      </w:pPr>
    </w:p>
    <w:p>
      <w:pPr>
        <w:jc w:val="both"/>
        <w:ind w:firstLine="656"/>
        <w:spacing w:after="0" w:line="253" w:lineRule="auto"/>
        <w:tabs>
          <w:tab w:leader="none" w:pos="1144"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b w:val="1"/>
          <w:bCs w:val="1"/>
          <w:color w:val="auto"/>
        </w:rPr>
        <w:t xml:space="preserve">” </w:t>
      </w:r>
      <w:r>
        <w:rPr>
          <w:rFonts w:ascii="Arial" w:cs="Arial" w:eastAsia="Arial" w:hAnsi="Arial"/>
          <w:sz w:val="20"/>
          <w:szCs w:val="20"/>
          <w:color w:val="auto"/>
        </w:rPr>
        <w:t>means information of the Corporation or an Affiliate including, but not limited to, technical or nontechnical</w:t>
      </w:r>
      <w:r>
        <w:rPr>
          <w:rFonts w:ascii="Arial" w:cs="Arial" w:eastAsia="Arial" w:hAnsi="Arial"/>
          <w:sz w:val="20"/>
          <w:szCs w:val="20"/>
          <w:b w:val="1"/>
          <w:bCs w:val="1"/>
          <w:color w:val="auto"/>
        </w:rPr>
        <w:t xml:space="preserve"> </w:t>
      </w:r>
      <w:r>
        <w:rPr>
          <w:rFonts w:ascii="Arial" w:cs="Arial" w:eastAsia="Arial" w:hAnsi="Arial"/>
          <w:sz w:val="20"/>
          <w:szCs w:val="20"/>
          <w:color w:val="auto"/>
        </w:rPr>
        <w:t>data, formulas, patterns, compilations, programs, devices, methods, techniques, drawings, processes, financial data, financial plans, product plans or lists of actual or potential customers or suppliers which:</w:t>
      </w:r>
    </w:p>
    <w:p>
      <w:pPr>
        <w:spacing w:after="0" w:line="197" w:lineRule="exact"/>
        <w:rPr>
          <w:rFonts w:ascii="Arial" w:cs="Arial" w:eastAsia="Arial" w:hAnsi="Arial"/>
          <w:sz w:val="20"/>
          <w:szCs w:val="20"/>
          <w:color w:val="auto"/>
        </w:rPr>
      </w:pPr>
    </w:p>
    <w:p>
      <w:pPr>
        <w:ind w:left="660" w:right="20" w:firstLine="645"/>
        <w:spacing w:after="0" w:line="260" w:lineRule="auto"/>
        <w:tabs>
          <w:tab w:leader="none" w:pos="1763" w:val="left"/>
        </w:tabs>
        <w:numPr>
          <w:ilvl w:val="1"/>
          <w:numId w:val="34"/>
        </w:numPr>
        <w:rPr>
          <w:rFonts w:ascii="Arial" w:cs="Arial" w:eastAsia="Arial" w:hAnsi="Arial"/>
          <w:sz w:val="20"/>
          <w:szCs w:val="20"/>
          <w:color w:val="auto"/>
        </w:rPr>
      </w:pPr>
      <w:r>
        <w:rPr>
          <w:rFonts w:ascii="Arial" w:cs="Arial" w:eastAsia="Arial" w:hAnsi="Arial"/>
          <w:sz w:val="20"/>
          <w:szCs w:val="20"/>
          <w:color w:val="auto"/>
        </w:rPr>
        <w:t>derives economic value, actual or potential, from not being generally known to, and not being readily ascertainable by proper means by, other persons who can obtain economic value from its disclosure or use; and</w:t>
      </w:r>
    </w:p>
    <w:p>
      <w:pPr>
        <w:spacing w:after="0" w:line="190" w:lineRule="exact"/>
        <w:rPr>
          <w:rFonts w:ascii="Arial" w:cs="Arial" w:eastAsia="Arial" w:hAnsi="Arial"/>
          <w:sz w:val="20"/>
          <w:szCs w:val="20"/>
          <w:color w:val="auto"/>
        </w:rPr>
      </w:pPr>
    </w:p>
    <w:p>
      <w:pPr>
        <w:ind w:left="1740" w:hanging="435"/>
        <w:spacing w:after="0"/>
        <w:tabs>
          <w:tab w:leader="none" w:pos="17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is the subject of efforts that are reasonable under the circumstances to maintain its secrecy.</w:t>
      </w:r>
    </w:p>
    <w:p>
      <w:pPr>
        <w:spacing w:after="0" w:line="223"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Corporation, and Tallent have executed and delivered this Transition Agreement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shown above.</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UNITED COMMUNITY BANKS, INC.</w:t>
      </w:r>
    </w:p>
    <w:p>
      <w:pPr>
        <w:spacing w:after="0" w:line="200" w:lineRule="exact"/>
        <w:rPr>
          <w:sz w:val="20"/>
          <w:szCs w:val="20"/>
          <w:color w:val="auto"/>
        </w:rPr>
      </w:pPr>
    </w:p>
    <w:p>
      <w:pPr>
        <w:spacing w:after="0" w:line="265"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133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L. Cathy Cox</w:t>
      </w:r>
    </w:p>
    <w:p>
      <w:pPr>
        <w:ind w:left="5200"/>
        <w:spacing w:after="0"/>
        <w:rPr>
          <w:sz w:val="20"/>
          <w:szCs w:val="20"/>
          <w:color w:val="auto"/>
        </w:rPr>
      </w:pPr>
      <w:r>
        <w:rPr>
          <w:rFonts w:ascii="Arial" w:cs="Arial" w:eastAsia="Arial" w:hAnsi="Arial"/>
          <w:sz w:val="19"/>
          <w:szCs w:val="19"/>
          <w:color w:val="auto"/>
        </w:rPr>
        <w:t>Chair, Compensation Committee and Nominating/Corporate Governance</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520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Jimmy C. Tallent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6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 of the Registrant</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August 6, 2018</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 of the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August 6, 2018</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2018 filed with the Securities and Exchange Commission on the date hereof (the “Report”), I, H. Lynn Harton,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 of operations of United.</w:t>
      </w:r>
    </w:p>
    <w:p>
      <w:pPr>
        <w:spacing w:after="0" w:line="15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H. Lynn Harton</w:t>
            </w:r>
          </w:p>
        </w:tc>
      </w:tr>
      <w:tr>
        <w:trPr>
          <w:trHeight w:val="27"/>
        </w:trPr>
        <w:tc>
          <w:tcPr>
            <w:tcW w:w="6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70"/>
        </w:trPr>
        <w:tc>
          <w:tcPr>
            <w:tcW w:w="66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7"/>
        </w:trPr>
        <w:tc>
          <w:tcPr>
            <w:tcW w:w="6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70"/>
        </w:trPr>
        <w:tc>
          <w:tcPr>
            <w:tcW w:w="66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August 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2"/>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decimal"/>
      <w:start w:val="1"/>
    </w:lvl>
    <w:lvl w:ilvl="1">
      <w:lvlJc w:val="left"/>
      <w:lvlText w:val="(%2)"/>
      <w:numFmt w:val="lowerLetter"/>
      <w:start w:val="2"/>
    </w:lvl>
  </w:abstractNum>
  <w:abstractNum w:abstractNumId="18">
    <w:nsid w:val="71F32454"/>
    <w:multiLevelType w:val="hybridMultilevel"/>
    <w:lvl w:ilvl="0">
      <w:lvlJc w:val="left"/>
      <w:lvlText w:val="%1."/>
      <w:numFmt w:val="decimal"/>
      <w:start w:val="3"/>
    </w:lvl>
    <w:lvl w:ilvl="1">
      <w:lvlJc w:val="left"/>
      <w:lvlText w:val="%2"/>
      <w:numFmt w:val="lowerLetter"/>
      <w:start w:val="1"/>
    </w:lvl>
  </w:abstractNum>
  <w:abstractNum w:abstractNumId="19">
    <w:nsid w:val="2CA88611"/>
    <w:multiLevelType w:val="hybridMultilevel"/>
    <w:lvl w:ilvl="0">
      <w:lvlJc w:val="left"/>
      <w:lvlText w:val="(%1)"/>
      <w:numFmt w:val="lowerLetter"/>
      <w:start w:val="1"/>
    </w:lvl>
    <w:lvl w:ilvl="1">
      <w:lvlJc w:val="left"/>
      <w:lvlText w:val="(%2)"/>
      <w:numFmt w:val="decimal"/>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2"/>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lvl w:ilvl="1">
      <w:lvlJc w:val="left"/>
      <w:lvlText w:val="(%2)"/>
      <w:numFmt w:val="lowerLetter"/>
      <w:start w:val="3"/>
    </w:lvl>
  </w:abstractNum>
  <w:abstractNum w:abstractNumId="24">
    <w:nsid w:val="1E7FF521"/>
    <w:multiLevelType w:val="hybridMultilevel"/>
    <w:lvl w:ilvl="0">
      <w:lvlJc w:val="left"/>
      <w:lvlText w:val="%1."/>
      <w:numFmt w:val="decimal"/>
      <w:start w:val="4"/>
    </w:lvl>
    <w:lvl w:ilvl="1">
      <w:lvlJc w:val="left"/>
      <w:lvlText w:val="%2"/>
      <w:numFmt w:val="lowerLetter"/>
      <w:start w:val="1"/>
    </w:lvl>
  </w:abstractNum>
  <w:abstractNum w:abstractNumId="25">
    <w:nsid w:val="7C3DBD3D"/>
    <w:multiLevelType w:val="hybridMultilevel"/>
    <w:lvl w:ilvl="0">
      <w:lvlJc w:val="left"/>
      <w:lvlText w:val="(%1)"/>
      <w:numFmt w:val="lowerLetter"/>
      <w:start w:val="1"/>
    </w:lvl>
    <w:lvl w:ilvl="1">
      <w:lvlJc w:val="left"/>
      <w:lvlText w:val="(%2)"/>
      <w:numFmt w:val="lowerLetter"/>
      <w:start w:val="2"/>
    </w:lvl>
  </w:abstractNum>
  <w:abstractNum w:abstractNumId="26">
    <w:nsid w:val="737B8DDC"/>
    <w:multiLevelType w:val="hybridMultilevel"/>
    <w:lvl w:ilvl="0">
      <w:lvlJc w:val="left"/>
      <w:lvlText w:val="%1"/>
      <w:numFmt w:val="decimal"/>
      <w:start w:val="1"/>
    </w:lvl>
    <w:lvl w:ilvl="1">
      <w:lvlJc w:val="left"/>
      <w:lvlText w:val="%2."/>
      <w:numFmt w:val="decimal"/>
      <w:start w:val="5"/>
    </w:lvl>
  </w:abstractNum>
  <w:abstractNum w:abstractNumId="27">
    <w:nsid w:val="6CEAF087"/>
    <w:multiLevelType w:val="hybridMultilevel"/>
    <w:lvl w:ilvl="0">
      <w:lvlJc w:val="left"/>
      <w:lvlText w:val="%1."/>
      <w:numFmt w:val="decimal"/>
      <w:start w:val="6"/>
    </w:lvl>
    <w:lvl w:ilvl="1">
      <w:lvlJc w:val="left"/>
      <w:lvlText w:val="%2"/>
      <w:numFmt w:val="decimal"/>
      <w:start w:val="1"/>
    </w:lvl>
  </w:abstractNum>
  <w:abstractNum w:abstractNumId="28">
    <w:nsid w:val="22221A70"/>
    <w:multiLevelType w:val="hybridMultilevel"/>
    <w:lvl w:ilvl="0">
      <w:lvlJc w:val="left"/>
      <w:lvlText w:val="%1."/>
      <w:numFmt w:val="decimal"/>
      <w:start w:val="11"/>
    </w:lvl>
  </w:abstractNum>
  <w:abstractNum w:abstractNumId="29">
    <w:nsid w:val="4516DDE9"/>
    <w:multiLevelType w:val="hybridMultilevel"/>
    <w:lvl w:ilvl="0">
      <w:lvlJc w:val="left"/>
      <w:lvlText w:val="%1."/>
      <w:numFmt w:val="decimal"/>
      <w:start w:val="12"/>
    </w:lvl>
  </w:abstractNum>
  <w:abstractNum w:abstractNumId="30">
    <w:nsid w:val="3006C83E"/>
    <w:multiLevelType w:val="hybridMultilevel"/>
    <w:lvl w:ilvl="0">
      <w:lvlJc w:val="left"/>
      <w:lvlText w:val="%1."/>
      <w:numFmt w:val="decimal"/>
      <w:start w:val="15"/>
    </w:lvl>
    <w:lvl w:ilvl="1">
      <w:lvlJc w:val="left"/>
      <w:lvlText w:val="%2."/>
      <w:numFmt w:val="decimal"/>
      <w:start w:val="20"/>
    </w:lvl>
    <w:lvl w:ilvl="2">
      <w:lvlJc w:val="left"/>
      <w:lvlText w:val="(%3)"/>
      <w:numFmt w:val="lowerLetter"/>
      <w:start w:val="1"/>
    </w:lvl>
    <w:lvl w:ilvl="3">
      <w:lvlJc w:val="left"/>
      <w:lvlText w:val="(%4)"/>
      <w:numFmt w:val="decimal"/>
      <w:start w:val="1"/>
    </w:lvl>
  </w:abstractNum>
  <w:abstractNum w:abstractNumId="31">
    <w:nsid w:val="614FD4A1"/>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32">
    <w:nsid w:val="419AC241"/>
    <w:multiLevelType w:val="hybridMultilevel"/>
    <w:lvl w:ilvl="0">
      <w:lvlJc w:val="left"/>
      <w:lvlText w:val="(%1)"/>
      <w:numFmt w:val="lowerLetter"/>
      <w:start w:val="6"/>
    </w:lvl>
    <w:lvl w:ilvl="1">
      <w:lvlJc w:val="left"/>
      <w:lvlText w:val="%2"/>
      <w:numFmt w:val="decimal"/>
      <w:start w:val="1"/>
    </w:lvl>
    <w:lvl w:ilvl="2">
      <w:lvlJc w:val="left"/>
      <w:lvlText w:val="%3"/>
      <w:numFmt w:val="decimal"/>
      <w:start w:val="1"/>
    </w:lvl>
  </w:abstractNum>
  <w:abstractNum w:abstractNumId="33">
    <w:nsid w:val="5577F8E1"/>
    <w:multiLevelType w:val="hybridMultilevel"/>
    <w:lvl w:ilvl="0">
      <w:lvlJc w:val="left"/>
      <w:lvlText w:val="(%1)"/>
      <w:numFmt w:val="lowerLetter"/>
      <w:start w:val="10"/>
    </w:lvl>
    <w:lvl w:ilvl="1">
      <w:lvlJc w:val="left"/>
      <w:lvlText w:val="(%2)"/>
      <w:numFmt w:val="lowerRoman"/>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2019-12-28T20:37:07Z</dcterms:created>
  <dcterms:modified xsi:type="dcterms:W3CDTF">2019-12-28T20:37:07Z</dcterms:modified>
</cp:coreProperties>
</file>