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48" w:lineRule="exact"/>
        <w:rPr>
          <w:sz w:val="24"/>
          <w:szCs w:val="24"/>
          <w:color w:val="auto"/>
        </w:rPr>
      </w:pPr>
    </w:p>
    <w:p>
      <w:pPr>
        <w:ind w:left="3340" w:hanging="1004"/>
        <w:spacing w:after="0"/>
        <w:tabs>
          <w:tab w:leader="none" w:pos="33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12" w:lineRule="exact"/>
        <w:rPr>
          <w:sz w:val="24"/>
          <w:szCs w:val="24"/>
          <w:color w:val="auto"/>
        </w:rPr>
      </w:pPr>
    </w:p>
    <w:p>
      <w:pPr>
        <w:ind w:left="3340" w:hanging="1004"/>
        <w:spacing w:after="0"/>
        <w:tabs>
          <w:tab w:leader="none" w:pos="3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41"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001-35095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76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5980" w:type="dxa"/>
            <w:vAlign w:val="bottom"/>
            <w:gridSpan w:val="3"/>
          </w:tcPr>
          <w:p>
            <w:pPr>
              <w:jc w:val="center"/>
              <w:ind w:left="2159"/>
              <w:spacing w:after="0"/>
              <w:rPr>
                <w:sz w:val="20"/>
                <w:szCs w:val="20"/>
                <w:color w:val="auto"/>
              </w:rPr>
            </w:pPr>
            <w:r>
              <w:rPr>
                <w:rFonts w:ascii="Arial" w:cs="Arial" w:eastAsia="Arial" w:hAnsi="Arial"/>
                <w:sz w:val="16"/>
                <w:szCs w:val="16"/>
                <w:b w:val="1"/>
                <w:bCs w:val="1"/>
                <w:color w:val="auto"/>
                <w:w w:val="91"/>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(State of incorporation)</w:t>
            </w:r>
          </w:p>
        </w:tc>
        <w:tc>
          <w:tcPr>
            <w:tcW w:w="2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125 Highway 515 East</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2"/>
              </w:rPr>
              <w:t>Blairsville, Georgia</w:t>
            </w:r>
          </w:p>
        </w:tc>
        <w:tc>
          <w:tcPr>
            <w:tcW w:w="5980" w:type="dxa"/>
            <w:vAlign w:val="bottom"/>
            <w:gridSpan w:val="3"/>
          </w:tcPr>
          <w:p>
            <w:pPr>
              <w:jc w:val="center"/>
              <w:ind w:left="2179"/>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(Zip code)</w:t>
            </w:r>
          </w:p>
        </w:tc>
      </w:tr>
      <w:tr>
        <w:trPr>
          <w:trHeight w:val="29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Arial" w:cs="Arial" w:eastAsia="Arial" w:hAnsi="Arial"/>
                <w:sz w:val="16"/>
                <w:szCs w:val="16"/>
                <w:b w:val="1"/>
                <w:bCs w:val="1"/>
                <w:color w:val="auto"/>
              </w:rPr>
              <w:t>(706) 781-2265</w:t>
            </w: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318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w w:val="91"/>
              </w:rPr>
              <w:t>Title of Each Class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1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Common stock, par value $1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UCBI</w:t>
            </w:r>
          </w:p>
        </w:tc>
        <w:tc>
          <w:tcPr>
            <w:tcW w:w="11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r>
        <w:trPr>
          <w:trHeight w:val="151"/>
        </w:trPr>
        <w:tc>
          <w:tcPr>
            <w:tcW w:w="5020" w:type="dxa"/>
            <w:vAlign w:val="bottom"/>
            <w:gridSpan w:val="3"/>
          </w:tcPr>
          <w:p>
            <w:pPr>
              <w:jc w:val="center"/>
              <w:ind w:right="200"/>
              <w:spacing w:after="0" w:line="151" w:lineRule="exact"/>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UCBIO</w:t>
            </w:r>
          </w:p>
        </w:tc>
        <w:tc>
          <w:tcPr>
            <w:tcW w:w="1180" w:type="dxa"/>
            <w:vAlign w:val="bottom"/>
          </w:tcPr>
          <w:p>
            <w:pPr>
              <w:spacing w:after="0"/>
              <w:rPr>
                <w:sz w:val="13"/>
                <w:szCs w:val="13"/>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r>
        <w:trPr>
          <w:trHeight w:val="186"/>
        </w:trPr>
        <w:tc>
          <w:tcPr>
            <w:tcW w:w="5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114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6" w:lineRule="exact"/>
        <w:rPr>
          <w:sz w:val="24"/>
          <w:szCs w:val="24"/>
          <w:color w:val="auto"/>
        </w:rPr>
      </w:pPr>
    </w:p>
    <w:p>
      <w:pPr>
        <w:jc w:val="both"/>
        <w:spacing w:after="0" w:line="256"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78"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72"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3" w:lineRule="exact"/>
        <w:rPr>
          <w:sz w:val="24"/>
          <w:szCs w:val="24"/>
          <w:color w:val="auto"/>
        </w:rPr>
      </w:pPr>
    </w:p>
    <w:p>
      <w:pPr>
        <w:spacing w:after="0" w:line="223"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118,853,361 shares of the registrant’s common stock, par value $1 per share, outstanding as of July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4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0000FF"/>
              </w:rPr>
              <w:t>Glossary of Defined Terms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FF"/>
              </w:rPr>
              <w:t>3</w:t>
            </w:r>
          </w:p>
        </w:tc>
        <w:tc>
          <w:tcPr>
            <w:tcW w:w="20" w:type="dxa"/>
            <w:vAlign w:val="bottom"/>
            <w:shd w:val="clear" w:color="auto" w:fill="CCEEFF"/>
          </w:tcPr>
          <w:p>
            <w:pPr>
              <w:spacing w:after="0"/>
              <w:rPr>
                <w:sz w:val="19"/>
                <w:szCs w:val="19"/>
                <w:color w:val="auto"/>
              </w:rPr>
            </w:pPr>
          </w:p>
        </w:tc>
      </w:tr>
      <w:tr>
        <w:trPr>
          <w:trHeight w:val="270"/>
        </w:trPr>
        <w:tc>
          <w:tcPr>
            <w:tcW w:w="6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4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Cautionary Note Regarding Forward-looking Statements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shd w:val="clear" w:color="auto" w:fill="CCEEFF"/>
          </w:tcPr>
          <w:p>
            <w:pPr>
              <w:spacing w:after="0"/>
              <w:rPr>
                <w:sz w:val="18"/>
                <w:szCs w:val="18"/>
                <w:color w:val="auto"/>
              </w:rPr>
            </w:pPr>
          </w:p>
        </w:tc>
      </w:tr>
      <w:tr>
        <w:trPr>
          <w:trHeight w:val="270"/>
        </w:trPr>
        <w:tc>
          <w:tcPr>
            <w:tcW w:w="6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23"/>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40" w:type="dxa"/>
            <w:vAlign w:val="bottom"/>
            <w:gridSpan w:val="14"/>
            <w:shd w:val="clear" w:color="auto" w:fill="CCEEFF"/>
          </w:tcPr>
          <w:p>
            <w:pPr>
              <w:jc w:val="center"/>
              <w:ind w:right="4200"/>
              <w:spacing w:after="0" w:line="189" w:lineRule="exact"/>
              <w:rPr>
                <w:sz w:val="20"/>
                <w:szCs w:val="20"/>
                <w:color w:val="auto"/>
              </w:rPr>
            </w:pPr>
            <w:r>
              <w:rPr>
                <w:rFonts w:ascii="Arial" w:cs="Arial" w:eastAsia="Arial" w:hAnsi="Arial"/>
                <w:sz w:val="18"/>
                <w:szCs w:val="18"/>
                <w:b w:val="1"/>
                <w:bCs w:val="1"/>
                <w:color w:val="0000FF"/>
                <w:w w:val="94"/>
              </w:rPr>
              <w:t>PART I - Financial Information</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6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Item 1.</w:t>
            </w:r>
          </w:p>
        </w:tc>
        <w:tc>
          <w:tcPr>
            <w:tcW w:w="2800" w:type="dxa"/>
            <w:vAlign w:val="bottom"/>
            <w:tcBorders>
              <w:top w:val="single" w:sz="8" w:color="CCEEFF"/>
            </w:tcBorders>
            <w:gridSpan w:val="6"/>
          </w:tcPr>
          <w:p>
            <w:pPr>
              <w:spacing w:after="0"/>
              <w:rPr>
                <w:sz w:val="20"/>
                <w:szCs w:val="20"/>
                <w:color w:val="auto"/>
              </w:rPr>
            </w:pPr>
            <w:r>
              <w:rPr>
                <w:rFonts w:ascii="Arial" w:cs="Arial" w:eastAsia="Arial" w:hAnsi="Arial"/>
                <w:sz w:val="18"/>
                <w:szCs w:val="18"/>
                <w:b w:val="1"/>
                <w:bCs w:val="1"/>
                <w:color w:val="auto"/>
              </w:rPr>
              <w:t>Financial Statements</w:t>
            </w:r>
          </w:p>
        </w:tc>
        <w:tc>
          <w:tcPr>
            <w:tcW w:w="2440" w:type="dxa"/>
            <w:vAlign w:val="bottom"/>
            <w:tcBorders>
              <w:top w:val="single" w:sz="8" w:color="0000FF"/>
            </w:tcBorders>
            <w:gridSpan w:val="11"/>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Balance Sheets (unaudited)</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Income (unaudited)</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6</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Comprehensive Income (unaudited)</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Changes in Shareholders’ Equity (unaudited)</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Consolidated Statements of Cash Flows (unaudited)</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9</w:t>
            </w:r>
          </w:p>
        </w:tc>
        <w:tc>
          <w:tcPr>
            <w:tcW w:w="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2.</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3.</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4.</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40" w:type="dxa"/>
            <w:vAlign w:val="bottom"/>
            <w:gridSpan w:val="14"/>
          </w:tcPr>
          <w:p>
            <w:pPr>
              <w:jc w:val="center"/>
              <w:ind w:right="4200"/>
              <w:spacing w:after="0" w:line="189" w:lineRule="exact"/>
              <w:rPr>
                <w:sz w:val="20"/>
                <w:szCs w:val="20"/>
                <w:color w:val="auto"/>
              </w:rPr>
            </w:pPr>
            <w:r>
              <w:rPr>
                <w:rFonts w:ascii="Arial" w:cs="Arial" w:eastAsia="Arial" w:hAnsi="Arial"/>
                <w:sz w:val="18"/>
                <w:szCs w:val="18"/>
                <w:b w:val="1"/>
                <w:bCs w:val="1"/>
                <w:color w:val="0000FF"/>
                <w:w w:val="96"/>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1.</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1A.</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Risk Factors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600" w:type="dxa"/>
            <w:vAlign w:val="bottom"/>
          </w:tcPr>
          <w:p>
            <w:pPr>
              <w:spacing w:after="0"/>
              <w:rPr>
                <w:sz w:val="16"/>
                <w:szCs w:val="16"/>
                <w:color w:val="auto"/>
              </w:rPr>
            </w:pPr>
          </w:p>
        </w:tc>
        <w:tc>
          <w:tcPr>
            <w:tcW w:w="1000" w:type="dxa"/>
            <w:vAlign w:val="bottom"/>
            <w:gridSpan w:val="3"/>
          </w:tcPr>
          <w:p>
            <w:pPr>
              <w:spacing w:after="0" w:line="189" w:lineRule="exact"/>
              <w:rPr>
                <w:sz w:val="20"/>
                <w:szCs w:val="20"/>
                <w:color w:val="auto"/>
              </w:rPr>
            </w:pPr>
            <w:r>
              <w:rPr>
                <w:rFonts w:ascii="Arial" w:cs="Arial" w:eastAsia="Arial" w:hAnsi="Arial"/>
                <w:sz w:val="18"/>
                <w:szCs w:val="18"/>
                <w:b w:val="1"/>
                <w:bCs w:val="1"/>
                <w:color w:val="0000FF"/>
              </w:rPr>
              <w:t>Item 2.</w:t>
            </w:r>
          </w:p>
        </w:tc>
        <w:tc>
          <w:tcPr>
            <w:tcW w:w="944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Unregistered Sales of Equity Securities and Use of Proceeds.</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16"/>
                <w:szCs w:val="16"/>
                <w:color w:val="auto"/>
              </w:rPr>
            </w:pPr>
          </w:p>
        </w:tc>
      </w:tr>
      <w:tr>
        <w:trPr>
          <w:trHeight w:val="21"/>
        </w:trPr>
        <w:tc>
          <w:tcPr>
            <w:tcW w:w="60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600" w:type="dxa"/>
            <w:vAlign w:val="bottom"/>
          </w:tcPr>
          <w:p>
            <w:pPr>
              <w:spacing w:after="0"/>
              <w:rPr>
                <w:sz w:val="16"/>
                <w:szCs w:val="16"/>
                <w:color w:val="auto"/>
              </w:rPr>
            </w:pPr>
          </w:p>
        </w:tc>
        <w:tc>
          <w:tcPr>
            <w:tcW w:w="54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b w:val="1"/>
                <w:bCs w:val="1"/>
                <w:color w:val="0000FF"/>
                <w:w w:val="91"/>
              </w:rPr>
              <w:t>Item 6.</w:t>
            </w:r>
          </w:p>
        </w:tc>
        <w:tc>
          <w:tcPr>
            <w:tcW w:w="460" w:type="dxa"/>
            <w:vAlign w:val="bottom"/>
            <w:gridSpan w:val="2"/>
          </w:tcPr>
          <w:p>
            <w:pPr>
              <w:spacing w:after="0"/>
              <w:rPr>
                <w:sz w:val="16"/>
                <w:szCs w:val="16"/>
                <w:color w:val="auto"/>
              </w:rPr>
            </w:pPr>
          </w:p>
        </w:tc>
        <w:tc>
          <w:tcPr>
            <w:tcW w:w="64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b w:val="1"/>
                <w:bCs w:val="1"/>
                <w:color w:val="0000FF"/>
                <w:w w:val="88"/>
              </w:rPr>
              <w:t>Exhibits</w:t>
            </w:r>
          </w:p>
        </w:tc>
        <w:tc>
          <w:tcPr>
            <w:tcW w:w="8800" w:type="dxa"/>
            <w:vAlign w:val="bottom"/>
            <w:gridSpan w:val="19"/>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61</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Term</w:t>
            </w:r>
          </w:p>
        </w:tc>
        <w:tc>
          <w:tcPr>
            <w:tcW w:w="120" w:type="dxa"/>
            <w:vAlign w:val="bottom"/>
          </w:tcPr>
          <w:p>
            <w:pPr>
              <w:spacing w:after="0"/>
              <w:rPr>
                <w:sz w:val="20"/>
                <w:szCs w:val="20"/>
                <w:color w:val="auto"/>
              </w:rPr>
            </w:pP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182"/>
        </w:trPr>
        <w:tc>
          <w:tcPr>
            <w:tcW w:w="25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2022 10-K</w:t>
            </w:r>
          </w:p>
        </w:tc>
        <w:tc>
          <w:tcPr>
            <w:tcW w:w="120" w:type="dxa"/>
            <w:vAlign w:val="bottom"/>
            <w:shd w:val="clear" w:color="auto" w:fill="CCEEFF"/>
          </w:tcPr>
          <w:p>
            <w:pPr>
              <w:spacing w:after="0"/>
              <w:rPr>
                <w:sz w:val="15"/>
                <w:szCs w:val="15"/>
                <w:color w:val="auto"/>
              </w:rPr>
            </w:pPr>
          </w:p>
        </w:tc>
        <w:tc>
          <w:tcPr>
            <w:tcW w:w="8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United’s Annual Report on Form 10-K for the year ended December 31, 2022 filed with the SEC on February 24,</w:t>
            </w:r>
          </w:p>
        </w:tc>
      </w:tr>
      <w:tr>
        <w:trPr>
          <w:trHeight w:val="230"/>
        </w:trPr>
        <w:tc>
          <w:tcPr>
            <w:tcW w:w="2520" w:type="dxa"/>
            <w:vAlign w:val="bottom"/>
            <w:shd w:val="clear" w:color="auto" w:fill="CCEEFF"/>
          </w:tcPr>
          <w:p>
            <w:pPr>
              <w:spacing w:after="0"/>
              <w:rPr>
                <w:sz w:val="20"/>
                <w:szCs w:val="20"/>
                <w:color w:val="auto"/>
              </w:rPr>
            </w:pPr>
          </w:p>
        </w:tc>
        <w:tc>
          <w:tcPr>
            <w:tcW w:w="8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2023</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ACL</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ALCO</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ARR</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Alternative reference rate</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Bank</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Board of Directors</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BOLI</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Bank-owned life insurance</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expected credit loss</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CET1</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Chicago Mercantile Exchange</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(interchangeable with "United" below)</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CVA</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valuation adjustment</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FASB</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FDM</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Modification made to borrowers experiencing financial difficulty</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Reserve System</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First Miami</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First Miami Bancorp, Inc. and its wholly-owned subsidiary, First National Bank of South Miami</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Home Loan Bank</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FOMC</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Federal Reserve’s Federal Open Markets Committee</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FTE</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Fully taxable equivalent</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GAAP</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HELOC</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Home equity lines of credit</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on an unconsolidated basis</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HTM</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Held-to-maturity</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London Interbank Offered Rate</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LIHTC</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Low- income housing tax credit</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MBS</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Negotiable order of withdrawal</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NPA</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Nonperforming asset</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OREO</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Other real estate owned</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PCD</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Progress</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Progress Financial Corporation and its wholly-owned subsidiary, Progress Bank &amp; Trust</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Bancorp, Inc. and its wholly-owned subsidiary, Reliant Bank</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Report</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 period ending June 30, 2023</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Small Business Administration</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SEC</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TDR</w:t>
            </w:r>
          </w:p>
        </w:tc>
        <w:tc>
          <w:tcPr>
            <w:tcW w:w="12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Troubled debt restructuring</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Department of the Treasury</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and its direct and indirect subsidiaries</w:t>
            </w: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USDA</w:t>
            </w:r>
          </w:p>
        </w:tc>
        <w:tc>
          <w:tcPr>
            <w:tcW w:w="120" w:type="dxa"/>
            <w:vAlign w:val="bottom"/>
            <w:shd w:val="clear" w:color="auto" w:fill="CCEEFF"/>
          </w:tcPr>
          <w:p>
            <w:pPr>
              <w:spacing w:after="0"/>
              <w:rPr>
                <w:sz w:val="20"/>
                <w:szCs w:val="20"/>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Department of Agriculture</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VIE</w:t>
            </w: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Arial" w:cs="Arial" w:eastAsia="Arial" w:hAnsi="Arial"/>
                <w:sz w:val="18"/>
                <w:szCs w:val="18"/>
                <w:color w:val="auto"/>
              </w:rPr>
              <w:t>Variable interest entity</w:t>
            </w:r>
          </w:p>
        </w:tc>
      </w:tr>
    </w:tbl>
    <w:p>
      <w:pPr>
        <w:spacing w:after="0" w:line="200" w:lineRule="exact"/>
        <w:rPr>
          <w:sz w:val="20"/>
          <w:szCs w:val="20"/>
          <w:color w:val="auto"/>
        </w:rPr>
      </w:pP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184" w:lineRule="exact"/>
        <w:rPr>
          <w:sz w:val="20"/>
          <w:szCs w:val="20"/>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loan underwriting, credit review or loss policies associated with economic conditions, examination conclusions or regulatory developments;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pandemics or public health conditions on the economic and business environments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fluctuations or unanticipated changes in the interest rate environment, including interest rate changes made by the Federal Reserve, replacements of LIBOR and replacement or reform of other interest rate benchmarks,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unanticipated or greater than anticipated adverse conditions in the national or local economies in which we operate;</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our ability to identify and complete future mergers or acquisitions as well as our ability to successfully expand and integrate those businesses and operations that we acquire;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affecting our business;</w:t>
      </w:r>
    </w:p>
    <w:p>
      <w:pPr>
        <w:spacing w:after="0" w:line="9"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events beyond our control that may have a destabilizing effect on financial markets and the economy, such as war or terrorist activities, the Russian invasion of Ukraine, disruptions in our customers’ supply chains, disruptions in transportation, essential utility outages or trade disputes and related tariffs; and</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2022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due from banks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195,771</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Interest-bearing deposits in banks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316,082</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Federal funds and other short-term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710,736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646,853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securities available-for-sale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3,359,989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3,614,333</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Debt securities held-to-maturity (fair value $2,132,396 and $2,191,073, respectively)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2,553,835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2,613,648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held for sale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Loans and leases held for investment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17,394,845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15,334,627</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Less allowance for credit losses - loans and leases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(159,357)</w:t>
            </w:r>
          </w:p>
        </w:tc>
        <w:tc>
          <w:tcPr>
            <w:tcW w:w="0" w:type="dxa"/>
            <w:vAlign w:val="bottom"/>
          </w:tcPr>
          <w:p>
            <w:pPr>
              <w:spacing w:after="0"/>
              <w:rPr>
                <w:sz w:val="1"/>
                <w:szCs w:val="1"/>
                <w:color w:val="auto"/>
              </w:rPr>
            </w:pPr>
          </w:p>
        </w:tc>
      </w:tr>
      <w:tr>
        <w:trPr>
          <w:trHeight w:val="207"/>
        </w:trPr>
        <w:tc>
          <w:tcPr>
            <w:tcW w:w="8440" w:type="dxa"/>
            <w:vAlign w:val="bottom"/>
          </w:tcPr>
          <w:p>
            <w:pPr>
              <w:ind w:left="260"/>
              <w:spacing w:after="0"/>
              <w:rPr>
                <w:sz w:val="20"/>
                <w:szCs w:val="20"/>
                <w:color w:val="auto"/>
              </w:rPr>
            </w:pPr>
            <w:r>
              <w:rPr>
                <w:rFonts w:ascii="Arial" w:cs="Arial" w:eastAsia="Arial" w:hAnsi="Arial"/>
                <w:sz w:val="16"/>
                <w:szCs w:val="16"/>
                <w:color w:val="auto"/>
              </w:rPr>
              <w:t>Loans and leases, net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17,204,140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15,175,270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298,456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Bank owned life insurance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299,297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and other intangible assets,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779,248</w:t>
            </w:r>
          </w:p>
        </w:tc>
        <w:tc>
          <w:tcPr>
            <w:tcW w:w="0" w:type="dxa"/>
            <w:vAlign w:val="bottom"/>
          </w:tcPr>
          <w:p>
            <w:pPr>
              <w:spacing w:after="0"/>
              <w:rPr>
                <w:sz w:val="1"/>
                <w:szCs w:val="1"/>
                <w:color w:val="auto"/>
              </w:rPr>
            </w:pPr>
          </w:p>
        </w:tc>
      </w:tr>
      <w:tr>
        <w:trPr>
          <w:trHeight w:val="216"/>
        </w:trPr>
        <w:tc>
          <w:tcPr>
            <w:tcW w:w="84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610,287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568,179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26,120,197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Noninterest-bearing demand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6,970,668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7,643,081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Interest-bearing deposits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15,281,320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12,233,426</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deposits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22,251,988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19,876,507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Short-term borrowings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158,933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324,663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398,107</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23,014,606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21,308,210</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40" w:type="dxa"/>
            <w:vAlign w:val="bottom"/>
          </w:tcPr>
          <w:p>
            <w:pPr>
              <w:ind w:left="140"/>
              <w:spacing w:after="0" w:line="166" w:lineRule="exact"/>
              <w:rPr>
                <w:sz w:val="20"/>
                <w:szCs w:val="20"/>
                <w:color w:val="auto"/>
              </w:rPr>
            </w:pPr>
            <w:r>
              <w:rPr>
                <w:rFonts w:ascii="Arial" w:cs="Arial" w:eastAsia="Arial" w:hAnsi="Arial"/>
                <w:sz w:val="16"/>
                <w:szCs w:val="16"/>
                <w:color w:val="auto"/>
              </w:rPr>
              <w:t>Preferred stock, $1 par value: 10,000,000 shares authorized; 3,989 and 4,000 shares Series I issued and</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96,165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09"/>
        </w:trPr>
        <w:tc>
          <w:tcPr>
            <w:tcW w:w="8440" w:type="dxa"/>
            <w:vAlign w:val="bottom"/>
          </w:tcPr>
          <w:p>
            <w:pPr>
              <w:ind w:left="220"/>
              <w:spacing w:after="0"/>
              <w:rPr>
                <w:sz w:val="20"/>
                <w:szCs w:val="20"/>
                <w:color w:val="auto"/>
              </w:rPr>
            </w:pPr>
            <w:r>
              <w:rPr>
                <w:rFonts w:ascii="Arial" w:cs="Arial" w:eastAsia="Arial" w:hAnsi="Arial"/>
                <w:sz w:val="16"/>
                <w:szCs w:val="16"/>
                <w:color w:val="auto"/>
              </w:rPr>
              <w:t>outstanding, respectively; $25,000 per share liquidation preference</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$1 par value: 200,000,000 shares authorized,</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115,266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106,223</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115,265,912 and 106,222,758 shares issued and outstanding, respectively</w:t>
            </w:r>
          </w:p>
        </w:tc>
        <w:tc>
          <w:tcPr>
            <w:tcW w:w="2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Common stock issuable: 587,775 and 607,128 shares, respectively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12,307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2,306,366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508,844</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(329,488)</w:t>
            </w: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3,105,591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2,700,674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26,120,197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24,008,884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6" w:right="27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28"/>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628"/>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5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2022</w:t>
            </w:r>
          </w:p>
        </w:tc>
      </w:tr>
      <w:tr>
        <w:trPr>
          <w:trHeight w:val="181"/>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Interest revenue: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including fees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250,484</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155,266</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486,915</w:t>
            </w:r>
          </w:p>
        </w:tc>
        <w:tc>
          <w:tcPr>
            <w:tcW w:w="4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302,007</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w w:val="98"/>
              </w:rPr>
              <w:t>Investment securities, including tax exempt of $1,731, $2,539, $3,841 and $5,194, respectively</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81,046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54,090</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Deposits in banks and short-term investments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2,340</w:t>
            </w:r>
          </w:p>
        </w:tc>
      </w:tr>
      <w:tr>
        <w:trPr>
          <w:trHeight w:val="193"/>
        </w:trPr>
        <w:tc>
          <w:tcPr>
            <w:tcW w:w="5940" w:type="dxa"/>
            <w:vAlign w:val="bottom"/>
          </w:tcPr>
          <w:p>
            <w:pPr>
              <w:ind w:left="360"/>
              <w:spacing w:after="0"/>
              <w:rPr>
                <w:sz w:val="20"/>
                <w:szCs w:val="20"/>
                <w:color w:val="auto"/>
              </w:rPr>
            </w:pPr>
            <w:r>
              <w:rPr>
                <w:rFonts w:ascii="Arial" w:cs="Arial" w:eastAsia="Arial" w:hAnsi="Arial"/>
                <w:sz w:val="14"/>
                <w:szCs w:val="14"/>
                <w:color w:val="auto"/>
              </w:rPr>
              <w:t>Total interest revenue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295,775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187,378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575,262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358,437</w:t>
            </w:r>
          </w:p>
        </w:tc>
      </w:tr>
      <w:tr>
        <w:trPr>
          <w:trHeight w:val="189"/>
        </w:trPr>
        <w:tc>
          <w:tcPr>
            <w:tcW w:w="5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4"/>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89,217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147,078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7,433</w:t>
            </w:r>
          </w:p>
        </w:tc>
      </w:tr>
      <w:tr>
        <w:trPr>
          <w:trHeight w:val="186"/>
        </w:trPr>
        <w:tc>
          <w:tcPr>
            <w:tcW w:w="594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Federal Home Loan Bank advances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8,309</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9"/>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interest expense</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95,489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163,506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15,742</w:t>
            </w:r>
          </w:p>
        </w:tc>
      </w:tr>
      <w:tr>
        <w:trPr>
          <w:trHeight w:val="179"/>
        </w:trPr>
        <w:tc>
          <w:tcPr>
            <w:tcW w:w="5940" w:type="dxa"/>
            <w:vAlign w:val="bottom"/>
          </w:tcPr>
          <w:p>
            <w:pPr>
              <w:ind w:left="220"/>
              <w:spacing w:after="0"/>
              <w:rPr>
                <w:sz w:val="20"/>
                <w:szCs w:val="20"/>
                <w:color w:val="auto"/>
              </w:rPr>
            </w:pPr>
            <w:r>
              <w:rPr>
                <w:rFonts w:ascii="Arial" w:cs="Arial" w:eastAsia="Arial" w:hAnsi="Arial"/>
                <w:sz w:val="14"/>
                <w:szCs w:val="14"/>
                <w:color w:val="auto"/>
              </w:rPr>
              <w:t>Net interest revenue</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200,286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178,903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411,756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342,695</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28,690</w:t>
            </w:r>
          </w:p>
        </w:tc>
      </w:tr>
      <w:tr>
        <w:trPr>
          <w:trHeight w:val="193"/>
        </w:trPr>
        <w:tc>
          <w:tcPr>
            <w:tcW w:w="5940" w:type="dxa"/>
            <w:vAlign w:val="bottom"/>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177,533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173,299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367,220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314,005</w:t>
            </w:r>
          </w:p>
        </w:tc>
      </w:tr>
      <w:tr>
        <w:trPr>
          <w:trHeight w:val="189"/>
        </w:trPr>
        <w:tc>
          <w:tcPr>
            <w:tcW w:w="5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4"/>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Service charges and fees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18,476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19,075</w:t>
            </w:r>
          </w:p>
        </w:tc>
      </w:tr>
      <w:tr>
        <w:trPr>
          <w:trHeight w:val="186"/>
        </w:trPr>
        <w:tc>
          <w:tcPr>
            <w:tcW w:w="5940" w:type="dxa"/>
            <w:vAlign w:val="bottom"/>
          </w:tcPr>
          <w:p>
            <w:pPr>
              <w:ind w:left="140"/>
              <w:spacing w:after="0"/>
              <w:rPr>
                <w:sz w:val="20"/>
                <w:szCs w:val="20"/>
                <w:color w:val="auto"/>
              </w:rPr>
            </w:pPr>
            <w:r>
              <w:rPr>
                <w:rFonts w:ascii="Arial" w:cs="Arial" w:eastAsia="Arial" w:hAnsi="Arial"/>
                <w:sz w:val="14"/>
                <w:szCs w:val="14"/>
                <w:color w:val="auto"/>
              </w:rPr>
              <w:t>Mortgage loan gains and other related fees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23,123</w:t>
            </w: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Wealth management fees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11,324</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11,880</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Gains from sales of other loans, net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6,998</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Lending and loan servicing fees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4,572</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Securities gains (losses), net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(3,688)</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16,120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10,471</w:t>
            </w:r>
          </w:p>
        </w:tc>
      </w:tr>
      <w:tr>
        <w:trPr>
          <w:trHeight w:val="179"/>
        </w:trPr>
        <w:tc>
          <w:tcPr>
            <w:tcW w:w="5940" w:type="dxa"/>
            <w:vAlign w:val="bottom"/>
          </w:tcPr>
          <w:p>
            <w:pPr>
              <w:ind w:left="220"/>
              <w:spacing w:after="0"/>
              <w:rPr>
                <w:sz w:val="20"/>
                <w:szCs w:val="20"/>
                <w:color w:val="auto"/>
              </w:rPr>
            </w:pPr>
            <w:r>
              <w:rPr>
                <w:rFonts w:ascii="Arial" w:cs="Arial" w:eastAsia="Arial" w:hAnsi="Arial"/>
                <w:sz w:val="14"/>
                <w:szCs w:val="14"/>
                <w:color w:val="auto"/>
              </w:rPr>
              <w:t>Total noninterest income</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36,387</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33,458</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66,596</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72,431</w:t>
            </w:r>
          </w:p>
        </w:tc>
      </w:tr>
      <w:tr>
        <w:trPr>
          <w:trHeight w:val="193"/>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206,757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433,816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386,436</w:t>
            </w:r>
          </w:p>
        </w:tc>
      </w:tr>
      <w:tr>
        <w:trPr>
          <w:trHeight w:val="188"/>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6"/>
        </w:trPr>
        <w:tc>
          <w:tcPr>
            <w:tcW w:w="594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76,250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154,948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140,239</w:t>
            </w: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Communications and equipment</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18,923</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8,865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20,083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18,243</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public relations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Postage, printing and supplies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4,118</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12,664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9,849</w:t>
            </w:r>
          </w:p>
        </w:tc>
      </w:tr>
      <w:tr>
        <w:trPr>
          <w:trHeight w:val="186"/>
        </w:trPr>
        <w:tc>
          <w:tcPr>
            <w:tcW w:w="5940" w:type="dxa"/>
            <w:vAlign w:val="bottom"/>
          </w:tcPr>
          <w:p>
            <w:pPr>
              <w:ind w:left="140"/>
              <w:spacing w:after="0"/>
              <w:rPr>
                <w:sz w:val="20"/>
                <w:szCs w:val="20"/>
                <w:color w:val="auto"/>
              </w:rPr>
            </w:pPr>
            <w:r>
              <w:rPr>
                <w:rFonts w:ascii="Arial" w:cs="Arial" w:eastAsia="Arial" w:hAnsi="Arial"/>
                <w:sz w:val="14"/>
                <w:szCs w:val="14"/>
                <w:color w:val="auto"/>
              </w:rPr>
              <w:t>Lending and loan servicing expense</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5,413</w:t>
            </w: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Outside services - electronic banking</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5,470</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FDIC assessments and other regulatory charges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4,440</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intangibles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Merger-related and other charges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12,276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16,159</w:t>
            </w: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15,881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9,894</w:t>
            </w:r>
          </w:p>
        </w:tc>
      </w:tr>
      <w:tr>
        <w:trPr>
          <w:trHeight w:val="179"/>
        </w:trPr>
        <w:tc>
          <w:tcPr>
            <w:tcW w:w="5940" w:type="dxa"/>
            <w:vAlign w:val="bottom"/>
          </w:tcPr>
          <w:p>
            <w:pPr>
              <w:ind w:left="220"/>
              <w:spacing w:after="0"/>
              <w:rPr>
                <w:sz w:val="20"/>
                <w:szCs w:val="20"/>
                <w:color w:val="auto"/>
              </w:rPr>
            </w:pPr>
            <w:r>
              <w:rPr>
                <w:rFonts w:ascii="Arial" w:cs="Arial" w:eastAsia="Arial" w:hAnsi="Arial"/>
                <w:sz w:val="14"/>
                <w:szCs w:val="14"/>
                <w:color w:val="auto"/>
              </w:rPr>
              <w:t>Total noninterest expenses</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132,407</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120,790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272,212</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240,065</w:t>
            </w:r>
          </w:p>
        </w:tc>
      </w:tr>
      <w:tr>
        <w:trPr>
          <w:trHeight w:val="179"/>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85,967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161,604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146,371</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31,510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66,842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125,588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114,861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9"/>
        </w:trPr>
        <w:tc>
          <w:tcPr>
            <w:tcW w:w="59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61,227</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121,470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110,827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86"/>
        </w:trPr>
        <w:tc>
          <w:tcPr>
            <w:tcW w:w="5940" w:type="dxa"/>
            <w:vAlign w:val="bottom"/>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0.53</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0.61</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1.05</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86"/>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2"/>
        </w:trPr>
        <w:tc>
          <w:tcPr>
            <w:tcW w:w="59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115,614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106,580</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115,869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106,716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115,795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106,697</w:t>
            </w:r>
          </w:p>
        </w:tc>
      </w:tr>
    </w:tbl>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(Loss)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3"/>
              <w:spacing w:after="0"/>
              <w:rPr>
                <w:sz w:val="20"/>
                <w:szCs w:val="20"/>
                <w:color w:val="auto"/>
              </w:rPr>
            </w:pPr>
            <w:r>
              <w:rPr>
                <w:rFonts w:ascii="Arial" w:cs="Arial" w:eastAsia="Arial" w:hAnsi="Arial"/>
                <w:sz w:val="16"/>
                <w:szCs w:val="16"/>
                <w:b w:val="1"/>
                <w:bCs w:val="1"/>
                <w:color w:val="auto"/>
                <w:w w:val="92"/>
              </w:rPr>
              <w:t>Three Months Ended June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Before-tax</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63"/>
              <w:spacing w:after="0" w:line="158" w:lineRule="exact"/>
              <w:rPr>
                <w:sz w:val="20"/>
                <w:szCs w:val="20"/>
                <w:color w:val="auto"/>
              </w:rPr>
            </w:pPr>
            <w:r>
              <w:rPr>
                <w:rFonts w:ascii="Arial" w:cs="Arial" w:eastAsia="Arial" w:hAnsi="Arial"/>
                <w:sz w:val="16"/>
                <w:szCs w:val="16"/>
                <w:b w:val="1"/>
                <w:bCs w:val="1"/>
                <w:color w:val="auto"/>
                <w:w w:val="94"/>
              </w:rPr>
              <w:t>Tax</w:t>
            </w:r>
          </w:p>
        </w:tc>
        <w:tc>
          <w:tcPr>
            <w:tcW w:w="8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of Tax</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
              <w:spacing w:after="0"/>
              <w:rPr>
                <w:sz w:val="20"/>
                <w:szCs w:val="20"/>
                <w:color w:val="auto"/>
              </w:rPr>
            </w:pPr>
            <w:r>
              <w:rPr>
                <w:rFonts w:ascii="Arial" w:cs="Arial" w:eastAsia="Arial" w:hAnsi="Arial"/>
                <w:sz w:val="16"/>
                <w:szCs w:val="16"/>
                <w:b w:val="1"/>
                <w:bCs w:val="1"/>
                <w:color w:val="auto"/>
                <w:w w:val="95"/>
              </w:rPr>
              <w:t>Before-tax</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63"/>
              <w:spacing w:after="0" w:line="158" w:lineRule="exact"/>
              <w:rPr>
                <w:sz w:val="20"/>
                <w:szCs w:val="20"/>
                <w:color w:val="auto"/>
              </w:rPr>
            </w:pPr>
            <w:r>
              <w:rPr>
                <w:rFonts w:ascii="Arial" w:cs="Arial" w:eastAsia="Arial" w:hAnsi="Arial"/>
                <w:sz w:val="16"/>
                <w:szCs w:val="16"/>
                <w:b w:val="1"/>
                <w:bCs w:val="1"/>
                <w:color w:val="auto"/>
                <w:w w:val="94"/>
              </w:rPr>
              <w:t>Tax</w:t>
            </w:r>
          </w:p>
        </w:tc>
        <w:tc>
          <w:tcPr>
            <w:tcW w:w="100" w:type="dxa"/>
            <w:vAlign w:val="bottom"/>
          </w:tcPr>
          <w:p>
            <w:pPr>
              <w:spacing w:after="0"/>
              <w:rPr>
                <w:sz w:val="13"/>
                <w:szCs w:val="13"/>
                <w:color w:val="auto"/>
              </w:rPr>
            </w:pPr>
          </w:p>
        </w:tc>
        <w:tc>
          <w:tcPr>
            <w:tcW w:w="860" w:type="dxa"/>
            <w:vAlign w:val="bottom"/>
            <w:gridSpan w:val="2"/>
            <w:vMerge w:val="restart"/>
          </w:tcPr>
          <w:p>
            <w:pPr>
              <w:jc w:val="right"/>
              <w:ind w:right="3"/>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(Expense)</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(Expense)</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92"/>
              </w:rPr>
              <w:t>Benefit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161,604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125,588</w:t>
            </w:r>
          </w:p>
        </w:tc>
        <w:tc>
          <w:tcPr>
            <w:tcW w:w="0" w:type="dxa"/>
            <w:vAlign w:val="bottom"/>
          </w:tcPr>
          <w:p>
            <w:pPr>
              <w:spacing w:after="0"/>
              <w:rPr>
                <w:sz w:val="1"/>
                <w:szCs w:val="1"/>
                <w:color w:val="auto"/>
              </w:rPr>
            </w:pPr>
          </w:p>
        </w:tc>
      </w:tr>
      <w:tr>
        <w:trPr>
          <w:trHeight w:val="199"/>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Unrealized gains (losses) on available-for-sale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ind w:left="240"/>
              <w:spacing w:after="0"/>
              <w:rPr>
                <w:sz w:val="20"/>
                <w:szCs w:val="20"/>
                <w:color w:val="auto"/>
              </w:rPr>
            </w:pPr>
            <w:r>
              <w:rPr>
                <w:rFonts w:ascii="Arial" w:cs="Arial" w:eastAsia="Arial" w:hAnsi="Arial"/>
                <w:sz w:val="15"/>
                <w:szCs w:val="15"/>
                <w:color w:val="auto"/>
              </w:rPr>
              <w:t>Unrealized holding gains (losses)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(14,971)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23,526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18,024</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Reclassification adjustment for losses included in net income</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r>
        <w:trPr>
          <w:trHeight w:val="188"/>
        </w:trPr>
        <w:tc>
          <w:tcPr>
            <w:tcW w:w="5620" w:type="dxa"/>
            <w:vAlign w:val="bottom"/>
            <w:gridSpan w:val="2"/>
          </w:tcPr>
          <w:p>
            <w:pPr>
              <w:ind w:left="360"/>
              <w:spacing w:after="0"/>
              <w:rPr>
                <w:sz w:val="20"/>
                <w:szCs w:val="20"/>
                <w:color w:val="auto"/>
              </w:rPr>
            </w:pPr>
            <w:r>
              <w:rPr>
                <w:rFonts w:ascii="Arial" w:cs="Arial" w:eastAsia="Arial" w:hAnsi="Arial"/>
                <w:sz w:val="15"/>
                <w:szCs w:val="15"/>
                <w:color w:val="auto"/>
              </w:rPr>
              <w:t>Net unrealized gains (losses)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25,170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19,294</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color w:val="auto"/>
              </w:rPr>
              <w:t>Amortization of unrealized losses on held-to-maturity securities transferred from</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5,486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4,162</w:t>
            </w:r>
          </w:p>
        </w:tc>
        <w:tc>
          <w:tcPr>
            <w:tcW w:w="0" w:type="dxa"/>
            <w:vAlign w:val="bottom"/>
          </w:tcPr>
          <w:p>
            <w:pPr>
              <w:spacing w:after="0"/>
              <w:rPr>
                <w:sz w:val="1"/>
                <w:szCs w:val="1"/>
                <w:color w:val="auto"/>
              </w:rPr>
            </w:pPr>
          </w:p>
        </w:tc>
      </w:tr>
      <w:tr>
        <w:trPr>
          <w:trHeight w:val="202"/>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available-for-sale</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ind w:left="140"/>
              <w:spacing w:after="0"/>
              <w:rPr>
                <w:sz w:val="20"/>
                <w:szCs w:val="20"/>
                <w:color w:val="auto"/>
              </w:rPr>
            </w:pPr>
            <w:r>
              <w:rPr>
                <w:rFonts w:ascii="Arial" w:cs="Arial" w:eastAsia="Arial" w:hAnsi="Arial"/>
                <w:sz w:val="15"/>
                <w:szCs w:val="15"/>
                <w:color w:val="auto"/>
              </w:rPr>
              <w:t>Derivative instruments designated as cash flow hedges: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Unrealized holding gains on derivatives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60"/>
              <w:spacing w:after="0"/>
              <w:rPr>
                <w:sz w:val="20"/>
                <w:szCs w:val="20"/>
                <w:color w:val="auto"/>
              </w:rPr>
            </w:pPr>
            <w:r>
              <w:rPr>
                <w:rFonts w:ascii="Arial" w:cs="Arial" w:eastAsia="Arial" w:hAnsi="Arial"/>
                <w:sz w:val="15"/>
                <w:szCs w:val="15"/>
                <w:color w:val="auto"/>
              </w:rPr>
              <w:t>Gains on derivative instruments realized in net income</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(2,056)</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w:t>
            </w: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Net cash flow hedge activity</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99"/>
              </w:rPr>
              <w:t>Amortization of defined benefit pension plan net periodic pension cost components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other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(11,470)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30,823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23,581</w:t>
            </w:r>
          </w:p>
        </w:tc>
        <w:tc>
          <w:tcPr>
            <w:tcW w:w="0" w:type="dxa"/>
            <w:vAlign w:val="bottom"/>
          </w:tcPr>
          <w:p>
            <w:pPr>
              <w:spacing w:after="0"/>
              <w:rPr>
                <w:sz w:val="1"/>
                <w:szCs w:val="1"/>
                <w:color w:val="auto"/>
              </w:rPr>
            </w:pPr>
          </w:p>
        </w:tc>
      </w:tr>
      <w:tr>
        <w:trPr>
          <w:trHeight w:val="169"/>
        </w:trPr>
        <w:tc>
          <w:tcPr>
            <w:tcW w:w="5620" w:type="dxa"/>
            <w:vAlign w:val="bottom"/>
            <w:gridSpan w:val="2"/>
          </w:tcPr>
          <w:p>
            <w:pPr>
              <w:ind w:left="360"/>
              <w:spacing w:after="0" w:line="169" w:lineRule="exact"/>
              <w:rPr>
                <w:sz w:val="20"/>
                <w:szCs w:val="20"/>
                <w:color w:val="auto"/>
              </w:rPr>
            </w:pPr>
            <w:r>
              <w:rPr>
                <w:rFonts w:ascii="Arial" w:cs="Arial" w:eastAsia="Arial" w:hAnsi="Arial"/>
                <w:sz w:val="15"/>
                <w:szCs w:val="15"/>
                <w:color w:val="auto"/>
              </w:rPr>
              <w:t>Comprehensive income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66,408</w:t>
            </w:r>
          </w:p>
        </w:tc>
        <w:tc>
          <w:tcPr>
            <w:tcW w:w="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(14,590)</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51,818</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line="169" w:lineRule="exact"/>
              <w:rPr>
                <w:sz w:val="20"/>
                <w:szCs w:val="20"/>
                <w:color w:val="auto"/>
              </w:rPr>
            </w:pPr>
            <w:r>
              <w:rPr>
                <w:rFonts w:ascii="Arial" w:cs="Arial" w:eastAsia="Arial" w:hAnsi="Arial"/>
                <w:sz w:val="15"/>
                <w:szCs w:val="15"/>
                <w:color w:val="auto"/>
              </w:rPr>
              <w:t>192,427</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(43,258)</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149,169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85,967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(19,125)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66,842</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146,371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(31,510)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114,861</w:t>
            </w:r>
          </w:p>
        </w:tc>
        <w:tc>
          <w:tcPr>
            <w:tcW w:w="0" w:type="dxa"/>
            <w:vAlign w:val="bottom"/>
          </w:tcPr>
          <w:p>
            <w:pPr>
              <w:spacing w:after="0"/>
              <w:rPr>
                <w:sz w:val="1"/>
                <w:szCs w:val="1"/>
                <w:color w:val="auto"/>
              </w:rPr>
            </w:pPr>
          </w:p>
        </w:tc>
      </w:tr>
      <w:tr>
        <w:trPr>
          <w:trHeight w:val="20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gridSpan w:val="2"/>
          </w:tcPr>
          <w:p>
            <w:pPr>
              <w:ind w:left="140"/>
              <w:spacing w:after="0"/>
              <w:rPr>
                <w:sz w:val="20"/>
                <w:szCs w:val="20"/>
                <w:color w:val="auto"/>
              </w:rPr>
            </w:pPr>
            <w:r>
              <w:rPr>
                <w:rFonts w:ascii="Arial" w:cs="Arial" w:eastAsia="Arial" w:hAnsi="Arial"/>
                <w:sz w:val="15"/>
                <w:szCs w:val="15"/>
                <w:color w:val="auto"/>
              </w:rPr>
              <w:t>Unrealized losses on available-for-sale securities: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Unrealized holding losses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(120,968)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(248,079)</w:t>
            </w:r>
          </w:p>
        </w:tc>
        <w:tc>
          <w:tcPr>
            <w:tcW w:w="0" w:type="dxa"/>
            <w:vAlign w:val="bottom"/>
          </w:tcPr>
          <w:p>
            <w:pPr>
              <w:spacing w:after="0"/>
              <w:rPr>
                <w:sz w:val="1"/>
                <w:szCs w:val="1"/>
                <w:color w:val="auto"/>
              </w:rPr>
            </w:pPr>
          </w:p>
        </w:tc>
      </w:tr>
      <w:tr>
        <w:trPr>
          <w:trHeight w:val="199"/>
        </w:trPr>
        <w:tc>
          <w:tcPr>
            <w:tcW w:w="5620" w:type="dxa"/>
            <w:vAlign w:val="bottom"/>
            <w:gridSpan w:val="2"/>
          </w:tcPr>
          <w:p>
            <w:pPr>
              <w:ind w:left="240"/>
              <w:spacing w:after="0"/>
              <w:rPr>
                <w:sz w:val="20"/>
                <w:szCs w:val="20"/>
                <w:color w:val="auto"/>
              </w:rPr>
            </w:pPr>
            <w:r>
              <w:rPr>
                <w:rFonts w:ascii="Arial" w:cs="Arial" w:eastAsia="Arial" w:hAnsi="Arial"/>
                <w:sz w:val="15"/>
                <w:szCs w:val="15"/>
                <w:color w:val="auto"/>
              </w:rPr>
              <w:t>Reclassification of securities from available-for-sale to held-to-maturity</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30,041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(7,178)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87,444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66,674</w:t>
            </w: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Reclassification adjustment for (gains) losses included in net income</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3,688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2,709</w:t>
            </w:r>
          </w:p>
        </w:tc>
        <w:tc>
          <w:tcPr>
            <w:tcW w:w="0" w:type="dxa"/>
            <w:vAlign w:val="bottom"/>
          </w:tcPr>
          <w:p>
            <w:pPr>
              <w:spacing w:after="0"/>
              <w:rPr>
                <w:sz w:val="1"/>
                <w:szCs w:val="1"/>
                <w:color w:val="auto"/>
              </w:rPr>
            </w:pPr>
          </w:p>
        </w:tc>
      </w:tr>
      <w:tr>
        <w:trPr>
          <w:trHeight w:val="192"/>
        </w:trPr>
        <w:tc>
          <w:tcPr>
            <w:tcW w:w="5620" w:type="dxa"/>
            <w:vAlign w:val="bottom"/>
            <w:gridSpan w:val="2"/>
          </w:tcPr>
          <w:p>
            <w:pPr>
              <w:ind w:left="360"/>
              <w:spacing w:after="0"/>
              <w:rPr>
                <w:sz w:val="20"/>
                <w:szCs w:val="20"/>
                <w:color w:val="auto"/>
              </w:rPr>
            </w:pPr>
            <w:r>
              <w:rPr>
                <w:rFonts w:ascii="Arial" w:cs="Arial" w:eastAsia="Arial" w:hAnsi="Arial"/>
                <w:sz w:val="15"/>
                <w:szCs w:val="15"/>
                <w:color w:val="auto"/>
              </w:rPr>
              <w:t>Net unrealized losses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(90,973)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(69,339)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(233,721)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(178,696)</w:t>
            </w:r>
          </w:p>
        </w:tc>
        <w:tc>
          <w:tcPr>
            <w:tcW w:w="0" w:type="dxa"/>
            <w:vAlign w:val="bottom"/>
          </w:tcPr>
          <w:p>
            <w:pPr>
              <w:spacing w:after="0"/>
              <w:rPr>
                <w:sz w:val="1"/>
                <w:szCs w:val="1"/>
                <w:color w:val="auto"/>
              </w:rPr>
            </w:pPr>
          </w:p>
        </w:tc>
      </w:tr>
      <w:tr>
        <w:trPr>
          <w:trHeight w:val="207"/>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9"/>
              </w:rPr>
              <w:t>Unrealized losses on held-to-maturity securities transferred from available-for-sale: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Reclassification of unrealized losses</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(30,041)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7,178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(87,444)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(66,674)</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unrealized losses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1,769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w:t>
            </w:r>
          </w:p>
        </w:tc>
        <w:tc>
          <w:tcPr>
            <w:tcW w:w="0" w:type="dxa"/>
            <w:vAlign w:val="bottom"/>
          </w:tcPr>
          <w:p>
            <w:pPr>
              <w:spacing w:after="0"/>
              <w:rPr>
                <w:sz w:val="1"/>
                <w:szCs w:val="1"/>
                <w:color w:val="auto"/>
              </w:rPr>
            </w:pPr>
          </w:p>
        </w:tc>
      </w:tr>
      <w:tr>
        <w:trPr>
          <w:trHeight w:val="192"/>
        </w:trPr>
        <w:tc>
          <w:tcPr>
            <w:tcW w:w="5620" w:type="dxa"/>
            <w:vAlign w:val="bottom"/>
            <w:gridSpan w:val="2"/>
          </w:tcPr>
          <w:p>
            <w:pPr>
              <w:ind w:left="360"/>
              <w:spacing w:after="0"/>
              <w:rPr>
                <w:sz w:val="20"/>
                <w:szCs w:val="20"/>
                <w:color w:val="auto"/>
              </w:rPr>
            </w:pPr>
            <w:r>
              <w:rPr>
                <w:rFonts w:ascii="Arial" w:cs="Arial" w:eastAsia="Arial" w:hAnsi="Arial"/>
                <w:sz w:val="15"/>
                <w:szCs w:val="15"/>
                <w:color w:val="auto"/>
              </w:rPr>
              <w:t>Net activity</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(21,516)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(85,675)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(65,327)</w:t>
            </w:r>
          </w:p>
        </w:tc>
        <w:tc>
          <w:tcPr>
            <w:tcW w:w="0" w:type="dxa"/>
            <w:vAlign w:val="bottom"/>
          </w:tcPr>
          <w:p>
            <w:pPr>
              <w:spacing w:after="0"/>
              <w:rPr>
                <w:sz w:val="1"/>
                <w:szCs w:val="1"/>
                <w:color w:val="auto"/>
              </w:rPr>
            </w:pPr>
          </w:p>
        </w:tc>
      </w:tr>
      <w:tr>
        <w:trPr>
          <w:trHeight w:val="200"/>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Derivative instruments designated as cash flow hedges:</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ind w:left="260"/>
              <w:spacing w:after="0"/>
              <w:rPr>
                <w:sz w:val="20"/>
                <w:szCs w:val="20"/>
                <w:color w:val="auto"/>
              </w:rPr>
            </w:pPr>
            <w:r>
              <w:rPr>
                <w:rFonts w:ascii="Arial" w:cs="Arial" w:eastAsia="Arial" w:hAnsi="Arial"/>
                <w:sz w:val="15"/>
                <w:szCs w:val="15"/>
                <w:color w:val="auto"/>
              </w:rPr>
              <w:t>Unrealized holding gains on derivatives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7,880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5,867</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Losses on derivative instruments realized in net income</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96"/>
        </w:trPr>
        <w:tc>
          <w:tcPr>
            <w:tcW w:w="5620" w:type="dxa"/>
            <w:vAlign w:val="bottom"/>
            <w:gridSpan w:val="2"/>
          </w:tcPr>
          <w:p>
            <w:pPr>
              <w:ind w:left="360"/>
              <w:spacing w:after="0"/>
              <w:rPr>
                <w:sz w:val="20"/>
                <w:szCs w:val="20"/>
                <w:color w:val="auto"/>
              </w:rPr>
            </w:pPr>
            <w:r>
              <w:rPr>
                <w:rFonts w:ascii="Arial" w:cs="Arial" w:eastAsia="Arial" w:hAnsi="Arial"/>
                <w:sz w:val="15"/>
                <w:szCs w:val="15"/>
                <w:color w:val="auto"/>
              </w:rPr>
              <w:t>Net cash flow hedge activity</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8,127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6,051</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99"/>
              </w:rPr>
              <w:t>Amortization of defined benefit pension plan net periodic pension cost components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other comprehensive loss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27,703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(310,928)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73,210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(237,718)</w:t>
            </w: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(122,857)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Consolidated Statement of Changes in Shareholders’ Equity </w:t>
      </w:r>
      <w:r>
        <w:rPr>
          <w:rFonts w:ascii="Arial" w:cs="Arial" w:eastAsia="Arial" w:hAnsi="Arial"/>
          <w:sz w:val="14"/>
          <w:szCs w:val="14"/>
          <w:i w:val="1"/>
          <w:iCs w:val="1"/>
          <w:color w:val="auto"/>
        </w:rPr>
        <w:t>(Unaudited)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1040"/>
        <w:spacing w:after="0" w:line="304" w:lineRule="auto"/>
        <w:rPr>
          <w:sz w:val="20"/>
          <w:szCs w:val="20"/>
          <w:color w:val="auto"/>
        </w:rPr>
      </w:pPr>
      <w:r>
        <w:rPr>
          <w:rFonts w:ascii="Arial" w:cs="Arial" w:eastAsia="Arial" w:hAnsi="Arial"/>
          <w:sz w:val="14"/>
          <w:szCs w:val="14"/>
          <w:b w:val="1"/>
          <w:bCs w:val="1"/>
          <w:color w:val="auto"/>
        </w:rPr>
        <w:t xml:space="preserve">Balance at March 31, 2022 </w:t>
      </w:r>
      <w:r>
        <w:rPr>
          <w:rFonts w:ascii="Arial" w:cs="Arial" w:eastAsia="Arial" w:hAnsi="Arial"/>
          <w:sz w:val="14"/>
          <w:szCs w:val="14"/>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dividends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Common stock dividends ($0.21 per share)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equity-based compensation awards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other United sponsored equity plans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June 30, 2022</w:t>
      </w:r>
    </w:p>
    <w:p>
      <w:pPr>
        <w:spacing w:after="0" w:line="325" w:lineRule="exact"/>
        <w:rPr>
          <w:sz w:val="20"/>
          <w:szCs w:val="20"/>
          <w:color w:val="auto"/>
        </w:rPr>
      </w:pPr>
    </w:p>
    <w:p>
      <w:pPr>
        <w:ind w:left="20" w:right="1040"/>
        <w:spacing w:after="0" w:line="304" w:lineRule="auto"/>
        <w:rPr>
          <w:sz w:val="20"/>
          <w:szCs w:val="20"/>
          <w:color w:val="auto"/>
        </w:rPr>
      </w:pPr>
      <w:r>
        <w:rPr>
          <w:rFonts w:ascii="Arial" w:cs="Arial" w:eastAsia="Arial" w:hAnsi="Arial"/>
          <w:sz w:val="14"/>
          <w:szCs w:val="14"/>
          <w:b w:val="1"/>
          <w:bCs w:val="1"/>
          <w:color w:val="auto"/>
        </w:rPr>
        <w:t xml:space="preserve">Balance at March 31, 2023 </w:t>
      </w:r>
      <w:r>
        <w:rPr>
          <w:rFonts w:ascii="Arial" w:cs="Arial" w:eastAsia="Arial" w:hAnsi="Arial"/>
          <w:sz w:val="14"/>
          <w:szCs w:val="14"/>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dividends</w:t>
      </w:r>
    </w:p>
    <w:p>
      <w:pPr>
        <w:spacing w:after="0" w:line="42" w:lineRule="exact"/>
        <w:rPr>
          <w:sz w:val="20"/>
          <w:szCs w:val="20"/>
          <w:color w:val="auto"/>
        </w:rPr>
      </w:pPr>
    </w:p>
    <w:p>
      <w:pPr>
        <w:ind w:left="20" w:right="180"/>
        <w:spacing w:after="0" w:line="291" w:lineRule="auto"/>
        <w:rPr>
          <w:sz w:val="20"/>
          <w:szCs w:val="20"/>
          <w:color w:val="auto"/>
        </w:rPr>
      </w:pPr>
      <w:r>
        <w:rPr>
          <w:rFonts w:ascii="Arial" w:cs="Arial" w:eastAsia="Arial" w:hAnsi="Arial"/>
          <w:sz w:val="14"/>
          <w:szCs w:val="14"/>
          <w:color w:val="auto"/>
        </w:rPr>
        <w:t>Common stock dividends ($0.23 per share) Purchases of preferred stock</w:t>
      </w:r>
    </w:p>
    <w:p>
      <w:pPr>
        <w:spacing w:after="0" w:line="1" w:lineRule="exact"/>
        <w:rPr>
          <w:sz w:val="20"/>
          <w:szCs w:val="20"/>
          <w:color w:val="auto"/>
        </w:rPr>
      </w:pPr>
    </w:p>
    <w:p>
      <w:pPr>
        <w:ind w:left="20"/>
        <w:spacing w:after="0" w:line="321" w:lineRule="auto"/>
        <w:rPr>
          <w:sz w:val="20"/>
          <w:szCs w:val="20"/>
          <w:color w:val="auto"/>
        </w:rPr>
      </w:pPr>
      <w:r>
        <w:rPr>
          <w:rFonts w:ascii="Arial" w:cs="Arial" w:eastAsia="Arial" w:hAnsi="Arial"/>
          <w:sz w:val="13"/>
          <w:szCs w:val="13"/>
          <w:color w:val="auto"/>
        </w:rPr>
        <w:t>Impact of equity-based compensation awards Impact of other United sponsored equity plans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June 30, 2023</w:t>
      </w:r>
    </w:p>
    <w:p>
      <w:pPr>
        <w:spacing w:after="0" w:line="325" w:lineRule="exact"/>
        <w:rPr>
          <w:sz w:val="20"/>
          <w:szCs w:val="20"/>
          <w:color w:val="auto"/>
        </w:rPr>
      </w:pPr>
    </w:p>
    <w:p>
      <w:pPr>
        <w:ind w:left="20" w:right="840"/>
        <w:spacing w:after="0" w:line="294" w:lineRule="auto"/>
        <w:rPr>
          <w:sz w:val="20"/>
          <w:szCs w:val="20"/>
          <w:color w:val="auto"/>
        </w:rPr>
      </w:pPr>
      <w:r>
        <w:rPr>
          <w:rFonts w:ascii="Arial" w:cs="Arial" w:eastAsia="Arial" w:hAnsi="Arial"/>
          <w:sz w:val="14"/>
          <w:szCs w:val="14"/>
          <w:b w:val="1"/>
          <w:bCs w:val="1"/>
          <w:color w:val="auto"/>
        </w:rPr>
        <w:t xml:space="preserve">Balance at December 31, 2021 </w:t>
      </w:r>
      <w:r>
        <w:rPr>
          <w:rFonts w:ascii="Arial" w:cs="Arial" w:eastAsia="Arial" w:hAnsi="Arial"/>
          <w:sz w:val="14"/>
          <w:szCs w:val="14"/>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Impact of acquisitions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dividends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Common stock dividends ($0.42 per share)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equity-based compensation awards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other United sponsored equity plans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June 30, 2022</w:t>
      </w:r>
    </w:p>
    <w:p>
      <w:pPr>
        <w:spacing w:after="0" w:line="325" w:lineRule="exact"/>
        <w:rPr>
          <w:sz w:val="20"/>
          <w:szCs w:val="20"/>
          <w:color w:val="auto"/>
        </w:rPr>
      </w:pPr>
    </w:p>
    <w:p>
      <w:pPr>
        <w:ind w:left="20" w:right="840"/>
        <w:spacing w:after="0" w:line="294" w:lineRule="auto"/>
        <w:rPr>
          <w:sz w:val="20"/>
          <w:szCs w:val="20"/>
          <w:color w:val="auto"/>
        </w:rPr>
      </w:pPr>
      <w:r>
        <w:rPr>
          <w:rFonts w:ascii="Arial" w:cs="Arial" w:eastAsia="Arial" w:hAnsi="Arial"/>
          <w:sz w:val="14"/>
          <w:szCs w:val="14"/>
          <w:b w:val="1"/>
          <w:bCs w:val="1"/>
          <w:color w:val="auto"/>
        </w:rPr>
        <w:t xml:space="preserve">Balance at December 31, 2022 </w:t>
      </w:r>
      <w:r>
        <w:rPr>
          <w:rFonts w:ascii="Arial" w:cs="Arial" w:eastAsia="Arial" w:hAnsi="Arial"/>
          <w:sz w:val="14"/>
          <w:szCs w:val="14"/>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Impact of acquisitions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preferred stock</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dividends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Common stock dividends ($0.46 per share)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equity-based compensation awards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Impact of other United sponsored equity plans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June 30, 2023</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Issuable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Surplus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106,025,210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106,025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11,311</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2,302,189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354,409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(175,341)</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2,695,015</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300"/>
              <w:spacing w:after="0"/>
              <w:rPr>
                <w:sz w:val="20"/>
                <w:szCs w:val="20"/>
                <w:color w:val="auto"/>
              </w:rPr>
            </w:pPr>
            <w:r>
              <w:rPr>
                <w:rFonts w:ascii="Arial" w:cs="Arial" w:eastAsia="Arial" w:hAnsi="Arial"/>
                <w:sz w:val="14"/>
                <w:szCs w:val="14"/>
                <w:color w:val="auto"/>
              </w:rPr>
              <w:t>66,842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66,842</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(88,853)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(88,853)</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w w:val="94"/>
              </w:rPr>
              <w:t>(1,719)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5"/>
              </w:rPr>
              <w:t>(22,562)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(22,562)</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6,520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0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106,033,960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106,034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11,448</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2,304,608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396,970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(264,194)</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2,651,288</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right"/>
              <w:spacing w:after="0"/>
              <w:rPr>
                <w:sz w:val="20"/>
                <w:szCs w:val="20"/>
                <w:color w:val="auto"/>
              </w:rPr>
            </w:pPr>
            <w:r>
              <w:rPr>
                <w:rFonts w:ascii="Arial" w:cs="Arial" w:eastAsia="Arial" w:hAnsi="Arial"/>
                <w:sz w:val="14"/>
                <w:szCs w:val="14"/>
                <w:color w:val="auto"/>
              </w:rPr>
              <w:t>115,151,566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115,152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11,977</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2,606,403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542,606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(294,437)</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3,078,123</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Arial" w:cs="Arial" w:eastAsia="Arial" w:hAnsi="Arial"/>
                <w:sz w:val="14"/>
                <w:szCs w:val="14"/>
                <w:color w:val="auto"/>
              </w:rPr>
              <w:t>63,288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63,288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(11,470)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(11,470)</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w w:val="94"/>
              </w:rPr>
              <w:t>(1,719)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5"/>
              </w:rPr>
              <w:t>(26,859)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(26,859)</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110,414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4,224</w:t>
            </w:r>
          </w:p>
        </w:tc>
        <w:tc>
          <w:tcPr>
            <w:tcW w:w="0" w:type="dxa"/>
            <w:vAlign w:val="bottom"/>
          </w:tcPr>
          <w:p>
            <w:pPr>
              <w:spacing w:after="0"/>
              <w:rPr>
                <w:sz w:val="1"/>
                <w:szCs w:val="1"/>
                <w:color w:val="auto"/>
              </w:rPr>
            </w:pPr>
          </w:p>
        </w:tc>
      </w:tr>
      <w:tr>
        <w:trPr>
          <w:trHeight w:val="209"/>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115,265,912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96,165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115,266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12,228</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2,610,523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577,316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(305,907)</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3,105,591</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980" w:type="dxa"/>
            <w:vAlign w:val="bottom"/>
          </w:tcPr>
          <w:p>
            <w:pPr>
              <w:jc w:val="right"/>
              <w:spacing w:after="0"/>
              <w:rPr>
                <w:sz w:val="20"/>
                <w:szCs w:val="20"/>
                <w:color w:val="auto"/>
              </w:rPr>
            </w:pPr>
            <w:r>
              <w:rPr>
                <w:rFonts w:ascii="Arial" w:cs="Arial" w:eastAsia="Arial" w:hAnsi="Arial"/>
                <w:sz w:val="14"/>
                <w:szCs w:val="14"/>
                <w:color w:val="auto"/>
              </w:rPr>
              <w:t>89,349,826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89,350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11,288</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1,721,007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330,654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(26,476)</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2,222,245</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8"/>
              </w:rPr>
              <w:t>114,861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114,861</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(237,718)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(237,718)</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16,571,545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579,805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596,376</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w w:val="94"/>
              </w:rPr>
              <w:t>(3,438)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5"/>
              </w:rPr>
              <w:t>(45,107)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(45,107)</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49,443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189"/>
        </w:trPr>
        <w:tc>
          <w:tcPr>
            <w:tcW w:w="980" w:type="dxa"/>
            <w:vAlign w:val="bottom"/>
          </w:tcPr>
          <w:p>
            <w:pPr>
              <w:jc w:val="right"/>
              <w:spacing w:after="0"/>
              <w:rPr>
                <w:sz w:val="20"/>
                <w:szCs w:val="20"/>
                <w:color w:val="auto"/>
              </w:rPr>
            </w:pPr>
            <w:r>
              <w:rPr>
                <w:rFonts w:ascii="Arial" w:cs="Arial" w:eastAsia="Arial" w:hAnsi="Arial"/>
                <w:sz w:val="14"/>
                <w:szCs w:val="14"/>
                <w:color w:val="auto"/>
              </w:rPr>
              <w:t>63,146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5"/>
        </w:trPr>
        <w:tc>
          <w:tcPr>
            <w:tcW w:w="9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106,033,960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96,422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106,034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11,448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2,304,608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8"/>
              </w:rPr>
              <w:t>396,970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(264,194)</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2,651,288</w:t>
            </w:r>
          </w:p>
        </w:tc>
        <w:tc>
          <w:tcPr>
            <w:tcW w:w="0" w:type="dxa"/>
            <w:vAlign w:val="bottom"/>
          </w:tcPr>
          <w:p>
            <w:pPr>
              <w:spacing w:after="0"/>
              <w:rPr>
                <w:sz w:val="1"/>
                <w:szCs w:val="1"/>
                <w:color w:val="auto"/>
              </w:rPr>
            </w:pP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980" w:type="dxa"/>
            <w:vAlign w:val="bottom"/>
          </w:tcPr>
          <w:p>
            <w:pPr>
              <w:jc w:val="right"/>
              <w:spacing w:after="0"/>
              <w:rPr>
                <w:sz w:val="20"/>
                <w:szCs w:val="20"/>
                <w:color w:val="auto"/>
              </w:rPr>
            </w:pPr>
            <w:r>
              <w:rPr>
                <w:rFonts w:ascii="Arial" w:cs="Arial" w:eastAsia="Arial" w:hAnsi="Arial"/>
                <w:sz w:val="14"/>
                <w:szCs w:val="14"/>
                <w:color w:val="auto"/>
              </w:rPr>
              <w:t>106,222,758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106,223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12,307</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2,306,366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508,844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(329,488)</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2,700,674</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8"/>
              </w:rPr>
              <w:t>125,588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125,588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23,581</w:t>
            </w: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rPr>
                <w:sz w:val="20"/>
                <w:szCs w:val="20"/>
                <w:color w:val="auto"/>
              </w:rPr>
            </w:pPr>
            <w:r>
              <w:rPr>
                <w:rFonts w:ascii="Arial" w:cs="Arial" w:eastAsia="Arial" w:hAnsi="Arial"/>
                <w:sz w:val="14"/>
                <w:szCs w:val="14"/>
                <w:color w:val="auto"/>
              </w:rPr>
              <w:t>8,770,531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297,690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306,461</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auto"/>
                <w:w w:val="94"/>
              </w:rPr>
              <w:t>(3,438)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w w:val="95"/>
              </w:rPr>
              <w:t>(53,678)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(53,678)</w:t>
            </w:r>
          </w:p>
        </w:tc>
        <w:tc>
          <w:tcPr>
            <w:tcW w:w="0" w:type="dxa"/>
            <w:vAlign w:val="bottom"/>
          </w:tcPr>
          <w:p>
            <w:pPr>
              <w:spacing w:after="0"/>
              <w:rPr>
                <w:sz w:val="1"/>
                <w:szCs w:val="1"/>
                <w:color w:val="auto"/>
              </w:rPr>
            </w:pPr>
          </w:p>
        </w:tc>
      </w:tr>
      <w:tr>
        <w:trPr>
          <w:trHeight w:val="189"/>
        </w:trPr>
        <w:tc>
          <w:tcPr>
            <w:tcW w:w="980" w:type="dxa"/>
            <w:vAlign w:val="bottom"/>
          </w:tcPr>
          <w:p>
            <w:pPr>
              <w:jc w:val="right"/>
              <w:spacing w:after="0"/>
              <w:rPr>
                <w:sz w:val="20"/>
                <w:szCs w:val="20"/>
                <w:color w:val="auto"/>
              </w:rPr>
            </w:pPr>
            <w:r>
              <w:rPr>
                <w:rFonts w:ascii="Arial" w:cs="Arial" w:eastAsia="Arial" w:hAnsi="Arial"/>
                <w:sz w:val="14"/>
                <w:szCs w:val="14"/>
                <w:color w:val="auto"/>
              </w:rPr>
              <w:t>232,302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6,744</w:t>
            </w:r>
          </w:p>
        </w:tc>
        <w:tc>
          <w:tcPr>
            <w:tcW w:w="0" w:type="dxa"/>
            <w:vAlign w:val="bottom"/>
          </w:tcPr>
          <w:p>
            <w:pPr>
              <w:spacing w:after="0"/>
              <w:rPr>
                <w:sz w:val="1"/>
                <w:szCs w:val="1"/>
                <w:color w:val="auto"/>
              </w:rPr>
            </w:pPr>
          </w:p>
        </w:tc>
      </w:tr>
      <w:tr>
        <w:trPr>
          <w:trHeight w:val="208"/>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115,265,912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96,165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115,266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12,228</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2,610,523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240"/>
              <w:spacing w:after="0"/>
              <w:rPr>
                <w:sz w:val="20"/>
                <w:szCs w:val="20"/>
                <w:color w:val="auto"/>
              </w:rPr>
            </w:pPr>
            <w:r>
              <w:rPr>
                <w:rFonts w:ascii="Arial" w:cs="Arial" w:eastAsia="Arial" w:hAnsi="Arial"/>
                <w:sz w:val="14"/>
                <w:szCs w:val="14"/>
                <w:color w:val="auto"/>
                <w:w w:val="98"/>
              </w:rPr>
              <w:t>577,316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(305,907)</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3,105,591</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-5116830</wp:posOffset>
            </wp:positionV>
            <wp:extent cx="709803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-4859655</wp:posOffset>
            </wp:positionV>
            <wp:extent cx="70980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-4611370</wp:posOffset>
            </wp:positionV>
            <wp:extent cx="70980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-4354195</wp:posOffset>
            </wp:positionV>
            <wp:extent cx="709803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-4079875</wp:posOffset>
            </wp:positionV>
            <wp:extent cx="70980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-3796665</wp:posOffset>
            </wp:positionV>
            <wp:extent cx="709803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-3548380</wp:posOffset>
            </wp:positionV>
            <wp:extent cx="709803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-3299460</wp:posOffset>
            </wp:positionV>
            <wp:extent cx="70980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-3042285</wp:posOffset>
            </wp:positionV>
            <wp:extent cx="709803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-2767965</wp:posOffset>
            </wp:positionV>
            <wp:extent cx="709803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-2485390</wp:posOffset>
            </wp:positionV>
            <wp:extent cx="709803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-2228215</wp:posOffset>
            </wp:positionV>
            <wp:extent cx="709803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-1979295</wp:posOffset>
            </wp:positionV>
            <wp:extent cx="709803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-1731010</wp:posOffset>
            </wp:positionV>
            <wp:extent cx="709803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-1456690</wp:posOffset>
            </wp:positionV>
            <wp:extent cx="70980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-1173480</wp:posOffset>
            </wp:positionV>
            <wp:extent cx="709803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-916305</wp:posOffset>
            </wp:positionV>
            <wp:extent cx="709803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2001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-668020</wp:posOffset>
            </wp:positionV>
            <wp:extent cx="709803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-419100</wp:posOffset>
            </wp:positionV>
            <wp:extent cx="709803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-161925</wp:posOffset>
            </wp:positionV>
            <wp:extent cx="70980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700" w:space="360"/>
            <w:col w:w="8140"/>
          </w:cols>
          <w:pgMar w:left="340" w:top="976" w:right="3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6" w:right="3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4"/>
          </w:tcPr>
          <w:p>
            <w:pPr>
              <w:jc w:val="right"/>
              <w:ind w:right="464"/>
              <w:spacing w:after="0"/>
              <w:rPr>
                <w:sz w:val="20"/>
                <w:szCs w:val="20"/>
                <w:color w:val="auto"/>
              </w:rPr>
            </w:pPr>
            <w:r>
              <w:rPr>
                <w:rFonts w:ascii="Arial" w:cs="Arial" w:eastAsia="Arial" w:hAnsi="Arial"/>
                <w:sz w:val="15"/>
                <w:szCs w:val="15"/>
                <w:b w:val="1"/>
                <w:bCs w:val="1"/>
                <w:color w:val="auto"/>
              </w:rPr>
              <w:t>Six Months Ended June 30,</w:t>
            </w:r>
          </w:p>
        </w:tc>
      </w:tr>
      <w:tr>
        <w:trPr>
          <w:trHeight w:val="22"/>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2022</w:t>
            </w:r>
          </w:p>
        </w:tc>
      </w:tr>
      <w:tr>
        <w:trPr>
          <w:trHeight w:val="198"/>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4"/>
        </w:trPr>
        <w:tc>
          <w:tcPr>
            <w:tcW w:w="83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125,588</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114,861</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amortization and accretion,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23,592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22,086</w:t>
            </w:r>
          </w:p>
        </w:tc>
      </w:tr>
      <w:tr>
        <w:trPr>
          <w:trHeight w:val="20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Provision for credit losses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44,536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28,690</w:t>
            </w:r>
          </w:p>
        </w:tc>
      </w:tr>
      <w:tr>
        <w:trPr>
          <w:trHeight w:val="199"/>
        </w:trPr>
        <w:tc>
          <w:tcPr>
            <w:tcW w:w="8360" w:type="dxa"/>
            <w:vAlign w:val="bottom"/>
          </w:tcPr>
          <w:p>
            <w:pPr>
              <w:ind w:left="220"/>
              <w:spacing w:after="0"/>
              <w:rPr>
                <w:sz w:val="20"/>
                <w:szCs w:val="20"/>
                <w:color w:val="auto"/>
              </w:rPr>
            </w:pPr>
            <w:r>
              <w:rPr>
                <w:rFonts w:ascii="Arial" w:cs="Arial" w:eastAsia="Arial" w:hAnsi="Arial"/>
                <w:sz w:val="15"/>
                <w:szCs w:val="15"/>
                <w:color w:val="auto"/>
              </w:rPr>
              <w:t>Stock based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4,861</w:t>
            </w:r>
          </w:p>
        </w:tc>
      </w:tr>
      <w:tr>
        <w:trPr>
          <w:trHeight w:val="206"/>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4,361</w:t>
            </w:r>
          </w:p>
        </w:tc>
      </w:tr>
      <w:tr>
        <w:trPr>
          <w:trHeight w:val="194"/>
        </w:trPr>
        <w:tc>
          <w:tcPr>
            <w:tcW w:w="8360" w:type="dxa"/>
            <w:vAlign w:val="bottom"/>
          </w:tcPr>
          <w:p>
            <w:pPr>
              <w:ind w:left="220"/>
              <w:spacing w:after="0"/>
              <w:rPr>
                <w:sz w:val="20"/>
                <w:szCs w:val="20"/>
                <w:color w:val="auto"/>
              </w:rPr>
            </w:pPr>
            <w:r>
              <w:rPr>
                <w:rFonts w:ascii="Arial" w:cs="Arial" w:eastAsia="Arial" w:hAnsi="Arial"/>
                <w:sz w:val="15"/>
                <w:szCs w:val="15"/>
                <w:color w:val="auto"/>
              </w:rPr>
              <w:t>Securities losses,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3,688</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Gains from sales of other loans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(6,998)</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Changes in assets and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6,317</w:t>
            </w:r>
          </w:p>
        </w:tc>
      </w:tr>
      <w:tr>
        <w:trPr>
          <w:trHeight w:val="198"/>
        </w:trPr>
        <w:tc>
          <w:tcPr>
            <w:tcW w:w="8360" w:type="dxa"/>
            <w:vAlign w:val="bottom"/>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49,707</w:t>
            </w:r>
          </w:p>
        </w:tc>
      </w:tr>
      <w:tr>
        <w:trPr>
          <w:trHeight w:val="203"/>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Loans held for sale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(11,417)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119,837</w:t>
            </w:r>
          </w:p>
        </w:tc>
      </w:tr>
      <w:tr>
        <w:trPr>
          <w:trHeight w:val="20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347,410</w:t>
            </w:r>
          </w:p>
        </w:tc>
      </w:tr>
      <w:tr>
        <w:trPr>
          <w:trHeight w:val="187"/>
        </w:trPr>
        <w:tc>
          <w:tcPr>
            <w:tcW w:w="8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securities held-to-maturity: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4"/>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63,602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90,576</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(326,494)</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Debt securities available-for-sale: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Proceeds from sales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380,661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281,521</w:t>
            </w:r>
          </w:p>
        </w:tc>
      </w:tr>
      <w:tr>
        <w:trPr>
          <w:trHeight w:val="199"/>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179,586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336,511</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(186,810)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(1,498,515)</w:t>
            </w:r>
          </w:p>
        </w:tc>
      </w:tr>
      <w:tr>
        <w:trPr>
          <w:trHeight w:val="194"/>
        </w:trPr>
        <w:tc>
          <w:tcPr>
            <w:tcW w:w="8360" w:type="dxa"/>
            <w:vAlign w:val="bottom"/>
          </w:tcPr>
          <w:p>
            <w:pPr>
              <w:ind w:left="140"/>
              <w:spacing w:after="0"/>
              <w:rPr>
                <w:sz w:val="20"/>
                <w:szCs w:val="20"/>
                <w:color w:val="auto"/>
              </w:rPr>
            </w:pPr>
            <w:r>
              <w:rPr>
                <w:rFonts w:ascii="Arial" w:cs="Arial" w:eastAsia="Arial" w:hAnsi="Arial"/>
                <w:sz w:val="15"/>
                <w:szCs w:val="15"/>
                <w:color w:val="auto"/>
              </w:rPr>
              <w:t>Net increase in loans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(618,464)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(435,015)</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investments, outflows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(23,016)</w:t>
            </w:r>
          </w:p>
        </w:tc>
      </w:tr>
      <w:tr>
        <w:trPr>
          <w:trHeight w:val="199"/>
        </w:trPr>
        <w:tc>
          <w:tcPr>
            <w:tcW w:w="8360" w:type="dxa"/>
            <w:vAlign w:val="bottom"/>
          </w:tcPr>
          <w:p>
            <w:pPr>
              <w:ind w:left="140"/>
              <w:spacing w:after="0"/>
              <w:rPr>
                <w:sz w:val="20"/>
                <w:szCs w:val="20"/>
                <w:color w:val="auto"/>
              </w:rPr>
            </w:pPr>
            <w:r>
              <w:rPr>
                <w:rFonts w:ascii="Arial" w:cs="Arial" w:eastAsia="Arial" w:hAnsi="Arial"/>
                <w:sz w:val="15"/>
                <w:szCs w:val="15"/>
                <w:color w:val="auto"/>
              </w:rPr>
              <w:t>Equity investments, inflows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122,576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16,241</w:t>
            </w:r>
          </w:p>
        </w:tc>
      </w:tr>
      <w:tr>
        <w:trPr>
          <w:trHeight w:val="20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Proceeds from sales of premises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4,792</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Purchases of premises and equipment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(43,809)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(16,774)</w:t>
            </w:r>
          </w:p>
        </w:tc>
      </w:tr>
      <w:tr>
        <w:trPr>
          <w:trHeight w:val="206"/>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cash received in acquisition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35,243</w:t>
            </w:r>
          </w:p>
        </w:tc>
      </w:tr>
      <w:tr>
        <w:trPr>
          <w:trHeight w:val="212"/>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investing inflows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1,226</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(163,465)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(1,533,704)</w:t>
            </w:r>
          </w:p>
        </w:tc>
      </w:tr>
      <w:tr>
        <w:trPr>
          <w:trHeight w:val="187"/>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8360" w:type="dxa"/>
            <w:vAlign w:val="bottom"/>
          </w:tcPr>
          <w:p>
            <w:pPr>
              <w:ind w:left="140"/>
              <w:spacing w:after="0"/>
              <w:rPr>
                <w:sz w:val="20"/>
                <w:szCs w:val="20"/>
                <w:color w:val="auto"/>
              </w:rPr>
            </w:pPr>
            <w:r>
              <w:rPr>
                <w:rFonts w:ascii="Arial" w:cs="Arial" w:eastAsia="Arial" w:hAnsi="Arial"/>
                <w:sz w:val="15"/>
                <w:szCs w:val="15"/>
                <w:color w:val="auto"/>
              </w:rPr>
              <w:t>Net increase in deposits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1,040,034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128,688</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decrease in short-term borrowings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(299,951)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FHLB advances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2,225,000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Repayment of FHLB advances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(2,870,000)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Cash dividends on common stock</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(50,493)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(40,694)</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dividends on preferred stock</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w:t>
            </w:r>
          </w:p>
        </w:tc>
      </w:tr>
      <w:tr>
        <w:trPr>
          <w:trHeight w:val="194"/>
        </w:trPr>
        <w:tc>
          <w:tcPr>
            <w:tcW w:w="8360" w:type="dxa"/>
            <w:vAlign w:val="bottom"/>
          </w:tcPr>
          <w:p>
            <w:pPr>
              <w:ind w:left="140"/>
              <w:spacing w:after="0"/>
              <w:rPr>
                <w:sz w:val="20"/>
                <w:szCs w:val="20"/>
                <w:color w:val="auto"/>
              </w:rPr>
            </w:pPr>
            <w:r>
              <w:rPr>
                <w:rFonts w:ascii="Arial" w:cs="Arial" w:eastAsia="Arial" w:hAnsi="Arial"/>
                <w:sz w:val="15"/>
                <w:szCs w:val="15"/>
                <w:color w:val="auto"/>
              </w:rPr>
              <w:t>Other financing inflows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473</w:t>
            </w:r>
          </w:p>
        </w:tc>
      </w:tr>
      <w:tr>
        <w:trPr>
          <w:trHeight w:val="22"/>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9"/>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financing outflows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(1,538)</w:t>
            </w: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42,327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83,491</w:t>
            </w:r>
          </w:p>
        </w:tc>
      </w:tr>
      <w:tr>
        <w:trPr>
          <w:trHeight w:val="196"/>
        </w:trPr>
        <w:tc>
          <w:tcPr>
            <w:tcW w:w="8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63,883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(1,102,803)</w:t>
            </w:r>
          </w:p>
        </w:tc>
      </w:tr>
      <w:tr>
        <w:trPr>
          <w:trHeight w:val="205"/>
        </w:trPr>
        <w:tc>
          <w:tcPr>
            <w:tcW w:w="8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646,853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2,318,510</w:t>
            </w:r>
          </w:p>
        </w:tc>
      </w:tr>
      <w:tr>
        <w:trPr>
          <w:trHeight w:val="185"/>
        </w:trPr>
        <w:tc>
          <w:tcPr>
            <w:tcW w:w="8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end of period</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710,736</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1,215,707</w:t>
            </w:r>
          </w:p>
        </w:tc>
      </w:tr>
      <w:tr>
        <w:trPr>
          <w:trHeight w:val="20"/>
        </w:trPr>
        <w:tc>
          <w:tcPr>
            <w:tcW w:w="8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Updates to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2022 10-K.</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2022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Updates to Significant Accounting Policies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United adopted ASU 2022-02, which updated the guidance on modifications to financing receivables by effectively replacing the concept of troubled debt restructurings with a new concept, loan modifications to borrowers experiencing financial difficulty. See Note 2 for further detail. Below summarizes the policy surrounding FDMs.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FDMs: </w:t>
      </w:r>
      <w:r>
        <w:rPr>
          <w:rFonts w:ascii="Arial" w:cs="Arial" w:eastAsia="Arial" w:hAnsi="Arial"/>
          <w:sz w:val="18"/>
          <w:szCs w:val="18"/>
          <w:color w:val="auto"/>
        </w:rPr>
        <w:t>A loan for which the terms have been modified as a result of the borrower experiencing financial difficulty is generally considered to be a FDM.</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terms that result in a FDM include one or a combination of the following: a reduction of the stated interest rate of the loan, an extension of the term or amortization period, a more than insignificant payment delay or principal forgiveness. The ACL on FDMs is calculated using the same method as other loans held for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update requires that an acquiring entity apply the guidance from</w:t>
      </w:r>
      <w:r>
        <w:rPr>
          <w:rFonts w:ascii="Arial" w:cs="Arial" w:eastAsia="Arial" w:hAnsi="Arial"/>
          <w:sz w:val="18"/>
          <w:szCs w:val="18"/>
          <w:i w:val="1"/>
          <w:iCs w:val="1"/>
          <w:color w:val="auto"/>
        </w:rPr>
        <w:t xml:space="preserve"> Revenue from Contracts with Customers (Topic 606) </w:t>
      </w:r>
      <w:r>
        <w:rPr>
          <w:rFonts w:ascii="Arial" w:cs="Arial" w:eastAsia="Arial" w:hAnsi="Arial"/>
          <w:sz w:val="18"/>
          <w:szCs w:val="18"/>
          <w:color w:val="auto"/>
        </w:rPr>
        <w:t>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and measure contract assets and contract liabilities in a business combination, rather than fair value. Adoption of this update as of January 1, 2023 did not have a material impact on the consolidated financial statements.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March 2022, the FASB issued ASU No. 2022-01, </w:t>
      </w:r>
      <w:r>
        <w:rPr>
          <w:rFonts w:ascii="Arial" w:cs="Arial" w:eastAsia="Arial" w:hAnsi="Arial"/>
          <w:sz w:val="16"/>
          <w:szCs w:val="16"/>
          <w:i w:val="1"/>
          <w:iCs w:val="1"/>
          <w:color w:val="auto"/>
        </w:rPr>
        <w:t>Derivatives and Hedging (Topic 815): Fair Value Hedging - Portfolio Layer Method</w:t>
      </w:r>
      <w:r>
        <w:rPr>
          <w:rFonts w:ascii="Arial" w:cs="Arial" w:eastAsia="Arial" w:hAnsi="Arial"/>
          <w:sz w:val="16"/>
          <w:szCs w:val="16"/>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Adoption of this update as of January 1, 2023 did not have a material impact on the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2022, the FASB issued ASU No. 2022-02, </w:t>
      </w:r>
      <w:r>
        <w:rPr>
          <w:rFonts w:ascii="Arial" w:cs="Arial" w:eastAsia="Arial" w:hAnsi="Arial"/>
          <w:sz w:val="18"/>
          <w:szCs w:val="18"/>
          <w:i w:val="1"/>
          <w:iCs w:val="1"/>
          <w:color w:val="auto"/>
        </w:rPr>
        <w:t>Financial Instruments - 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The update eliminates the previous accounting guidance for TDRs by creditors, while enhancing disclosure requirements for certain loan</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refinancings and restructurings when a borrower is experiencing financial difficulty. The update also requires that an entity disclose current-period gross charge-offs by year of origination. United adopted this update using a modified retrospective transition method as of January 1, 2023. The quantitative impact of adoption related to the CECL calculation for FDMs was not material; thus, no corresponding cumulative effect adjustment to retained earnings was recorded.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Standards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2022, the FASB issued ASU No 2023-02, </w:t>
      </w:r>
      <w:r>
        <w:rPr>
          <w:rFonts w:ascii="Arial" w:cs="Arial" w:eastAsia="Arial" w:hAnsi="Arial"/>
          <w:sz w:val="16"/>
          <w:szCs w:val="16"/>
          <w:i w:val="1"/>
          <w:iCs w:val="1"/>
          <w:color w:val="auto"/>
        </w:rPr>
        <w:t>Investments - Equity Method and Joint Ventures (Topic 323): Accounting for Investments in Tax Credit</w:t>
      </w:r>
      <w:r>
        <w:rPr>
          <w:rFonts w:ascii="Arial" w:cs="Arial" w:eastAsia="Arial" w:hAnsi="Arial"/>
          <w:sz w:val="16"/>
          <w:szCs w:val="16"/>
          <w:color w:val="auto"/>
        </w:rPr>
        <w:t xml:space="preserve"> </w:t>
      </w:r>
      <w:r>
        <w:rPr>
          <w:rFonts w:ascii="Arial" w:cs="Arial" w:eastAsia="Arial" w:hAnsi="Arial"/>
          <w:sz w:val="16"/>
          <w:szCs w:val="16"/>
          <w:i w:val="1"/>
          <w:iCs w:val="1"/>
          <w:color w:val="auto"/>
        </w:rPr>
        <w:t>Structures Using the Proportional Amortization Method</w:t>
      </w:r>
      <w:r>
        <w:rPr>
          <w:rFonts w:ascii="Arial" w:cs="Arial" w:eastAsia="Arial" w:hAnsi="Arial"/>
          <w:sz w:val="16"/>
          <w:szCs w:val="16"/>
          <w:color w:val="auto"/>
        </w:rPr>
        <w:t>. The update broadens the application of the proportional amortization method to tax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other than LIHTC, providing certain conditions are met. The election to apply the proportional amortization method must be made on a tax-credit-program by tax-credit-program basis rather than at the reporting entity level or to individual investments. The update also requires certain disclosures related to those investments for which the proportional amortization method has been applied. For public entities, this guidance is effective for fiscal years beginning after December 15, 2023. United does not expect the new guidance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Supplemental Cash Flow Information</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supplemental schedule of significant non-cash investing and financing activities for the six months ended June 30, 2023 and 2022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transactions: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Commitments to fund equity investments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11,093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of AFS securities to HTM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1,288,982</w:t>
            </w:r>
          </w:p>
        </w:tc>
      </w:tr>
      <w:tr>
        <w:trPr>
          <w:trHeight w:val="213"/>
        </w:trPr>
        <w:tc>
          <w:tcPr>
            <w:tcW w:w="820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3,254,173</w:t>
            </w:r>
          </w:p>
        </w:tc>
      </w:tr>
      <w:tr>
        <w:trPr>
          <w:trHeight w:val="213"/>
        </w:trPr>
        <w:tc>
          <w:tcPr>
            <w:tcW w:w="8200" w:type="dxa"/>
            <w:vAlign w:val="bottom"/>
          </w:tcPr>
          <w:p>
            <w:pPr>
              <w:ind w:left="220"/>
              <w:spacing w:after="0"/>
              <w:rPr>
                <w:sz w:val="20"/>
                <w:szCs w:val="20"/>
                <w:color w:val="auto"/>
              </w:rPr>
            </w:pPr>
            <w:r>
              <w:rPr>
                <w:rFonts w:ascii="Arial" w:cs="Arial" w:eastAsia="Arial" w:hAnsi="Arial"/>
                <w:sz w:val="16"/>
                <w:szCs w:val="16"/>
                <w:color w:val="auto"/>
              </w:rPr>
              <w:t>Liabilities assumed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1,597,022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2,657,173</w:t>
            </w:r>
          </w:p>
        </w:tc>
      </w:tr>
      <w:tr>
        <w:trPr>
          <w:trHeight w:val="219"/>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597,000</w:t>
            </w:r>
          </w:p>
        </w:tc>
      </w:tr>
      <w:tr>
        <w:trPr>
          <w:trHeight w:val="21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 issued and options converted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596,376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Progress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3, 2023, United acquired all of the outstanding common stock of Progress in a stock transaction. Progress operated 13 offices primarily located in Alabama and the Florida Panhandle, which facilitated United’s growth into those markets. United’s operating results for the three and six months ended June 30, 2023 include the operating results of the acquired business for the period subsequent to the acquisition date of January 3, 2023.</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purchased assets and assumed liabilities were recorded at their acquisition date fair values and are summarized in the table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ind w:left="3360"/>
              <w:spacing w:after="0"/>
              <w:rPr>
                <w:sz w:val="20"/>
                <w:szCs w:val="20"/>
                <w:color w:val="auto"/>
              </w:rPr>
            </w:pPr>
            <w:r>
              <w:rPr>
                <w:rFonts w:ascii="Arial" w:cs="Arial" w:eastAsia="Arial" w:hAnsi="Arial"/>
                <w:sz w:val="16"/>
                <w:szCs w:val="16"/>
                <w:b w:val="1"/>
                <w:bCs w:val="1"/>
                <w:color w:val="auto"/>
              </w:rPr>
              <w:t>Progress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5760" w:type="dxa"/>
            <w:vAlign w:val="bottom"/>
            <w:tcBorders>
              <w:bottom w:val="single" w:sz="8" w:color="auto"/>
            </w:tcBorders>
          </w:tcPr>
          <w:p>
            <w:pPr>
              <w:ind w:left="2500"/>
              <w:spacing w:after="0" w:line="213" w:lineRule="exact"/>
              <w:rPr>
                <w:sz w:val="20"/>
                <w:szCs w:val="20"/>
                <w:color w:val="auto"/>
              </w:rPr>
            </w:pPr>
            <w:r>
              <w:rPr>
                <w:rFonts w:ascii="Arial" w:cs="Arial" w:eastAsia="Arial" w:hAnsi="Arial"/>
                <w:sz w:val="16"/>
                <w:szCs w:val="16"/>
                <w:b w:val="1"/>
                <w:bCs w:val="1"/>
                <w:color w:val="auto"/>
              </w:rPr>
              <w:t xml:space="preserve">Fair Value Recorded by United </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Pr>
          <w:p>
            <w:pPr>
              <w:spacing w:after="0"/>
              <w:rPr>
                <w:sz w:val="18"/>
                <w:szCs w:val="18"/>
                <w:color w:val="auto"/>
              </w:rPr>
            </w:pPr>
          </w:p>
        </w:tc>
      </w:tr>
      <w:tr>
        <w:trPr>
          <w:trHeight w:val="207"/>
        </w:trPr>
        <w:tc>
          <w:tcPr>
            <w:tcW w:w="196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January 3, 2023</w:t>
            </w:r>
          </w:p>
        </w:tc>
        <w:tc>
          <w:tcPr>
            <w:tcW w:w="1940" w:type="dxa"/>
            <w:vAlign w:val="bottom"/>
            <w:tcBorders>
              <w:bottom w:val="single" w:sz="8" w:color="CCEEFF"/>
            </w:tcBorders>
          </w:tcPr>
          <w:p>
            <w:pPr>
              <w:spacing w:after="0"/>
              <w:rPr>
                <w:sz w:val="17"/>
                <w:szCs w:val="17"/>
                <w:color w:val="auto"/>
              </w:rPr>
            </w:pPr>
          </w:p>
        </w:tc>
      </w:tr>
      <w:tr>
        <w:trPr>
          <w:trHeight w:val="199"/>
        </w:trPr>
        <w:tc>
          <w:tcPr>
            <w:tcW w:w="1960" w:type="dxa"/>
            <w:vAlign w:val="bottom"/>
            <w:shd w:val="clear" w:color="auto" w:fill="CCEEFF"/>
          </w:tcPr>
          <w:p>
            <w:pPr>
              <w:spacing w:after="0"/>
              <w:rPr>
                <w:sz w:val="17"/>
                <w:szCs w:val="17"/>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57,548</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111,006</w:t>
            </w:r>
          </w:p>
        </w:tc>
        <w:tc>
          <w:tcPr>
            <w:tcW w:w="1940" w:type="dxa"/>
            <w:vAlign w:val="bottom"/>
            <w:shd w:val="clear" w:color="auto" w:fill="CCEEFF"/>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2,087</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1,442,959</w:t>
            </w:r>
          </w:p>
        </w:tc>
        <w:tc>
          <w:tcPr>
            <w:tcW w:w="1940" w:type="dxa"/>
            <w:vAlign w:val="bottom"/>
            <w:shd w:val="clear" w:color="auto" w:fill="CCEEFF"/>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Premises and equipment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21,118</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Bank-owned life insurance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40,723</w:t>
            </w:r>
          </w:p>
        </w:tc>
        <w:tc>
          <w:tcPr>
            <w:tcW w:w="1940" w:type="dxa"/>
            <w:vAlign w:val="bottom"/>
            <w:shd w:val="clear" w:color="auto" w:fill="CCEEFF"/>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39,980</w:t>
            </w:r>
          </w:p>
        </w:tc>
        <w:tc>
          <w:tcPr>
            <w:tcW w:w="1940" w:type="dxa"/>
            <w:vAlign w:val="bottom"/>
          </w:tcPr>
          <w:p>
            <w:pPr>
              <w:spacing w:after="0"/>
              <w:rPr>
                <w:sz w:val="18"/>
                <w:szCs w:val="18"/>
                <w:color w:val="auto"/>
              </w:rPr>
            </w:pPr>
          </w:p>
        </w:tc>
      </w:tr>
      <w:tr>
        <w:trPr>
          <w:trHeight w:val="219"/>
        </w:trPr>
        <w:tc>
          <w:tcPr>
            <w:tcW w:w="1960" w:type="dxa"/>
            <w:vAlign w:val="bottom"/>
            <w:tcBorders>
              <w:bottom w:val="single" w:sz="8" w:color="CCEEFF"/>
            </w:tcBorders>
            <w:shd w:val="clear" w:color="auto" w:fill="CCEEFF"/>
          </w:tcPr>
          <w:p>
            <w:pPr>
              <w:spacing w:after="0"/>
              <w:rPr>
                <w:sz w:val="19"/>
                <w:szCs w:val="19"/>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42,965</w:t>
            </w:r>
          </w:p>
        </w:tc>
        <w:tc>
          <w:tcPr>
            <w:tcW w:w="1940" w:type="dxa"/>
            <w:vAlign w:val="bottom"/>
            <w:tcBorders>
              <w:bottom w:val="single" w:sz="8" w:color="CCEEFF"/>
            </w:tcBorders>
            <w:shd w:val="clear" w:color="auto" w:fill="CCEEFF"/>
          </w:tcPr>
          <w:p>
            <w:pPr>
              <w:spacing w:after="0"/>
              <w:rPr>
                <w:sz w:val="19"/>
                <w:szCs w:val="19"/>
                <w:color w:val="auto"/>
              </w:rPr>
            </w:pPr>
          </w:p>
        </w:tc>
      </w:tr>
      <w:tr>
        <w:trPr>
          <w:trHeight w:val="209"/>
        </w:trPr>
        <w:tc>
          <w:tcPr>
            <w:tcW w:w="19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1,758,386</w:t>
            </w:r>
          </w:p>
        </w:tc>
        <w:tc>
          <w:tcPr>
            <w:tcW w:w="1940" w:type="dxa"/>
            <w:vAlign w:val="bottom"/>
          </w:tcPr>
          <w:p>
            <w:pPr>
              <w:spacing w:after="0"/>
              <w:rPr>
                <w:sz w:val="18"/>
                <w:szCs w:val="18"/>
                <w:color w:val="auto"/>
              </w:rPr>
            </w:pPr>
          </w:p>
        </w:tc>
      </w:tr>
      <w:tr>
        <w:trPr>
          <w:trHeight w:val="210"/>
        </w:trPr>
        <w:tc>
          <w:tcPr>
            <w:tcW w:w="1960" w:type="dxa"/>
            <w:vAlign w:val="bottom"/>
            <w:shd w:val="clear" w:color="auto" w:fill="CCEEFF"/>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1,334,476</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141,017</w:t>
            </w:r>
          </w:p>
        </w:tc>
        <w:tc>
          <w:tcPr>
            <w:tcW w:w="1940" w:type="dxa"/>
            <w:vAlign w:val="bottom"/>
            <w:shd w:val="clear" w:color="auto" w:fill="CCEEFF"/>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95,000</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26,529</w:t>
            </w:r>
          </w:p>
        </w:tc>
        <w:tc>
          <w:tcPr>
            <w:tcW w:w="1940" w:type="dxa"/>
            <w:vAlign w:val="bottom"/>
            <w:shd w:val="clear" w:color="auto" w:fill="CCEEFF"/>
          </w:tcPr>
          <w:p>
            <w:pPr>
              <w:spacing w:after="0"/>
              <w:rPr>
                <w:sz w:val="19"/>
                <w:szCs w:val="19"/>
                <w:color w:val="auto"/>
              </w:rPr>
            </w:pPr>
          </w:p>
        </w:tc>
      </w:tr>
      <w:tr>
        <w:trPr>
          <w:trHeight w:val="196"/>
        </w:trPr>
        <w:tc>
          <w:tcPr>
            <w:tcW w:w="1960" w:type="dxa"/>
            <w:vAlign w:val="bottom"/>
          </w:tcPr>
          <w:p>
            <w:pPr>
              <w:spacing w:after="0"/>
              <w:rPr>
                <w:sz w:val="17"/>
                <w:szCs w:val="17"/>
                <w:color w:val="auto"/>
              </w:rPr>
            </w:pPr>
          </w:p>
        </w:tc>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1,597,022</w:t>
            </w:r>
          </w:p>
        </w:tc>
        <w:tc>
          <w:tcPr>
            <w:tcW w:w="1940" w:type="dxa"/>
            <w:vAlign w:val="bottom"/>
          </w:tcPr>
          <w:p>
            <w:pPr>
              <w:spacing w:after="0"/>
              <w:rPr>
                <w:sz w:val="17"/>
                <w:szCs w:val="17"/>
                <w:color w:val="auto"/>
              </w:rPr>
            </w:pPr>
          </w:p>
        </w:tc>
      </w:tr>
      <w:tr>
        <w:trPr>
          <w:trHeight w:val="210"/>
        </w:trPr>
        <w:tc>
          <w:tcPr>
            <w:tcW w:w="1960" w:type="dxa"/>
            <w:vAlign w:val="bottom"/>
            <w:tcBorders>
              <w:bottom w:val="single" w:sz="8" w:color="CCEEFF"/>
            </w:tcBorders>
            <w:shd w:val="clear" w:color="auto" w:fill="CCEEFF"/>
          </w:tcPr>
          <w:p>
            <w:pPr>
              <w:spacing w:after="0"/>
              <w:rPr>
                <w:sz w:val="18"/>
                <w:szCs w:val="18"/>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161,364</w:t>
            </w:r>
          </w:p>
        </w:tc>
        <w:tc>
          <w:tcPr>
            <w:tcW w:w="1940" w:type="dxa"/>
            <w:vAlign w:val="bottom"/>
            <w:tcBorders>
              <w:bottom w:val="single" w:sz="8" w:color="CCEEFF"/>
            </w:tcBorders>
            <w:shd w:val="clear" w:color="auto" w:fill="CCEEFF"/>
          </w:tcPr>
          <w:p>
            <w:pPr>
              <w:spacing w:after="0"/>
              <w:rPr>
                <w:sz w:val="18"/>
                <w:szCs w:val="18"/>
                <w:color w:val="auto"/>
              </w:rPr>
            </w:pPr>
          </w:p>
        </w:tc>
      </w:tr>
      <w:tr>
        <w:trPr>
          <w:trHeight w:val="207"/>
        </w:trPr>
        <w:tc>
          <w:tcPr>
            <w:tcW w:w="196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940" w:type="dxa"/>
            <w:vAlign w:val="bottom"/>
            <w:shd w:val="clear" w:color="auto" w:fill="CCEEFF"/>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Common stock issued (8,770,531 shares)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296,444</w:t>
            </w:r>
          </w:p>
        </w:tc>
        <w:tc>
          <w:tcPr>
            <w:tcW w:w="1940" w:type="dxa"/>
            <w:vAlign w:val="bottom"/>
          </w:tcPr>
          <w:p>
            <w:pPr>
              <w:spacing w:after="0"/>
              <w:rPr>
                <w:sz w:val="18"/>
                <w:szCs w:val="18"/>
                <w:color w:val="auto"/>
              </w:rPr>
            </w:pPr>
          </w:p>
        </w:tc>
      </w:tr>
      <w:tr>
        <w:trPr>
          <w:trHeight w:val="219"/>
        </w:trPr>
        <w:tc>
          <w:tcPr>
            <w:tcW w:w="196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converted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10,017</w:t>
            </w:r>
          </w:p>
        </w:tc>
        <w:tc>
          <w:tcPr>
            <w:tcW w:w="1940" w:type="dxa"/>
            <w:vAlign w:val="bottom"/>
            <w:shd w:val="clear" w:color="auto" w:fill="CCEEFF"/>
          </w:tcPr>
          <w:p>
            <w:pPr>
              <w:spacing w:after="0"/>
              <w:rPr>
                <w:sz w:val="19"/>
                <w:szCs w:val="19"/>
                <w:color w:val="auto"/>
              </w:rPr>
            </w:pPr>
          </w:p>
        </w:tc>
      </w:tr>
      <w:tr>
        <w:trPr>
          <w:trHeight w:val="207"/>
        </w:trPr>
        <w:tc>
          <w:tcPr>
            <w:tcW w:w="196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306,908</w:t>
            </w:r>
          </w:p>
        </w:tc>
        <w:tc>
          <w:tcPr>
            <w:tcW w:w="1940" w:type="dxa"/>
            <w:vAlign w:val="bottom"/>
            <w:tcBorders>
              <w:bottom w:val="single" w:sz="8" w:color="CCEEFF"/>
            </w:tcBorders>
          </w:tcPr>
          <w:p>
            <w:pPr>
              <w:spacing w:after="0"/>
              <w:rPr>
                <w:sz w:val="17"/>
                <w:szCs w:val="17"/>
                <w:color w:val="auto"/>
              </w:rPr>
            </w:pPr>
          </w:p>
        </w:tc>
      </w:tr>
      <w:tr>
        <w:trPr>
          <w:trHeight w:val="238"/>
        </w:trPr>
        <w:tc>
          <w:tcPr>
            <w:tcW w:w="1960" w:type="dxa"/>
            <w:vAlign w:val="bottom"/>
            <w:tcBorders>
              <w:bottom w:val="single" w:sz="8" w:color="CCEEFF"/>
            </w:tcBorders>
            <w:shd w:val="clear" w:color="auto" w:fill="CCEEFF"/>
          </w:tcPr>
          <w:p>
            <w:pPr>
              <w:spacing w:after="0"/>
              <w:rPr>
                <w:sz w:val="20"/>
                <w:szCs w:val="20"/>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145,544</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firstLine="8"/>
        <w:spacing w:after="0" w:line="264" w:lineRule="auto"/>
        <w:tabs>
          <w:tab w:leader="none" w:pos="167"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Goodwill represents the intangible value of Progress’ business and reputation within the markets it served and is not expected to be deductible for income tax purposes. The Progress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Progress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 2023</w:t>
            </w:r>
          </w:p>
        </w:tc>
      </w:tr>
      <w:tr>
        <w:trPr>
          <w:trHeight w:val="212"/>
        </w:trPr>
        <w:tc>
          <w:tcPr>
            <w:tcW w:w="7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PCD loans:</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3"/>
        </w:trPr>
        <w:tc>
          <w:tcPr>
            <w:tcW w:w="7140" w:type="dxa"/>
            <w:vAlign w:val="bottom"/>
          </w:tcPr>
          <w:p>
            <w:pPr>
              <w:ind w:left="2320"/>
              <w:spacing w:after="0"/>
              <w:rPr>
                <w:sz w:val="20"/>
                <w:szCs w:val="20"/>
                <w:color w:val="auto"/>
              </w:rPr>
            </w:pPr>
            <w:r>
              <w:rPr>
                <w:rFonts w:ascii="Arial" w:cs="Arial" w:eastAsia="Arial" w:hAnsi="Arial"/>
                <w:sz w:val="16"/>
                <w:szCs w:val="16"/>
                <w:color w:val="auto"/>
              </w:rPr>
              <w:t>Par value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64,913</w:t>
            </w:r>
          </w:p>
        </w:tc>
        <w:tc>
          <w:tcPr>
            <w:tcW w:w="2280" w:type="dxa"/>
            <w:vAlign w:val="bottom"/>
          </w:tcPr>
          <w:p>
            <w:pPr>
              <w:spacing w:after="0"/>
              <w:rPr>
                <w:sz w:val="18"/>
                <w:szCs w:val="18"/>
                <w:color w:val="auto"/>
              </w:rPr>
            </w:pPr>
          </w:p>
        </w:tc>
      </w:tr>
      <w:tr>
        <w:trPr>
          <w:trHeight w:val="219"/>
        </w:trPr>
        <w:tc>
          <w:tcPr>
            <w:tcW w:w="7140" w:type="dxa"/>
            <w:vAlign w:val="bottom"/>
            <w:shd w:val="clear" w:color="auto" w:fill="CCEEFF"/>
          </w:tcPr>
          <w:p>
            <w:pPr>
              <w:ind w:left="2320"/>
              <w:spacing w:after="0"/>
              <w:rPr>
                <w:sz w:val="20"/>
                <w:szCs w:val="20"/>
                <w:color w:val="auto"/>
              </w:rPr>
            </w:pPr>
            <w:r>
              <w:rPr>
                <w:rFonts w:ascii="Arial" w:cs="Arial" w:eastAsia="Arial" w:hAnsi="Arial"/>
                <w:sz w:val="16"/>
                <w:szCs w:val="16"/>
                <w:color w:val="auto"/>
              </w:rPr>
              <w:t>ACL at acquisition</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228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20"/>
              <w:spacing w:after="0"/>
              <w:rPr>
                <w:sz w:val="20"/>
                <w:szCs w:val="20"/>
                <w:color w:val="auto"/>
              </w:rPr>
            </w:pPr>
            <w:r>
              <w:rPr>
                <w:rFonts w:ascii="Arial" w:cs="Arial" w:eastAsia="Arial" w:hAnsi="Arial"/>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28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62,059</w:t>
            </w:r>
          </w:p>
        </w:tc>
        <w:tc>
          <w:tcPr>
            <w:tcW w:w="228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6"/>
        </w:trPr>
        <w:tc>
          <w:tcPr>
            <w:tcW w:w="7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3"/>
        </w:trPr>
        <w:tc>
          <w:tcPr>
            <w:tcW w:w="7140" w:type="dxa"/>
            <w:vAlign w:val="bottom"/>
          </w:tcPr>
          <w:p>
            <w:pPr>
              <w:ind w:left="2320"/>
              <w:spacing w:after="0"/>
              <w:rPr>
                <w:sz w:val="20"/>
                <w:szCs w:val="20"/>
                <w:color w:val="auto"/>
              </w:rPr>
            </w:pPr>
            <w:r>
              <w:rPr>
                <w:rFonts w:ascii="Arial" w:cs="Arial" w:eastAsia="Arial" w:hAnsi="Arial"/>
                <w:sz w:val="16"/>
                <w:szCs w:val="16"/>
                <w:color w:val="auto"/>
              </w:rPr>
              <w:t>Fair value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1,380,900</w:t>
            </w:r>
          </w:p>
        </w:tc>
        <w:tc>
          <w:tcPr>
            <w:tcW w:w="2280" w:type="dxa"/>
            <w:vAlign w:val="bottom"/>
          </w:tcPr>
          <w:p>
            <w:pPr>
              <w:spacing w:after="0"/>
              <w:rPr>
                <w:sz w:val="18"/>
                <w:szCs w:val="18"/>
                <w:color w:val="auto"/>
              </w:rPr>
            </w:pPr>
          </w:p>
        </w:tc>
      </w:tr>
      <w:tr>
        <w:trPr>
          <w:trHeight w:val="219"/>
        </w:trPr>
        <w:tc>
          <w:tcPr>
            <w:tcW w:w="7140" w:type="dxa"/>
            <w:vAlign w:val="bottom"/>
            <w:shd w:val="clear" w:color="auto" w:fill="CCEEFF"/>
          </w:tcPr>
          <w:p>
            <w:pPr>
              <w:ind w:left="2320"/>
              <w:spacing w:after="0"/>
              <w:rPr>
                <w:sz w:val="20"/>
                <w:szCs w:val="20"/>
                <w:color w:val="auto"/>
              </w:rPr>
            </w:pPr>
            <w:r>
              <w:rPr>
                <w:rFonts w:ascii="Arial" w:cs="Arial" w:eastAsia="Arial" w:hAnsi="Arial"/>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1,626,243</w:t>
            </w:r>
          </w:p>
        </w:tc>
        <w:tc>
          <w:tcPr>
            <w:tcW w:w="2280" w:type="dxa"/>
            <w:vAlign w:val="bottom"/>
            <w:shd w:val="clear" w:color="auto" w:fill="CCEEFF"/>
          </w:tcPr>
          <w:p>
            <w:pPr>
              <w:spacing w:after="0"/>
              <w:rPr>
                <w:sz w:val="19"/>
                <w:szCs w:val="19"/>
                <w:color w:val="auto"/>
              </w:rPr>
            </w:pPr>
          </w:p>
        </w:tc>
      </w:tr>
      <w:tr>
        <w:trPr>
          <w:trHeight w:val="210"/>
        </w:trPr>
        <w:tc>
          <w:tcPr>
            <w:tcW w:w="7140" w:type="dxa"/>
            <w:vAlign w:val="bottom"/>
          </w:tcPr>
          <w:p>
            <w:pPr>
              <w:ind w:left="2320"/>
              <w:spacing w:after="0"/>
              <w:rPr>
                <w:sz w:val="20"/>
                <w:szCs w:val="20"/>
                <w:color w:val="auto"/>
              </w:rPr>
            </w:pPr>
            <w:r>
              <w:rPr>
                <w:rFonts w:ascii="Arial" w:cs="Arial" w:eastAsia="Arial" w:hAnsi="Arial"/>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9,287</w:t>
            </w:r>
          </w:p>
        </w:tc>
        <w:tc>
          <w:tcPr>
            <w:tcW w:w="2280" w:type="dxa"/>
            <w:vAlign w:val="bottom"/>
          </w:tcPr>
          <w:p>
            <w:pPr>
              <w:spacing w:after="0"/>
              <w:rPr>
                <w:sz w:val="18"/>
                <w:szCs w:val="18"/>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Progress acquisition since the date of acquisition. The table also presents certain pro forma information as if Progress had been acquired on January 1, 2022 and Reliant had been acquired on January 1, 2021. These results combine the historical results of the acquired entities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Merger-related costs related to the Progress acquisition for the three and six months ended June 30, 2023 of $2.29 million and $9.78 million, respectively, have been excluded from the pro forma information for those periods presented below and included in the three and six months ended June 30, 2022 pro forma information. Merger-related costs related to the Reliant acquisition for the three and six months ended June 30, 2022 of $5.46 million and $14.0 million, respectively, have been excluded from the pro forma information presented below. The actual results and pro forma information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0"/>
              </w:rPr>
              <w:t>Net Income</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0"/>
              </w:rPr>
              <w:t>Net Income</w:t>
            </w:r>
          </w:p>
        </w:tc>
        <w:tc>
          <w:tcPr>
            <w:tcW w:w="0" w:type="dxa"/>
            <w:vAlign w:val="bottom"/>
          </w:tcPr>
          <w:p>
            <w:pPr>
              <w:spacing w:after="0"/>
              <w:rPr>
                <w:sz w:val="1"/>
                <w:szCs w:val="1"/>
                <w:color w:val="auto"/>
              </w:rPr>
            </w:pPr>
          </w:p>
        </w:tc>
      </w:tr>
      <w:tr>
        <w:trPr>
          <w:trHeight w:val="19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Actual Progress results included in statement of income since acquisition date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13"/>
        </w:trPr>
        <w:tc>
          <w:tcPr>
            <w:tcW w:w="5820" w:type="dxa"/>
            <w:vAlign w:val="bottom"/>
            <w:gridSpan w:val="2"/>
          </w:tcPr>
          <w:p>
            <w:pPr>
              <w:ind w:left="20"/>
              <w:spacing w:after="0"/>
              <w:rPr>
                <w:sz w:val="20"/>
                <w:szCs w:val="20"/>
                <w:color w:val="auto"/>
              </w:rPr>
            </w:pPr>
            <w:r>
              <w:rPr>
                <w:rFonts w:ascii="Arial" w:cs="Arial" w:eastAsia="Arial" w:hAnsi="Arial"/>
                <w:sz w:val="16"/>
                <w:szCs w:val="16"/>
                <w:color w:val="auto"/>
                <w:w w:val="92"/>
              </w:rPr>
              <w:t>Supplemental consolidated pro forma as if Progress had been acquired January 1, 2022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213,509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443,050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140,041</w:t>
            </w:r>
          </w:p>
        </w:tc>
        <w:tc>
          <w:tcPr>
            <w:tcW w:w="0" w:type="dxa"/>
            <w:vAlign w:val="bottom"/>
          </w:tcPr>
          <w:p>
            <w:pPr>
              <w:spacing w:after="0"/>
              <w:rPr>
                <w:sz w:val="1"/>
                <w:szCs w:val="1"/>
                <w:color w:val="auto"/>
              </w:rPr>
            </w:pPr>
          </w:p>
        </w:tc>
      </w:tr>
      <w:tr>
        <w:trPr>
          <w:trHeight w:val="273"/>
        </w:trPr>
        <w:tc>
          <w:tcPr>
            <w:tcW w:w="5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Actual Reliant results included in statement of income since acquisition date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166"/>
        </w:trPr>
        <w:tc>
          <w:tcPr>
            <w:tcW w:w="582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2"/>
              </w:rPr>
              <w:t>Supplemental consolidated pro forma as if Progress had been acquired January 1, 2022</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225,984</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73,656</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430,853</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131,038</w:t>
            </w:r>
          </w:p>
        </w:tc>
        <w:tc>
          <w:tcPr>
            <w:tcW w:w="0" w:type="dxa"/>
            <w:vAlign w:val="bottom"/>
          </w:tcPr>
          <w:p>
            <w:pPr>
              <w:spacing w:after="0"/>
              <w:rPr>
                <w:sz w:val="1"/>
                <w:szCs w:val="1"/>
                <w:color w:val="auto"/>
              </w:rPr>
            </w:pPr>
          </w:p>
        </w:tc>
      </w:tr>
      <w:tr>
        <w:trPr>
          <w:trHeight w:val="20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and Reliant had been acquired January 1, 2021</w:t>
            </w: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Securities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amortized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b w:val="1"/>
                <w:bCs w:val="1"/>
                <w:color w:val="auto"/>
              </w:rPr>
              <w:t>Gross 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Gross Unrealized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19,849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2,354</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17,495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82,667</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294,920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56,274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238,669</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1,438,048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1,215,805</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686,239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120,831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565,408</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w:t>
            </w:r>
          </w:p>
        </w:tc>
      </w:tr>
      <w:tr>
        <w:trPr>
          <w:trHeight w:val="213"/>
        </w:trPr>
        <w:tc>
          <w:tcPr>
            <w:tcW w:w="4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2,553,835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ind w:left="1260"/>
              <w:spacing w:after="0"/>
              <w:rPr>
                <w:sz w:val="20"/>
                <w:szCs w:val="20"/>
                <w:color w:val="auto"/>
              </w:rPr>
            </w:pPr>
            <w:r>
              <w:rPr>
                <w:rFonts w:ascii="Arial" w:cs="Arial" w:eastAsia="Arial" w:hAnsi="Arial"/>
                <w:sz w:val="16"/>
                <w:szCs w:val="16"/>
                <w:color w:val="auto"/>
              </w:rPr>
              <w:t>36</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421,475</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2,132,396</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2"/>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81,510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231,661</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1,488,028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223,566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1,264,497</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583,576</w:t>
            </w:r>
          </w:p>
        </w:tc>
      </w:tr>
      <w:tr>
        <w:trPr>
          <w:trHeight w:val="213"/>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Supranational entities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ind w:left="1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12,412</w:t>
            </w:r>
          </w:p>
        </w:tc>
      </w:tr>
      <w:tr>
        <w:trPr>
          <w:trHeight w:val="233"/>
        </w:trPr>
        <w:tc>
          <w:tcPr>
            <w:tcW w:w="4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91</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422,666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2,191,073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amortized cost basis, unrealized gains and losses, and fair value of AFS debt securities as of the dates indicated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 During the second quarter of 2023, United entered into fair value hedges on stated amounts of a closed portfolio of AFS debt securities using the portfolio layer method, which is further explained in Note 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Amortized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Gross 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Gross Unrealized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347,029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13,640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333,423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237,096</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161,101</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1,286,564</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360,476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333,671</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588,349</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30,089</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196,736</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192,960</w:t>
            </w:r>
          </w:p>
        </w:tc>
      </w:tr>
      <w:tr>
        <w:trPr>
          <w:trHeight w:val="199"/>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3,707,102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347,529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3,359,989</w:t>
            </w:r>
          </w:p>
        </w:tc>
      </w:tr>
      <w:tr>
        <w:trPr>
          <w:trHeight w:val="210"/>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163,972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14,620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149,352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250,116</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303,748</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1,448,819</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374,535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346,662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641,346</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30,566</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212,452</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231,272</w:t>
            </w:r>
          </w:p>
        </w:tc>
      </w:tr>
      <w:tr>
        <w:trPr>
          <w:trHeight w:val="233"/>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3,971,326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3,614,333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$4.43 billion and $2.53 billion were pledged, primarily to secure public deposits and provide contingent liquidity through the Bank Term Funding Program at the Federal Reserve Bank, at June 30, 2023 and December 31,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17,495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2,354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17,495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56,274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558,928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120,831</w:t>
            </w:r>
          </w:p>
        </w:tc>
        <w:tc>
          <w:tcPr>
            <w:tcW w:w="0" w:type="dxa"/>
            <w:vAlign w:val="bottom"/>
          </w:tcPr>
          <w:p>
            <w:pPr>
              <w:spacing w:after="0"/>
              <w:rPr>
                <w:sz w:val="1"/>
                <w:szCs w:val="1"/>
                <w:color w:val="auto"/>
              </w:rPr>
            </w:pPr>
          </w:p>
        </w:tc>
      </w:tr>
      <w:tr>
        <w:trPr>
          <w:trHeight w:val="21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Supranational entities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84,660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2,042,183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417,703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2,126,843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421,475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965,785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1,262,458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223,566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111,586</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Arial" w:cs="Arial" w:eastAsia="Arial" w:hAnsi="Arial"/>
                <w:sz w:val="16"/>
                <w:szCs w:val="16"/>
                <w:color w:val="auto"/>
              </w:rPr>
              <w:t>Supranational entities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2,178,731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12 Months or More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6"/>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49,170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150,685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13,624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199,855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13,640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26,805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81,276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22,210</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186,395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2,705,522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3,173,125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347,529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49,259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100,093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13,896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149,352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14,620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26,126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1,049,648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1,441,936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27,873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2,238,138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1,264,601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3,502,739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there were 678 AFS debt securities and 325 HTM debt securities that were in an unrealized loss position. United does not intend to sell nor does it believe it will be required to sell securities in an unrealized loss position prior to the recovery of their amortized cost basis. Unrealized losses at June 30, 2023 were primarily attributable to changes in interest rates.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2023 and December 31, 2022,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June 30, 2023 or December 31, 2022. In addition, based on the assessments performed at June 30, 2023 and December 31, 2022, there was no ACL required related to the AFS portfolio.</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5"/>
          </w:tcPr>
          <w:p>
            <w:pPr>
              <w:ind w:left="620"/>
              <w:spacing w:after="0"/>
              <w:rPr>
                <w:sz w:val="20"/>
                <w:szCs w:val="20"/>
                <w:color w:val="auto"/>
              </w:rPr>
            </w:pPr>
            <w:r>
              <w:rPr>
                <w:rFonts w:ascii="Arial" w:cs="Arial" w:eastAsia="Arial" w:hAnsi="Arial"/>
                <w:sz w:val="16"/>
                <w:szCs w:val="16"/>
                <w:b w:val="1"/>
                <w:bCs w:val="1"/>
                <w:color w:val="auto"/>
              </w:rPr>
              <w:t>Accrued Interest Receivable</w:t>
            </w:r>
          </w:p>
        </w:tc>
      </w:tr>
      <w:tr>
        <w:trPr>
          <w:trHeight w:val="210"/>
        </w:trPr>
        <w:tc>
          <w:tcPr>
            <w:tcW w:w="4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2022</w:t>
            </w:r>
          </w:p>
        </w:tc>
        <w:tc>
          <w:tcPr>
            <w:tcW w:w="2660" w:type="dxa"/>
            <w:vAlign w:val="bottom"/>
          </w:tcPr>
          <w:p>
            <w:pPr>
              <w:spacing w:after="0"/>
              <w:rPr>
                <w:sz w:val="18"/>
                <w:szCs w:val="18"/>
                <w:color w:val="auto"/>
              </w:rPr>
            </w:pPr>
          </w:p>
        </w:tc>
      </w:tr>
      <w:tr>
        <w:trPr>
          <w:trHeight w:val="212"/>
        </w:trPr>
        <w:tc>
          <w:tcPr>
            <w:tcW w:w="4820" w:type="dxa"/>
            <w:vAlign w:val="bottom"/>
            <w:shd w:val="clear" w:color="auto" w:fill="CCEEFF"/>
          </w:tcPr>
          <w:p>
            <w:pPr>
              <w:ind w:left="2780"/>
              <w:spacing w:after="0"/>
              <w:rPr>
                <w:sz w:val="20"/>
                <w:szCs w:val="20"/>
                <w:color w:val="auto"/>
              </w:rPr>
            </w:pPr>
            <w:r>
              <w:rPr>
                <w:rFonts w:ascii="Arial" w:cs="Arial" w:eastAsia="Arial" w:hAnsi="Arial"/>
                <w:sz w:val="16"/>
                <w:szCs w:val="16"/>
                <w:color w:val="auto"/>
              </w:rPr>
              <w:t>HTM</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7,234</w:t>
            </w:r>
          </w:p>
        </w:tc>
        <w:tc>
          <w:tcPr>
            <w:tcW w:w="2660" w:type="dxa"/>
            <w:vAlign w:val="bottom"/>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Arial" w:cs="Arial" w:eastAsia="Arial" w:hAnsi="Arial"/>
                <w:sz w:val="16"/>
                <w:szCs w:val="16"/>
                <w:color w:val="auto"/>
              </w:rPr>
              <w:t>AFS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15,281</w:t>
            </w:r>
          </w:p>
        </w:tc>
        <w:tc>
          <w:tcPr>
            <w:tcW w:w="266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The amortized cost and fair value of AFS and HTM debt securities at June 30, 2023,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0"/>
        </w:trPr>
        <w:tc>
          <w:tcPr>
            <w:tcW w:w="4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Amortized Cost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Amortized Cost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Within 1 year:</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232,932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232,830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240,474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to 5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100,593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17,495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26,505</w:t>
            </w:r>
          </w:p>
        </w:tc>
      </w:tr>
      <w:tr>
        <w:trPr>
          <w:trHeight w:val="205"/>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156,810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142,227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326,258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293,505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48,424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44,000</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 to 10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71,084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73,352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61,460</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31,827</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12,352</w:t>
            </w:r>
          </w:p>
        </w:tc>
      </w:tr>
      <w:tr>
        <w:trPr>
          <w:trHeight w:val="206"/>
        </w:trPr>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186,840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161,389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125,609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105,639</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More than 10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142,156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137,931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21,207</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179,143</w:t>
            </w:r>
          </w:p>
        </w:tc>
      </w:tr>
      <w:tr>
        <w:trPr>
          <w:trHeight w:val="213"/>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200,350</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Debt securities not due at a single maturity date: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1,806,004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1,620,235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1,438,048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1,215,805</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700,722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565,408</w:t>
            </w: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2,705,005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2,431,633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2,124,287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1,781,213</w:t>
            </w:r>
          </w:p>
        </w:tc>
      </w:tr>
      <w:tr>
        <w:trPr>
          <w:trHeight w:val="205"/>
        </w:trPr>
        <w:tc>
          <w:tcPr>
            <w:tcW w:w="4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3,707,102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3,359,989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2,553,835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2,132,396</w:t>
            </w:r>
          </w:p>
        </w:tc>
      </w:tr>
      <w:tr>
        <w:trPr>
          <w:trHeight w:val="20"/>
        </w:trPr>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AFS securities sales activity for the three and six months ended June 30, 2023 and 2022 </w:t>
      </w: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60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8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23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73,112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380,661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281,521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realized losses</w:t>
            </w: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(4,697)</w:t>
            </w:r>
          </w:p>
        </w:tc>
      </w:tr>
      <w:tr>
        <w:trPr>
          <w:trHeight w:val="233"/>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gains (losses), net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attributable to sales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December 31, 2022</w:t>
            </w:r>
          </w:p>
        </w:tc>
        <w:tc>
          <w:tcPr>
            <w:tcW w:w="1660" w:type="dxa"/>
            <w:vAlign w:val="bottom"/>
            <w:tcBorders>
              <w:bottom w:val="single" w:sz="8" w:color="CCEEFF"/>
            </w:tcBorders>
          </w:tcPr>
          <w:p>
            <w:pPr>
              <w:spacing w:after="0"/>
              <w:rPr>
                <w:sz w:val="18"/>
                <w:szCs w:val="18"/>
                <w:color w:val="auto"/>
              </w:rPr>
            </w:pPr>
          </w:p>
        </w:tc>
      </w:tr>
      <w:tr>
        <w:trPr>
          <w:trHeight w:val="213"/>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3,110,612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2,734,666</w:t>
            </w:r>
          </w:p>
        </w:tc>
        <w:tc>
          <w:tcPr>
            <w:tcW w:w="1660" w:type="dxa"/>
            <w:vAlign w:val="bottom"/>
            <w:shd w:val="clear" w:color="auto" w:fill="CCEEFF"/>
          </w:tcPr>
          <w:p>
            <w:pPr>
              <w:spacing w:after="0"/>
              <w:rPr>
                <w:sz w:val="18"/>
                <w:szCs w:val="18"/>
                <w:color w:val="auto"/>
              </w:rPr>
            </w:pPr>
          </w:p>
        </w:tc>
      </w:tr>
      <w:tr>
        <w:trPr>
          <w:trHeight w:val="213"/>
        </w:trPr>
        <w:tc>
          <w:tcPr>
            <w:tcW w:w="5880" w:type="dxa"/>
            <w:vAlign w:val="bottom"/>
          </w:tcPr>
          <w:p>
            <w:pPr>
              <w:ind w:left="168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3,669,746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3,261,626</w:t>
            </w:r>
          </w:p>
        </w:tc>
        <w:tc>
          <w:tcPr>
            <w:tcW w:w="1660" w:type="dxa"/>
            <w:vAlign w:val="bottom"/>
          </w:tcPr>
          <w:p>
            <w:pPr>
              <w:spacing w:after="0"/>
              <w:rPr>
                <w:sz w:val="18"/>
                <w:szCs w:val="18"/>
                <w:color w:val="auto"/>
              </w:rPr>
            </w:pPr>
          </w:p>
        </w:tc>
      </w:tr>
      <w:tr>
        <w:trPr>
          <w:trHeight w:val="219"/>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2,252,322</w:t>
            </w:r>
          </w:p>
        </w:tc>
        <w:tc>
          <w:tcPr>
            <w:tcW w:w="1660" w:type="dxa"/>
            <w:vAlign w:val="bottom"/>
            <w:shd w:val="clear" w:color="auto" w:fill="CCEEFF"/>
          </w:tcPr>
          <w:p>
            <w:pPr>
              <w:spacing w:after="0"/>
              <w:rPr>
                <w:sz w:val="19"/>
                <w:szCs w:val="19"/>
                <w:color w:val="auto"/>
              </w:rPr>
            </w:pPr>
          </w:p>
        </w:tc>
      </w:tr>
      <w:tr>
        <w:trPr>
          <w:trHeight w:val="213"/>
        </w:trPr>
        <w:tc>
          <w:tcPr>
            <w:tcW w:w="5880" w:type="dxa"/>
            <w:vAlign w:val="bottom"/>
          </w:tcPr>
          <w:p>
            <w:pPr>
              <w:ind w:left="168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1,739,208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1,597,848</w:t>
            </w:r>
          </w:p>
        </w:tc>
        <w:tc>
          <w:tcPr>
            <w:tcW w:w="1660" w:type="dxa"/>
            <w:vAlign w:val="bottom"/>
          </w:tcPr>
          <w:p>
            <w:pPr>
              <w:spacing w:after="0"/>
              <w:rPr>
                <w:sz w:val="18"/>
                <w:szCs w:val="18"/>
                <w:color w:val="auto"/>
              </w:rPr>
            </w:pPr>
          </w:p>
        </w:tc>
      </w:tr>
      <w:tr>
        <w:trPr>
          <w:trHeight w:val="219"/>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1,510,326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1,374,251</w:t>
            </w:r>
          </w:p>
        </w:tc>
        <w:tc>
          <w:tcPr>
            <w:tcW w:w="1660" w:type="dxa"/>
            <w:vAlign w:val="bottom"/>
            <w:shd w:val="clear" w:color="auto" w:fill="CCEEFF"/>
          </w:tcPr>
          <w:p>
            <w:pPr>
              <w:spacing w:after="0"/>
              <w:rPr>
                <w:sz w:val="19"/>
                <w:szCs w:val="19"/>
                <w:color w:val="auto"/>
              </w:rPr>
            </w:pPr>
          </w:p>
        </w:tc>
      </w:tr>
      <w:tr>
        <w:trPr>
          <w:trHeight w:val="206"/>
        </w:trPr>
        <w:tc>
          <w:tcPr>
            <w:tcW w:w="5880" w:type="dxa"/>
            <w:vAlign w:val="bottom"/>
          </w:tcPr>
          <w:p>
            <w:pPr>
              <w:ind w:left="1880"/>
              <w:spacing w:after="0"/>
              <w:rPr>
                <w:sz w:val="20"/>
                <w:szCs w:val="20"/>
                <w:color w:val="auto"/>
              </w:rPr>
            </w:pPr>
            <w:r>
              <w:rPr>
                <w:rFonts w:ascii="Arial" w:cs="Arial" w:eastAsia="Arial" w:hAnsi="Arial"/>
                <w:sz w:val="16"/>
                <w:szCs w:val="16"/>
                <w:color w:val="auto"/>
              </w:rPr>
              <w:t>Total commercial</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12,580,083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11,220,713</w:t>
            </w:r>
          </w:p>
        </w:tc>
        <w:tc>
          <w:tcPr>
            <w:tcW w:w="1660" w:type="dxa"/>
            <w:vAlign w:val="bottom"/>
          </w:tcPr>
          <w:p>
            <w:pPr>
              <w:spacing w:after="0"/>
              <w:rPr>
                <w:sz w:val="17"/>
                <w:szCs w:val="17"/>
                <w:color w:val="auto"/>
              </w:rPr>
            </w:pPr>
          </w:p>
        </w:tc>
      </w:tr>
      <w:tr>
        <w:trPr>
          <w:trHeight w:val="219"/>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2,355,061</w:t>
            </w:r>
          </w:p>
        </w:tc>
        <w:tc>
          <w:tcPr>
            <w:tcW w:w="1660" w:type="dxa"/>
            <w:vAlign w:val="bottom"/>
            <w:shd w:val="clear" w:color="auto" w:fill="CCEEFF"/>
          </w:tcPr>
          <w:p>
            <w:pPr>
              <w:spacing w:after="0"/>
              <w:rPr>
                <w:sz w:val="19"/>
                <w:szCs w:val="19"/>
                <w:color w:val="auto"/>
              </w:rPr>
            </w:pPr>
          </w:p>
        </w:tc>
      </w:tr>
      <w:tr>
        <w:trPr>
          <w:trHeight w:val="213"/>
        </w:trPr>
        <w:tc>
          <w:tcPr>
            <w:tcW w:w="5880" w:type="dxa"/>
            <w:vAlign w:val="bottom"/>
          </w:tcPr>
          <w:p>
            <w:pPr>
              <w:ind w:left="1680"/>
              <w:spacing w:after="0"/>
              <w:rPr>
                <w:sz w:val="20"/>
                <w:szCs w:val="20"/>
                <w:color w:val="auto"/>
              </w:rPr>
            </w:pPr>
            <w:r>
              <w:rPr>
                <w:rFonts w:ascii="Arial" w:cs="Arial" w:eastAsia="Arial" w:hAnsi="Arial"/>
                <w:sz w:val="16"/>
                <w:szCs w:val="16"/>
                <w:color w:val="auto"/>
              </w:rPr>
              <w:t>HELOC</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926,409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850,269</w:t>
            </w:r>
          </w:p>
        </w:tc>
        <w:tc>
          <w:tcPr>
            <w:tcW w:w="1660" w:type="dxa"/>
            <w:vAlign w:val="bottom"/>
          </w:tcPr>
          <w:p>
            <w:pPr>
              <w:spacing w:after="0"/>
              <w:rPr>
                <w:sz w:val="18"/>
                <w:szCs w:val="18"/>
                <w:color w:val="auto"/>
              </w:rPr>
            </w:pPr>
          </w:p>
        </w:tc>
      </w:tr>
      <w:tr>
        <w:trPr>
          <w:trHeight w:val="219"/>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442,553</w:t>
            </w:r>
          </w:p>
        </w:tc>
        <w:tc>
          <w:tcPr>
            <w:tcW w:w="1660" w:type="dxa"/>
            <w:vAlign w:val="bottom"/>
            <w:shd w:val="clear" w:color="auto" w:fill="CCEEFF"/>
          </w:tcPr>
          <w:p>
            <w:pPr>
              <w:spacing w:after="0"/>
              <w:rPr>
                <w:sz w:val="19"/>
                <w:szCs w:val="19"/>
                <w:color w:val="auto"/>
              </w:rPr>
            </w:pPr>
          </w:p>
        </w:tc>
      </w:tr>
      <w:tr>
        <w:trPr>
          <w:trHeight w:val="213"/>
        </w:trPr>
        <w:tc>
          <w:tcPr>
            <w:tcW w:w="5880" w:type="dxa"/>
            <w:vAlign w:val="bottom"/>
          </w:tcPr>
          <w:p>
            <w:pPr>
              <w:ind w:left="1680"/>
              <w:spacing w:after="0"/>
              <w:rPr>
                <w:sz w:val="20"/>
                <w:szCs w:val="20"/>
                <w:color w:val="auto"/>
              </w:rPr>
            </w:pPr>
            <w:r>
              <w:rPr>
                <w:rFonts w:ascii="Arial" w:cs="Arial" w:eastAsia="Arial" w:hAnsi="Arial"/>
                <w:sz w:val="16"/>
                <w:szCs w:val="16"/>
                <w:color w:val="auto"/>
              </w:rPr>
              <w:t>Manufactured housing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339,969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316,741</w:t>
            </w:r>
          </w:p>
        </w:tc>
        <w:tc>
          <w:tcPr>
            <w:tcW w:w="1660" w:type="dxa"/>
            <w:vAlign w:val="bottom"/>
          </w:tcPr>
          <w:p>
            <w:pPr>
              <w:spacing w:after="0"/>
              <w:rPr>
                <w:sz w:val="18"/>
                <w:szCs w:val="18"/>
                <w:color w:val="auto"/>
              </w:rPr>
            </w:pPr>
          </w:p>
        </w:tc>
      </w:tr>
      <w:tr>
        <w:trPr>
          <w:trHeight w:val="205"/>
        </w:trPr>
        <w:tc>
          <w:tcPr>
            <w:tcW w:w="58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149,290</w:t>
            </w:r>
          </w:p>
        </w:tc>
        <w:tc>
          <w:tcPr>
            <w:tcW w:w="1660" w:type="dxa"/>
            <w:vAlign w:val="bottom"/>
            <w:tcBorders>
              <w:bottom w:val="single" w:sz="8" w:color="CCEEFF"/>
            </w:tcBorders>
            <w:shd w:val="clear" w:color="auto" w:fill="CCEEFF"/>
          </w:tcPr>
          <w:p>
            <w:pPr>
              <w:spacing w:after="0"/>
              <w:rPr>
                <w:sz w:val="17"/>
                <w:szCs w:val="17"/>
                <w:color w:val="auto"/>
              </w:rPr>
            </w:pPr>
          </w:p>
        </w:tc>
      </w:tr>
      <w:tr>
        <w:trPr>
          <w:trHeight w:val="206"/>
        </w:trPr>
        <w:tc>
          <w:tcPr>
            <w:tcW w:w="5880" w:type="dxa"/>
            <w:vAlign w:val="bottom"/>
          </w:tcPr>
          <w:p>
            <w:pPr>
              <w:ind w:left="1880"/>
              <w:spacing w:after="0"/>
              <w:rPr>
                <w:sz w:val="20"/>
                <w:szCs w:val="20"/>
                <w:color w:val="auto"/>
              </w:rPr>
            </w:pPr>
            <w:r>
              <w:rPr>
                <w:rFonts w:ascii="Arial" w:cs="Arial" w:eastAsia="Arial" w:hAnsi="Arial"/>
                <w:sz w:val="16"/>
                <w:szCs w:val="16"/>
                <w:color w:val="auto"/>
              </w:rPr>
              <w:t>Total loans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17,394,845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15,334,627</w:t>
            </w:r>
          </w:p>
        </w:tc>
        <w:tc>
          <w:tcPr>
            <w:tcW w:w="1660" w:type="dxa"/>
            <w:vAlign w:val="bottom"/>
          </w:tcPr>
          <w:p>
            <w:pPr>
              <w:spacing w:after="0"/>
              <w:rPr>
                <w:sz w:val="17"/>
                <w:szCs w:val="17"/>
                <w:color w:val="auto"/>
              </w:rPr>
            </w:pPr>
          </w:p>
        </w:tc>
      </w:tr>
      <w:tr>
        <w:trPr>
          <w:trHeight w:val="216"/>
        </w:trPr>
        <w:tc>
          <w:tcPr>
            <w:tcW w:w="588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Less allowance for credit losses - loans</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(159,357)</w:t>
            </w:r>
          </w:p>
        </w:tc>
        <w:tc>
          <w:tcPr>
            <w:tcW w:w="1660" w:type="dxa"/>
            <w:vAlign w:val="bottom"/>
            <w:shd w:val="clear" w:color="auto" w:fill="CCEEFF"/>
          </w:tcPr>
          <w:p>
            <w:pPr>
              <w:spacing w:after="0"/>
              <w:rPr>
                <w:sz w:val="18"/>
                <w:szCs w:val="18"/>
                <w:color w:val="auto"/>
              </w:rPr>
            </w:pPr>
          </w:p>
        </w:tc>
      </w:tr>
      <w:tr>
        <w:trPr>
          <w:trHeight w:val="213"/>
        </w:trPr>
        <w:tc>
          <w:tcPr>
            <w:tcW w:w="5880" w:type="dxa"/>
            <w:vAlign w:val="bottom"/>
          </w:tcPr>
          <w:p>
            <w:pPr>
              <w:ind w:left="1880"/>
              <w:spacing w:after="0"/>
              <w:rPr>
                <w:sz w:val="20"/>
                <w:szCs w:val="20"/>
                <w:color w:val="auto"/>
              </w:rPr>
            </w:pPr>
            <w:r>
              <w:rPr>
                <w:rFonts w:ascii="Arial" w:cs="Arial" w:eastAsia="Arial" w:hAnsi="Arial"/>
                <w:sz w:val="16"/>
                <w:szCs w:val="16"/>
                <w:color w:val="auto"/>
              </w:rPr>
              <w:t>Loans,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17,204,140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15,175,270</w:t>
            </w:r>
          </w:p>
        </w:tc>
        <w:tc>
          <w:tcPr>
            <w:tcW w:w="16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Accrued interest receivable related to loans totaled $58.0 million and $52.0 million at June 30, 2023 and December 31, 2022, respectively, and was reported in other assets on the consolidated balance sheets. Accrued interest receivable was excluded from the estimate of credit losses.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and December 31, 2022, the loan portfolio was subject to blanket pledges on certain qualifying loan types with the FHLB and FRB to secure contingent funding sources.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following table presents the amortized cost of loans held for investment that were sold in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on these loan sales were included in noninterest income on the consolidated statements of income.</w:t>
      </w: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0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22,072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Equipment financing receivables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20,571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43,977</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42,643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June 30, 2023 and December 31, 2022, equipment financing receivables included leases of $59.8 million and $46.0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c>
          <w:tcPr>
            <w:tcW w:w="1620" w:type="dxa"/>
            <w:vAlign w:val="bottom"/>
            <w:tcBorders>
              <w:bottom w:val="single" w:sz="8" w:color="CCEEFF"/>
            </w:tcBorders>
          </w:tcPr>
          <w:p>
            <w:pPr>
              <w:spacing w:after="0"/>
              <w:rPr>
                <w:sz w:val="18"/>
                <w:szCs w:val="18"/>
                <w:color w:val="auto"/>
              </w:rPr>
            </w:pPr>
          </w:p>
        </w:tc>
      </w:tr>
      <w:tr>
        <w:trPr>
          <w:trHeight w:val="212"/>
        </w:trPr>
        <w:tc>
          <w:tcPr>
            <w:tcW w:w="578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49,723</w:t>
            </w:r>
          </w:p>
        </w:tc>
        <w:tc>
          <w:tcPr>
            <w:tcW w:w="1620" w:type="dxa"/>
            <w:vAlign w:val="bottom"/>
            <w:shd w:val="clear" w:color="auto" w:fill="CCEEFF"/>
          </w:tcPr>
          <w:p>
            <w:pPr>
              <w:spacing w:after="0"/>
              <w:rPr>
                <w:sz w:val="18"/>
                <w:szCs w:val="18"/>
                <w:color w:val="auto"/>
              </w:rPr>
            </w:pPr>
          </w:p>
        </w:tc>
      </w:tr>
      <w:tr>
        <w:trPr>
          <w:trHeight w:val="213"/>
        </w:trPr>
        <w:tc>
          <w:tcPr>
            <w:tcW w:w="5780" w:type="dxa"/>
            <w:vAlign w:val="bottom"/>
          </w:tcPr>
          <w:p>
            <w:pPr>
              <w:ind w:left="164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2,804</w:t>
            </w:r>
          </w:p>
        </w:tc>
        <w:tc>
          <w:tcPr>
            <w:tcW w:w="1620" w:type="dxa"/>
            <w:vAlign w:val="bottom"/>
          </w:tcPr>
          <w:p>
            <w:pPr>
              <w:spacing w:after="0"/>
              <w:rPr>
                <w:sz w:val="18"/>
                <w:szCs w:val="18"/>
                <w:color w:val="auto"/>
              </w:rPr>
            </w:pPr>
          </w:p>
        </w:tc>
      </w:tr>
      <w:tr>
        <w:trPr>
          <w:trHeight w:val="219"/>
        </w:trPr>
        <w:tc>
          <w:tcPr>
            <w:tcW w:w="578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Initial direct costs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620" w:type="dxa"/>
            <w:vAlign w:val="bottom"/>
            <w:shd w:val="clear" w:color="auto" w:fill="CCEEFF"/>
          </w:tcPr>
          <w:p>
            <w:pPr>
              <w:spacing w:after="0"/>
              <w:rPr>
                <w:sz w:val="19"/>
                <w:szCs w:val="19"/>
                <w:color w:val="auto"/>
              </w:rPr>
            </w:pPr>
          </w:p>
        </w:tc>
      </w:tr>
      <w:tr>
        <w:trPr>
          <w:trHeight w:val="213"/>
        </w:trPr>
        <w:tc>
          <w:tcPr>
            <w:tcW w:w="5780" w:type="dxa"/>
            <w:vAlign w:val="bottom"/>
          </w:tcPr>
          <w:p>
            <w:pPr>
              <w:ind w:left="164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(429)</w:t>
            </w:r>
          </w:p>
        </w:tc>
        <w:tc>
          <w:tcPr>
            <w:tcW w:w="1620" w:type="dxa"/>
            <w:vAlign w:val="bottom"/>
          </w:tcPr>
          <w:p>
            <w:pPr>
              <w:spacing w:after="0"/>
              <w:rPr>
                <w:sz w:val="18"/>
                <w:szCs w:val="18"/>
                <w:color w:val="auto"/>
              </w:rPr>
            </w:pPr>
          </w:p>
        </w:tc>
      </w:tr>
      <w:tr>
        <w:trPr>
          <w:trHeight w:val="216"/>
        </w:trPr>
        <w:tc>
          <w:tcPr>
            <w:tcW w:w="578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Unearned income</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1620" w:type="dxa"/>
            <w:vAlign w:val="bottom"/>
            <w:shd w:val="clear" w:color="auto" w:fill="CCEEFF"/>
          </w:tcPr>
          <w:p>
            <w:pPr>
              <w:spacing w:after="0"/>
              <w:rPr>
                <w:sz w:val="18"/>
                <w:szCs w:val="18"/>
                <w:color w:val="auto"/>
              </w:rPr>
            </w:pPr>
          </w:p>
        </w:tc>
      </w:tr>
      <w:tr>
        <w:trPr>
          <w:trHeight w:val="213"/>
        </w:trPr>
        <w:tc>
          <w:tcPr>
            <w:tcW w:w="5780" w:type="dxa"/>
            <w:vAlign w:val="bottom"/>
          </w:tcPr>
          <w:p>
            <w:pPr>
              <w:ind w:left="1840"/>
              <w:spacing w:after="0"/>
              <w:rPr>
                <w:sz w:val="20"/>
                <w:szCs w:val="20"/>
                <w:color w:val="auto"/>
              </w:rPr>
            </w:pPr>
            <w:r>
              <w:rPr>
                <w:rFonts w:ascii="Arial" w:cs="Arial" w:eastAsia="Arial" w:hAnsi="Arial"/>
                <w:sz w:val="16"/>
                <w:szCs w:val="16"/>
                <w:color w:val="auto"/>
              </w:rPr>
              <w:t>Net investment in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59,846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45,988</w:t>
            </w:r>
          </w:p>
        </w:tc>
        <w:tc>
          <w:tcPr>
            <w:tcW w:w="1620" w:type="dxa"/>
            <w:vAlign w:val="bottom"/>
          </w:tcPr>
          <w:p>
            <w:pPr>
              <w:spacing w:after="0"/>
              <w:rPr>
                <w:sz w:val="18"/>
                <w:szCs w:val="18"/>
                <w:color w:val="auto"/>
              </w:rPr>
            </w:pPr>
          </w:p>
        </w:tc>
      </w:tr>
      <w:tr>
        <w:trPr>
          <w:trHeight w:val="21"/>
        </w:trPr>
        <w:tc>
          <w:tcPr>
            <w:tcW w:w="5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Minimum future lease payments expected to be received from equipment financing lease contracts as of June 30, 2023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2023</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19,503</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15,648</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2026</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10,910</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2027</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2680" w:type="dxa"/>
            <w:vAlign w:val="bottom"/>
            <w:tcBorders>
              <w:bottom w:val="single" w:sz="8" w:color="CCEEFF"/>
            </w:tcBorders>
          </w:tcPr>
          <w:p>
            <w:pPr>
              <w:spacing w:after="0"/>
              <w:rPr>
                <w:sz w:val="18"/>
                <w:szCs w:val="18"/>
                <w:color w:val="auto"/>
              </w:rPr>
            </w:pPr>
          </w:p>
        </w:tc>
      </w:tr>
      <w:tr>
        <w:trPr>
          <w:trHeight w:val="238"/>
        </w:trPr>
        <w:tc>
          <w:tcPr>
            <w:tcW w:w="69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65,275</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the amortized cost basis in loans by aging category and accrual status as of the dates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Past due status is based on contractual terms of the loan. The accrual of interest is generally discontinued when a loan becomes 90 days past due.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Accruing</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9"/>
              </w:rPr>
              <w:t>Loans Past Due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Current Loans</w:t>
            </w: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7"/>
              </w:rPr>
              <w:t>30 - 59 Days</w:t>
            </w:r>
          </w:p>
        </w:tc>
        <w:tc>
          <w:tcPr>
            <w:tcW w:w="100" w:type="dxa"/>
            <w:vAlign w:val="bottom"/>
          </w:tcPr>
          <w:p>
            <w:pPr>
              <w:spacing w:after="0"/>
              <w:rPr>
                <w:sz w:val="16"/>
                <w:szCs w:val="16"/>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60 - 89 Days</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&gt; 90 Days</w:t>
            </w:r>
          </w:p>
        </w:tc>
        <w:tc>
          <w:tcPr>
            <w:tcW w:w="12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Nonaccrual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3,110,612</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3,636,300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3,669,746</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2,550,191</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1,738,394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1,739,208</w:t>
            </w: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1,494,296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1,510,326</w:t>
            </w:r>
          </w:p>
        </w:tc>
        <w:tc>
          <w:tcPr>
            <w:tcW w:w="0" w:type="dxa"/>
            <w:vAlign w:val="bottom"/>
          </w:tcPr>
          <w:p>
            <w:pPr>
              <w:spacing w:after="0"/>
              <w:rPr>
                <w:sz w:val="1"/>
                <w:szCs w:val="1"/>
                <w:color w:val="auto"/>
              </w:rPr>
            </w:pPr>
          </w:p>
        </w:tc>
      </w:tr>
      <w:tr>
        <w:trPr>
          <w:trHeight w:val="207"/>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12,491,461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75,940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12,580,083</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2,905,293</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921,413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926,409</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463,278</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320,342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339,969</w:t>
            </w: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179,813</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17,261,733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23,741</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102,619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17,394,845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2,734,666</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3,257,232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3,261,626</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2,252,322</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1,597,268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1,597,848</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1,374,251</w:t>
            </w:r>
          </w:p>
        </w:tc>
        <w:tc>
          <w:tcPr>
            <w:tcW w:w="0" w:type="dxa"/>
            <w:vAlign w:val="bottom"/>
          </w:tcPr>
          <w:p>
            <w:pPr>
              <w:spacing w:after="0"/>
              <w:rPr>
                <w:sz w:val="1"/>
                <w:szCs w:val="1"/>
                <w:color w:val="auto"/>
              </w:rPr>
            </w:pPr>
          </w:p>
        </w:tc>
      </w:tr>
      <w:tr>
        <w:trPr>
          <w:trHeight w:val="206"/>
        </w:trPr>
        <w:tc>
          <w:tcPr>
            <w:tcW w:w="4280" w:type="dxa"/>
            <w:vAlign w:val="bottom"/>
            <w:tcBorders>
              <w:top w:val="single" w:sz="8" w:color="CCEEFF"/>
            </w:tcBorders>
            <w:gridSpan w:val="2"/>
          </w:tcPr>
          <w:p>
            <w:pPr>
              <w:ind w:left="14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11,182,980</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10,010</w:t>
            </w: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3,268</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24,449</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11,220,713</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2,355,061</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844,888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850,269</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442,553</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316,741</w:t>
            </w: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149,290</w:t>
            </w:r>
          </w:p>
        </w:tc>
        <w:tc>
          <w:tcPr>
            <w:tcW w:w="0" w:type="dxa"/>
            <w:vAlign w:val="bottom"/>
          </w:tcPr>
          <w:p>
            <w:pPr>
              <w:spacing w:after="0"/>
              <w:rPr>
                <w:sz w:val="1"/>
                <w:szCs w:val="1"/>
                <w:color w:val="auto"/>
              </w:rPr>
            </w:pPr>
          </w:p>
        </w:tc>
      </w:tr>
      <w:tr>
        <w:trPr>
          <w:trHeight w:val="210"/>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15,263,066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21,828</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44,232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15,334,627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held for investment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June 30, 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With no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6"/>
              </w:rPr>
              <w:t>With an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allowance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allowance</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allowance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allowance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5,438</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63,749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Manufactured housing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6,518</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66,364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36,255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102,619</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21,048</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23,184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in this category are presently protected from apparent loss; however, weaknesses exist that could cause future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this system, loans that are on nonaccrual 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tables present the risk category of term loans and, for 2023, gross charge-offs by vintage year, which is the year of origination or most recent renewal, as of the date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gridSpan w:val="7"/>
          </w:tcPr>
          <w:p>
            <w:pPr>
              <w:ind w:left="60"/>
              <w:spacing w:after="0"/>
              <w:rPr>
                <w:sz w:val="20"/>
                <w:szCs w:val="20"/>
                <w:color w:val="auto"/>
              </w:rPr>
            </w:pPr>
            <w:r>
              <w:rPr>
                <w:rFonts w:ascii="Arial" w:cs="Arial" w:eastAsia="Arial" w:hAnsi="Arial"/>
                <w:sz w:val="13"/>
                <w:szCs w:val="13"/>
                <w:b w:val="1"/>
                <w:bCs w:val="1"/>
                <w:color w:val="auto"/>
                <w:w w:val="94"/>
              </w:rPr>
              <w:t>Term Loans by Origination Year</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90"/>
              </w:rPr>
              <w:t>Revolvers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800" w:type="dxa"/>
            <w:vAlign w:val="bottom"/>
            <w:gridSpan w:val="2"/>
            <w:vMerge w:val="restart"/>
          </w:tcPr>
          <w:p>
            <w:pPr>
              <w:jc w:val="center"/>
              <w:spacing w:after="0" w:line="131" w:lineRule="exact"/>
              <w:rPr>
                <w:sz w:val="20"/>
                <w:szCs w:val="20"/>
                <w:color w:val="auto"/>
              </w:rPr>
            </w:pPr>
            <w:r>
              <w:rPr>
                <w:rFonts w:ascii="Arial" w:cs="Arial" w:eastAsia="Arial" w:hAnsi="Arial"/>
                <w:sz w:val="13"/>
                <w:szCs w:val="13"/>
                <w:b w:val="1"/>
                <w:bCs w:val="1"/>
                <w:color w:val="auto"/>
                <w:w w:val="87"/>
              </w:rPr>
              <w:t>converted to</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9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auto"/>
                <w:w w:val="90"/>
              </w:rPr>
              <w:t>Revolvers</w:t>
            </w:r>
          </w:p>
        </w:tc>
        <w:tc>
          <w:tcPr>
            <w:tcW w:w="1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2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1"/>
              </w:rPr>
              <w:t>term loans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Owner occupied commercial real estate:</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359,037</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683,426</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650,179</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613,901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214,542</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372,915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114,607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18,740</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3,027,347</w:t>
            </w:r>
          </w:p>
        </w:tc>
        <w:tc>
          <w:tcPr>
            <w:tcW w:w="0" w:type="dxa"/>
            <w:vAlign w:val="bottom"/>
          </w:tcPr>
          <w:p>
            <w:pPr>
              <w:spacing w:after="0"/>
              <w:rPr>
                <w:sz w:val="1"/>
                <w:szCs w:val="1"/>
                <w:color w:val="auto"/>
              </w:rPr>
            </w:pPr>
          </w:p>
        </w:tc>
      </w:tr>
      <w:tr>
        <w:trPr>
          <w:trHeight w:val="183"/>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39,028</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9,471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44,237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owner occupied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364,128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697,446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666,242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628,265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226,464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387,646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21,749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3,110,612</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80" w:type="dxa"/>
            <w:vAlign w:val="bottom"/>
            <w:gridSpan w:val="2"/>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9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Income producing commercial real estate: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306,457</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828,657</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750,600</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763,295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271,098</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414,954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52,883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5,706</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3,393,650</w:t>
            </w: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152,911</w:t>
            </w:r>
          </w:p>
        </w:tc>
        <w:tc>
          <w:tcPr>
            <w:tcW w:w="0" w:type="dxa"/>
            <w:vAlign w:val="bottom"/>
          </w:tcPr>
          <w:p>
            <w:pPr>
              <w:spacing w:after="0"/>
              <w:rPr>
                <w:sz w:val="1"/>
                <w:szCs w:val="1"/>
                <w:color w:val="auto"/>
              </w:rPr>
            </w:pPr>
          </w:p>
        </w:tc>
      </w:tr>
      <w:tr>
        <w:trPr>
          <w:trHeight w:val="174"/>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22,314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33,196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17,216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31,738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123,185</w:t>
            </w:r>
          </w:p>
        </w:tc>
        <w:tc>
          <w:tcPr>
            <w:tcW w:w="0" w:type="dxa"/>
            <w:vAlign w:val="bottom"/>
          </w:tcPr>
          <w:p>
            <w:pPr>
              <w:spacing w:after="0"/>
              <w:rPr>
                <w:sz w:val="1"/>
                <w:szCs w:val="1"/>
                <w:color w:val="auto"/>
              </w:rPr>
            </w:pPr>
          </w:p>
        </w:tc>
      </w:tr>
      <w:tr>
        <w:trPr>
          <w:trHeight w:val="204"/>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income producing commercial real estate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387,561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883,953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772,909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794,864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320,145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451,666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3,669,746</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gridSpan w:val="2"/>
          </w:tcPr>
          <w:p>
            <w:pPr>
              <w:jc w:val="right"/>
              <w:ind w:right="1260"/>
              <w:spacing w:after="0" w:line="149" w:lineRule="exact"/>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3,033</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1,781</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4,814</w:t>
            </w: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&amp; industrial</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391,898</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545,473</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366,189</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159,719</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121,611</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184,837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600,042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15,490</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2,385,259</w:t>
            </w:r>
          </w:p>
        </w:tc>
        <w:tc>
          <w:tcPr>
            <w:tcW w:w="0" w:type="dxa"/>
            <w:vAlign w:val="bottom"/>
          </w:tcPr>
          <w:p>
            <w:pPr>
              <w:spacing w:after="0"/>
              <w:rPr>
                <w:sz w:val="1"/>
                <w:szCs w:val="1"/>
                <w:color w:val="auto"/>
              </w:rPr>
            </w:pPr>
          </w:p>
        </w:tc>
      </w:tr>
      <w:tr>
        <w:trPr>
          <w:trHeight w:val="183"/>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25,268</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21,254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139,664</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gridSpan w:val="2"/>
            <w:shd w:val="clear" w:color="auto" w:fill="CCEEFF"/>
          </w:tcPr>
          <w:p>
            <w:pPr>
              <w:jc w:val="right"/>
              <w:ind w:right="1280"/>
              <w:spacing w:after="0"/>
              <w:rPr>
                <w:sz w:val="20"/>
                <w:szCs w:val="20"/>
                <w:color w:val="auto"/>
              </w:rPr>
            </w:pPr>
            <w:r>
              <w:rPr>
                <w:rFonts w:ascii="Arial" w:cs="Arial" w:eastAsia="Arial" w:hAnsi="Arial"/>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413,361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555,545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409,496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174,008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125,963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664,762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2,550,191</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80" w:type="dxa"/>
            <w:vAlign w:val="bottom"/>
            <w:gridSpan w:val="2"/>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1,330</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1,132</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1,506</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4,651</w:t>
            </w:r>
          </w:p>
        </w:tc>
        <w:tc>
          <w:tcPr>
            <w:tcW w:w="0" w:type="dxa"/>
            <w:vAlign w:val="bottom"/>
          </w:tcPr>
          <w:p>
            <w:pPr>
              <w:spacing w:after="0"/>
              <w:rPr>
                <w:sz w:val="1"/>
                <w:szCs w:val="1"/>
                <w:color w:val="auto"/>
              </w:rPr>
            </w:pPr>
          </w:p>
        </w:tc>
      </w:tr>
      <w:tr>
        <w:trPr>
          <w:trHeight w:val="18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construction</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347,916</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660,378</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383,957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192,245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58,733</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31,262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56,057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1,077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1,731,625</w:t>
            </w:r>
          </w:p>
        </w:tc>
        <w:tc>
          <w:tcPr>
            <w:tcW w:w="0" w:type="dxa"/>
            <w:vAlign w:val="bottom"/>
          </w:tcPr>
          <w:p>
            <w:pPr>
              <w:spacing w:after="0"/>
              <w:rPr>
                <w:sz w:val="1"/>
                <w:szCs w:val="1"/>
                <w:color w:val="auto"/>
              </w:rPr>
            </w:pPr>
          </w:p>
        </w:tc>
      </w:tr>
      <w:tr>
        <w:trPr>
          <w:trHeight w:val="197"/>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7,310</w:t>
            </w:r>
          </w:p>
        </w:tc>
        <w:tc>
          <w:tcPr>
            <w:tcW w:w="0" w:type="dxa"/>
            <w:vAlign w:val="bottom"/>
          </w:tcPr>
          <w:p>
            <w:pPr>
              <w:spacing w:after="0"/>
              <w:rPr>
                <w:sz w:val="1"/>
                <w:szCs w:val="1"/>
                <w:color w:val="auto"/>
              </w:rPr>
            </w:pPr>
          </w:p>
        </w:tc>
      </w:tr>
      <w:tr>
        <w:trPr>
          <w:trHeight w:val="204"/>
        </w:trPr>
        <w:tc>
          <w:tcPr>
            <w:tcW w:w="3080" w:type="dxa"/>
            <w:vAlign w:val="bottom"/>
            <w:tcBorders>
              <w:bottom w:val="single" w:sz="8" w:color="CCEEFF"/>
            </w:tcBorders>
            <w:gridSpan w:val="2"/>
            <w:shd w:val="clear" w:color="auto" w:fill="CCEEFF"/>
          </w:tcPr>
          <w:p>
            <w:pPr>
              <w:jc w:val="right"/>
              <w:ind w:right="1260"/>
              <w:spacing w:after="0"/>
              <w:rPr>
                <w:sz w:val="20"/>
                <w:szCs w:val="20"/>
                <w:color w:val="auto"/>
              </w:rPr>
            </w:pPr>
            <w:r>
              <w:rPr>
                <w:rFonts w:ascii="Arial" w:cs="Arial" w:eastAsia="Arial" w:hAnsi="Arial"/>
                <w:sz w:val="13"/>
                <w:szCs w:val="13"/>
                <w:color w:val="auto"/>
              </w:rPr>
              <w:t>Total commercial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348,168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665,054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384,020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194,496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58,734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1,739,208</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gridSpan w:val="2"/>
          </w:tcPr>
          <w:p>
            <w:pPr>
              <w:jc w:val="right"/>
              <w:ind w:right="1260"/>
              <w:spacing w:after="0" w:line="149" w:lineRule="exact"/>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Equipment financing:</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422,344</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589,302</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299,127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117,201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61,859</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9,413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1,499,246</w:t>
            </w:r>
          </w:p>
        </w:tc>
        <w:tc>
          <w:tcPr>
            <w:tcW w:w="0" w:type="dxa"/>
            <w:vAlign w:val="bottom"/>
          </w:tcPr>
          <w:p>
            <w:pPr>
              <w:spacing w:after="0"/>
              <w:rPr>
                <w:sz w:val="1"/>
                <w:szCs w:val="1"/>
                <w:color w:val="auto"/>
              </w:rPr>
            </w:pPr>
          </w:p>
        </w:tc>
      </w:tr>
      <w:tr>
        <w:trPr>
          <w:trHeight w:val="182"/>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11,080</w:t>
            </w:r>
          </w:p>
        </w:tc>
        <w:tc>
          <w:tcPr>
            <w:tcW w:w="0" w:type="dxa"/>
            <w:vAlign w:val="bottom"/>
          </w:tcPr>
          <w:p>
            <w:pPr>
              <w:spacing w:after="0"/>
              <w:rPr>
                <w:sz w:val="1"/>
                <w:szCs w:val="1"/>
                <w:color w:val="auto"/>
              </w:rPr>
            </w:pPr>
          </w:p>
        </w:tc>
      </w:tr>
      <w:tr>
        <w:trPr>
          <w:trHeight w:val="170"/>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equipment financing</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423,186</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593,799</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302,702</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118,310</w:t>
            </w: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62,833</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9,496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1,510,326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shd w:val="clear" w:color="auto" w:fill="CCEEFF"/>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7,779</w:t>
            </w:r>
          </w:p>
        </w:tc>
        <w:tc>
          <w:tcPr>
            <w:tcW w:w="0" w:type="dxa"/>
            <w:vAlign w:val="bottom"/>
          </w:tcPr>
          <w:p>
            <w:pPr>
              <w:spacing w:after="0"/>
              <w:rPr>
                <w:sz w:val="1"/>
                <w:szCs w:val="1"/>
                <w:color w:val="auto"/>
              </w:rPr>
            </w:pPr>
          </w:p>
        </w:tc>
      </w:tr>
      <w:tr>
        <w:trPr>
          <w:trHeight w:val="181"/>
        </w:trPr>
        <w:tc>
          <w:tcPr>
            <w:tcW w:w="308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 mortgage: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446,768</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988,186</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758,310</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90,331</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2,891,649</w:t>
            </w:r>
          </w:p>
        </w:tc>
        <w:tc>
          <w:tcPr>
            <w:tcW w:w="0" w:type="dxa"/>
            <w:vAlign w:val="bottom"/>
          </w:tcPr>
          <w:p>
            <w:pPr>
              <w:spacing w:after="0"/>
              <w:rPr>
                <w:sz w:val="1"/>
                <w:szCs w:val="1"/>
                <w:color w:val="auto"/>
              </w:rPr>
            </w:pPr>
          </w:p>
        </w:tc>
      </w:tr>
      <w:tr>
        <w:trPr>
          <w:trHeight w:val="188"/>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13,644</w:t>
            </w:r>
          </w:p>
        </w:tc>
        <w:tc>
          <w:tcPr>
            <w:tcW w:w="0" w:type="dxa"/>
            <w:vAlign w:val="bottom"/>
          </w:tcPr>
          <w:p>
            <w:pPr>
              <w:spacing w:after="0"/>
              <w:rPr>
                <w:sz w:val="1"/>
                <w:szCs w:val="1"/>
                <w:color w:val="auto"/>
              </w:rPr>
            </w:pPr>
          </w:p>
        </w:tc>
      </w:tr>
      <w:tr>
        <w:trPr>
          <w:trHeight w:val="204"/>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residential mortgage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446,982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989,691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759,990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338,268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274,204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2,905,293</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gridSpan w:val="2"/>
          </w:tcPr>
          <w:p>
            <w:pPr>
              <w:jc w:val="right"/>
              <w:ind w:right="1260"/>
              <w:spacing w:after="0" w:line="149" w:lineRule="exact"/>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23</w:t>
            </w:r>
          </w:p>
        </w:tc>
        <w:tc>
          <w:tcPr>
            <w:tcW w:w="30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22</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Home equity lines of credit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897,097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26,231</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923,328</w:t>
            </w:r>
          </w:p>
        </w:tc>
        <w:tc>
          <w:tcPr>
            <w:tcW w:w="0" w:type="dxa"/>
            <w:vAlign w:val="bottom"/>
          </w:tcPr>
          <w:p>
            <w:pPr>
              <w:spacing w:after="0"/>
              <w:rPr>
                <w:sz w:val="1"/>
                <w:szCs w:val="1"/>
                <w:color w:val="auto"/>
              </w:rPr>
            </w:pPr>
          </w:p>
        </w:tc>
      </w:tr>
      <w:tr>
        <w:trPr>
          <w:trHeight w:val="182"/>
        </w:trPr>
        <w:tc>
          <w:tcPr>
            <w:tcW w:w="3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3,081</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home equity lines of credit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897,097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29,312</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926,409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shd w:val="clear" w:color="auto" w:fill="CCEEFF"/>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74"/>
        </w:trPr>
        <w:tc>
          <w:tcPr>
            <w:tcW w:w="3080" w:type="dxa"/>
            <w:vAlign w:val="bottom"/>
            <w:gridSpan w:val="2"/>
          </w:tcPr>
          <w:p>
            <w:pPr>
              <w:ind w:left="20"/>
              <w:spacing w:after="0"/>
              <w:rPr>
                <w:sz w:val="20"/>
                <w:szCs w:val="20"/>
                <w:color w:val="auto"/>
              </w:rPr>
            </w:pPr>
            <w:r>
              <w:rPr>
                <w:rFonts w:ascii="Arial" w:cs="Arial" w:eastAsia="Arial" w:hAnsi="Arial"/>
                <w:sz w:val="13"/>
                <w:szCs w:val="13"/>
                <w:b w:val="1"/>
                <w:bCs w:val="1"/>
                <w:color w:val="auto"/>
              </w:rPr>
              <w:t>Residential construction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174,579</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239,543</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32,086</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461,148</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2,130</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residential construction</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174,803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463,278</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80" w:type="dxa"/>
            <w:vAlign w:val="bottom"/>
            <w:gridSpan w:val="2"/>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637</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9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Manufactured housing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35,151</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74,072</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52,438</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46,466</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33,278</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86,573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327,978</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11,991</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consumer</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35,411</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77,376</w:t>
            </w:r>
          </w:p>
        </w:tc>
        <w:tc>
          <w:tcPr>
            <w:tcW w:w="30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54,547</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48,168</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34,368</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90,099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339,969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80" w:type="dxa"/>
            <w:vAlign w:val="bottom"/>
            <w:gridSpan w:val="2"/>
            <w:shd w:val="clear" w:color="auto" w:fill="CCEEFF"/>
          </w:tcPr>
          <w:p>
            <w:pPr>
              <w:jc w:val="right"/>
              <w:ind w:right="1260"/>
              <w:spacing w:after="0"/>
              <w:rPr>
                <w:sz w:val="20"/>
                <w:szCs w:val="20"/>
                <w:color w:val="auto"/>
              </w:rPr>
            </w:pPr>
            <w:r>
              <w:rPr>
                <w:rFonts w:ascii="Arial" w:cs="Arial" w:eastAsia="Arial" w:hAnsi="Arial"/>
                <w:sz w:val="13"/>
                <w:szCs w:val="13"/>
                <w:color w:val="auto"/>
                <w:w w:val="96"/>
              </w:rPr>
              <w:t>Current period gross charge-offs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0" w:type="dxa"/>
            <w:vAlign w:val="bottom"/>
          </w:tcPr>
          <w:p>
            <w:pPr>
              <w:spacing w:after="0"/>
              <w:rPr>
                <w:sz w:val="1"/>
                <w:szCs w:val="1"/>
                <w:color w:val="auto"/>
              </w:rPr>
            </w:pPr>
          </w:p>
        </w:tc>
      </w:tr>
      <w:tr>
        <w:trPr>
          <w:trHeight w:val="181"/>
        </w:trPr>
        <w:tc>
          <w:tcPr>
            <w:tcW w:w="308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57,267</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53,898</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25,280</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28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179,703</w:t>
            </w:r>
          </w:p>
        </w:tc>
        <w:tc>
          <w:tcPr>
            <w:tcW w:w="0" w:type="dxa"/>
            <w:vAlign w:val="bottom"/>
          </w:tcPr>
          <w:p>
            <w:pPr>
              <w:spacing w:after="0"/>
              <w:rPr>
                <w:sz w:val="1"/>
                <w:szCs w:val="1"/>
                <w:color w:val="auto"/>
              </w:rPr>
            </w:pPr>
          </w:p>
        </w:tc>
      </w:tr>
      <w:tr>
        <w:trPr>
          <w:trHeight w:val="188"/>
        </w:trPr>
        <w:tc>
          <w:tcPr>
            <w:tcW w:w="3080" w:type="dxa"/>
            <w:vAlign w:val="bottom"/>
            <w:gridSpan w:val="2"/>
          </w:tcPr>
          <w:p>
            <w:pPr>
              <w:ind w:left="140"/>
              <w:spacing w:after="0"/>
              <w:rPr>
                <w:sz w:val="20"/>
                <w:szCs w:val="20"/>
                <w:color w:val="auto"/>
              </w:rPr>
            </w:pPr>
            <w:r>
              <w:rPr>
                <w:rFonts w:ascii="Arial" w:cs="Arial" w:eastAsia="Arial" w:hAnsi="Arial"/>
                <w:sz w:val="13"/>
                <w:szCs w:val="13"/>
                <w:color w:val="auto"/>
              </w:rPr>
              <w:t>Substandard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4"/>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Total consumer</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57,267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53,899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179,813</w:t>
            </w: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80" w:type="dxa"/>
            <w:vAlign w:val="bottom"/>
            <w:gridSpan w:val="2"/>
          </w:tcPr>
          <w:p>
            <w:pPr>
              <w:jc w:val="right"/>
              <w:ind w:right="1260"/>
              <w:spacing w:after="0" w:line="147" w:lineRule="exact"/>
              <w:rPr>
                <w:sz w:val="20"/>
                <w:szCs w:val="20"/>
                <w:color w:val="auto"/>
              </w:rPr>
            </w:pPr>
            <w:r>
              <w:rPr>
                <w:rFonts w:ascii="Arial" w:cs="Arial" w:eastAsia="Arial" w:hAnsi="Arial"/>
                <w:sz w:val="13"/>
                <w:szCs w:val="13"/>
                <w:color w:val="auto"/>
                <w:w w:val="96"/>
              </w:rPr>
              <w:t>Current period gross charge-offs</w:t>
            </w: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1,838</w:t>
            </w:r>
          </w:p>
        </w:tc>
        <w:tc>
          <w:tcPr>
            <w:tcW w:w="30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103</w:t>
            </w:r>
          </w:p>
        </w:tc>
        <w:tc>
          <w:tcPr>
            <w:tcW w:w="30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3"/>
                <w:szCs w:val="13"/>
                <w:color w:val="auto"/>
              </w:rPr>
              <w:t>62</w:t>
            </w:r>
          </w:p>
        </w:tc>
        <w:tc>
          <w:tcPr>
            <w:tcW w:w="28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13</w:t>
            </w:r>
          </w:p>
        </w:tc>
        <w:tc>
          <w:tcPr>
            <w:tcW w:w="280" w:type="dxa"/>
            <w:vAlign w:val="bottom"/>
            <w:gridSpan w:val="2"/>
          </w:tcPr>
          <w:p>
            <w:pPr>
              <w:jc w:val="right"/>
              <w:ind w:right="35"/>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1</w:t>
            </w:r>
          </w:p>
        </w:tc>
        <w:tc>
          <w:tcPr>
            <w:tcW w:w="2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2</w:t>
            </w:r>
          </w:p>
        </w:tc>
        <w:tc>
          <w:tcPr>
            <w:tcW w:w="2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3"/>
                <w:szCs w:val="13"/>
                <w:color w:val="auto"/>
              </w:rPr>
              <w:t>101</w:t>
            </w:r>
          </w:p>
        </w:tc>
        <w:tc>
          <w:tcPr>
            <w:tcW w:w="280" w:type="dxa"/>
            <w:vAlign w:val="bottom"/>
            <w:gridSpan w:val="2"/>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Term Loans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Revolvers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0"/>
              </w:rPr>
              <w:t>converted to</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9"/>
              </w:rPr>
              <w:t>Revolvers</w:t>
            </w:r>
          </w:p>
        </w:tc>
        <w:tc>
          <w:tcPr>
            <w:tcW w:w="1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669,451</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671,395</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611,900</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204,990</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127,738</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253,890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114,975</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5,779</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2,660,118</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6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Income producing commercial</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812,804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753,936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733,946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248,259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171,108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3,035,517</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535,594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388,851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186,292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134,789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119,547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71,503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670,161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2,122,617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732,147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391,963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256,087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78,778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11,977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1,563,177</w:t>
            </w:r>
          </w:p>
        </w:tc>
        <w:tc>
          <w:tcPr>
            <w:tcW w:w="0" w:type="dxa"/>
            <w:vAlign w:val="bottom"/>
          </w:tcPr>
          <w:p>
            <w:pPr>
              <w:spacing w:after="0"/>
              <w:rPr>
                <w:sz w:val="1"/>
                <w:szCs w:val="1"/>
                <w:color w:val="auto"/>
              </w:rPr>
            </w:pPr>
          </w:p>
        </w:tc>
      </w:tr>
      <w:tr>
        <w:trPr>
          <w:trHeight w:val="186"/>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714,044</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374,030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162,463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93,690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22,753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1,368,194</w:t>
            </w:r>
          </w:p>
        </w:tc>
        <w:tc>
          <w:tcPr>
            <w:tcW w:w="0" w:type="dxa"/>
            <w:vAlign w:val="bottom"/>
          </w:tcPr>
          <w:p>
            <w:pPr>
              <w:spacing w:after="0"/>
              <w:rPr>
                <w:sz w:val="1"/>
                <w:szCs w:val="1"/>
                <w:color w:val="auto"/>
              </w:rPr>
            </w:pPr>
          </w:p>
        </w:tc>
      </w:tr>
      <w:tr>
        <w:trPr>
          <w:trHeight w:val="179"/>
        </w:trPr>
        <w:tc>
          <w:tcPr>
            <w:tcW w:w="22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3,464,040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2,580,175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1,950,688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760,506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453,123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602,065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905,981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10,749,623</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894,960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742,821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91,300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55,785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2,341,615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848,101</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344,443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82,289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442,077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Manufactured housing</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78,097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54,976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48,908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34,836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31,060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309,025</w:t>
            </w:r>
          </w:p>
        </w:tc>
        <w:tc>
          <w:tcPr>
            <w:tcW w:w="0" w:type="dxa"/>
            <w:vAlign w:val="bottom"/>
          </w:tcPr>
          <w:p>
            <w:pPr>
              <w:spacing w:after="0"/>
              <w:rPr>
                <w:sz w:val="1"/>
                <w:szCs w:val="1"/>
                <w:color w:val="auto"/>
              </w:rPr>
            </w:pPr>
          </w:p>
        </w:tc>
      </w:tr>
      <w:tr>
        <w:trPr>
          <w:trHeight w:val="186"/>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71,899</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3,987</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1,837</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149,128</w:t>
            </w:r>
          </w:p>
        </w:tc>
        <w:tc>
          <w:tcPr>
            <w:tcW w:w="0" w:type="dxa"/>
            <w:vAlign w:val="bottom"/>
          </w:tcPr>
          <w:p>
            <w:pPr>
              <w:spacing w:after="0"/>
              <w:rPr>
                <w:sz w:val="1"/>
                <w:szCs w:val="1"/>
                <w:color w:val="auto"/>
              </w:rPr>
            </w:pPr>
          </w:p>
        </w:tc>
      </w:tr>
      <w:tr>
        <w:trPr>
          <w:trHeight w:val="204"/>
        </w:trPr>
        <w:tc>
          <w:tcPr>
            <w:tcW w:w="2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4,853,439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3,489,583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2,349,242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892,371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543,350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895,196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1,756,105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14,839,569</w:t>
            </w:r>
          </w:p>
        </w:tc>
        <w:tc>
          <w:tcPr>
            <w:tcW w:w="0" w:type="dxa"/>
            <w:vAlign w:val="bottom"/>
          </w:tcPr>
          <w:p>
            <w:pPr>
              <w:spacing w:after="0"/>
              <w:rPr>
                <w:sz w:val="1"/>
                <w:szCs w:val="1"/>
                <w:color w:val="auto"/>
              </w:rPr>
            </w:pPr>
          </w:p>
        </w:tc>
      </w:tr>
      <w:tr>
        <w:trPr>
          <w:trHeight w:val="181"/>
        </w:trPr>
        <w:tc>
          <w:tcPr>
            <w:tcW w:w="2260" w:type="dxa"/>
            <w:vAlign w:val="bottom"/>
            <w:tcBorders>
              <w:top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6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Owner occupied commercial real</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estate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44,194</w:t>
            </w:r>
          </w:p>
        </w:tc>
        <w:tc>
          <w:tcPr>
            <w:tcW w:w="0" w:type="dxa"/>
            <w:vAlign w:val="bottom"/>
          </w:tcPr>
          <w:p>
            <w:pPr>
              <w:spacing w:after="0"/>
              <w:rPr>
                <w:sz w:val="1"/>
                <w:szCs w:val="1"/>
                <w:color w:val="auto"/>
              </w:rPr>
            </w:pPr>
          </w:p>
        </w:tc>
      </w:tr>
      <w:tr>
        <w:trPr>
          <w:trHeight w:val="143"/>
        </w:trPr>
        <w:tc>
          <w:tcPr>
            <w:tcW w:w="226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Income producing commercial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41,423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32,821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21,647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142,685</w:t>
            </w: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&amp; industrial</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39,342</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Commercial construction</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13,237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4,891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20,679</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Equipment financing</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260" w:type="dxa"/>
            <w:vAlign w:val="bottom"/>
            <w:gridSpan w:val="2"/>
          </w:tcPr>
          <w:p>
            <w:pPr>
              <w:ind w:left="340"/>
              <w:spacing w:after="0"/>
              <w:rPr>
                <w:sz w:val="20"/>
                <w:szCs w:val="20"/>
                <w:color w:val="auto"/>
              </w:rPr>
            </w:pPr>
            <w:r>
              <w:rPr>
                <w:rFonts w:ascii="Arial" w:cs="Arial" w:eastAsia="Arial" w:hAnsi="Arial"/>
                <w:sz w:val="14"/>
                <w:szCs w:val="14"/>
                <w:color w:val="auto"/>
              </w:rPr>
              <w:t>Total commercial</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48,204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30,951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53,769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57,404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29,014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246,900</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Residential mortgage</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HELOC</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Residential construction</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Manufactured housing</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48,204</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30,951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53,769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57,404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29,014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246,900</w:t>
            </w:r>
          </w:p>
        </w:tc>
        <w:tc>
          <w:tcPr>
            <w:tcW w:w="0" w:type="dxa"/>
            <w:vAlign w:val="bottom"/>
          </w:tcPr>
          <w:p>
            <w:pPr>
              <w:spacing w:after="0"/>
              <w:rPr>
                <w:sz w:val="1"/>
                <w:szCs w:val="1"/>
                <w:color w:val="auto"/>
              </w:rPr>
            </w:pPr>
          </w:p>
        </w:tc>
      </w:tr>
      <w:tr>
        <w:trPr>
          <w:trHeight w:val="199"/>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9,835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2,873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4,490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1,204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30,354</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Income producing commercial</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52,384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4,180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13,209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83,424</w:t>
            </w:r>
          </w:p>
        </w:tc>
        <w:tc>
          <w:tcPr>
            <w:tcW w:w="0" w:type="dxa"/>
            <w:vAlign w:val="bottom"/>
          </w:tcPr>
          <w:p>
            <w:pPr>
              <w:spacing w:after="0"/>
              <w:rPr>
                <w:sz w:val="1"/>
                <w:szCs w:val="1"/>
                <w:color w:val="auto"/>
              </w:rPr>
            </w:pPr>
          </w:p>
        </w:tc>
      </w:tr>
      <w:tr>
        <w:trPr>
          <w:trHeight w:val="183"/>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10,431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90,363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3,876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13,992</w:t>
            </w:r>
          </w:p>
        </w:tc>
        <w:tc>
          <w:tcPr>
            <w:tcW w:w="0" w:type="dxa"/>
            <w:vAlign w:val="bottom"/>
          </w:tcPr>
          <w:p>
            <w:pPr>
              <w:spacing w:after="0"/>
              <w:rPr>
                <w:sz w:val="1"/>
                <w:szCs w:val="1"/>
                <w:color w:val="auto"/>
              </w:rPr>
            </w:pPr>
          </w:p>
        </w:tc>
      </w:tr>
      <w:tr>
        <w:trPr>
          <w:trHeight w:val="196"/>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74,408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13,934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29,544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39,542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0" w:type="dxa"/>
            <w:vAlign w:val="bottom"/>
          </w:tcPr>
          <w:p>
            <w:pPr>
              <w:spacing w:after="0"/>
              <w:rPr>
                <w:sz w:val="1"/>
                <w:szCs w:val="1"/>
                <w:color w:val="auto"/>
              </w:rPr>
            </w:pPr>
          </w:p>
        </w:tc>
      </w:tr>
      <w:tr>
        <w:trPr>
          <w:trHeight w:val="186"/>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2,589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82"/>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Manufactured housing</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0" w:type="dxa"/>
            <w:vAlign w:val="bottom"/>
          </w:tcPr>
          <w:p>
            <w:pPr>
              <w:spacing w:after="0"/>
              <w:rPr>
                <w:sz w:val="1"/>
                <w:szCs w:val="1"/>
                <w:color w:val="auto"/>
              </w:rPr>
            </w:pPr>
          </w:p>
        </w:tc>
      </w:tr>
      <w:tr>
        <w:trPr>
          <w:trHeight w:val="197"/>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Consumer</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76,785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25,647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16,781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33,349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248,158</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4,978,428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3,546,181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2,415,804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966,556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605,713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15,334,627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21" w:right="4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Modifications to Borrowers Experiencing Financial Difficulty</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period end amortized cost of loans modified under the terms of a FDM during the six months ended June 30, 2023 are presented in the following table </w:t>
      </w: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New FDMs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gridSpan w:val="10"/>
          </w:tcPr>
          <w:p>
            <w:pPr>
              <w:jc w:val="center"/>
              <w:ind w:right="48"/>
              <w:spacing w:after="0"/>
              <w:rPr>
                <w:sz w:val="20"/>
                <w:szCs w:val="20"/>
                <w:color w:val="auto"/>
              </w:rPr>
            </w:pPr>
            <w:r>
              <w:rPr>
                <w:rFonts w:ascii="Arial" w:cs="Arial" w:eastAsia="Arial" w:hAnsi="Arial"/>
                <w:sz w:val="14"/>
                <w:szCs w:val="14"/>
                <w:b w:val="1"/>
                <w:bCs w:val="1"/>
                <w:color w:val="auto"/>
                <w:w w:val="94"/>
              </w:rPr>
              <w:t>Post-Modification Amortized Cost by Type of Modification</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2"/>
              </w:rPr>
              <w:t>Extension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Payment Delay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w w:val="94"/>
              </w:rPr>
              <w:t>Rate Reduction &amp;</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Extension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Receivable</w:t>
            </w:r>
          </w:p>
        </w:tc>
        <w:tc>
          <w:tcPr>
            <w:tcW w:w="0" w:type="dxa"/>
            <w:vAlign w:val="bottom"/>
          </w:tcPr>
          <w:p>
            <w:pPr>
              <w:spacing w:after="0"/>
              <w:rPr>
                <w:sz w:val="1"/>
                <w:szCs w:val="1"/>
                <w:color w:val="auto"/>
              </w:rPr>
            </w:pPr>
          </w:p>
        </w:tc>
      </w:tr>
      <w:tr>
        <w:trPr>
          <w:trHeight w:val="18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38,138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center"/>
              <w:ind w:left="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21,202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59,340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6"/>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Commercial &amp; industrial</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32,235</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Equipment financing</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8,069</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Manufactured housing</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520" w:type="dxa"/>
            <w:vAlign w:val="bottom"/>
            <w:gridSpan w:val="2"/>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29,517</w:t>
            </w:r>
          </w:p>
        </w:tc>
        <w:tc>
          <w:tcPr>
            <w:tcW w:w="2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100,590</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Extensions for equipment financing FDMs typically consist of one or more three-month extensions beyond the original maturity date. For the remainder of extension FDMs occurring during the first six months of 2023, the weighted average extension granted was approximately eight months.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industrial payment delay FDMs include $22.7 million of loans in bankruptcy status. Excluding bankruptcy status loans, the remainder of FDMs in this category had a weighted average payment delay of approximately three months.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2023, FDMs categorized as rate reduction and extensions in the income producing commercial real estate category resulted in a decrease in weighted average interest rate of 57 basis points and extended the weighted average maturity by 3 years. Residential mortgage and manufactured housing FDMs resulted in a decrease in weighted average interest rate of 576 basis points and extended the weighted average maturity by 15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FDMs modified during 2023 that have subsequently defaulted under modified loan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both June 30, 2023 and December 31, 2022,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charge-off experience to produce an expected default rate, with the results subject to a floor. In the case of residential construction, commercial construction and multifamily loans (included in income producing commercial real estate), the expected default rate was adjusted by a model overlay based on expectations of future performance. For the second quarter of 2023, management applied qualitative factors to the model output for the residential mortgage, residential construction and income producing commercial real estate portfolios to account for observable differences in national economic trends reflected in the economic forecast that are not being observed at the same level of severity within United’s geographic footprint.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780" w:type="dxa"/>
            <w:vAlign w:val="bottom"/>
            <w:gridSpan w:val="2"/>
          </w:tcPr>
          <w:p>
            <w:pPr>
              <w:jc w:val="right"/>
              <w:spacing w:after="0" w:line="152" w:lineRule="exact"/>
              <w:rPr>
                <w:sz w:val="20"/>
                <w:szCs w:val="20"/>
                <w:color w:val="auto"/>
              </w:rPr>
            </w:pPr>
            <w:r>
              <w:rPr>
                <w:rFonts w:ascii="Arial" w:cs="Arial" w:eastAsia="Arial" w:hAnsi="Arial"/>
                <w:sz w:val="16"/>
                <w:szCs w:val="16"/>
                <w:b w:val="1"/>
                <w:bCs w:val="1"/>
                <w:color w:val="auto"/>
                <w:w w:val="89"/>
              </w:rPr>
              <w:t>Beginning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21"/>
              <w:spacing w:after="0" w:line="152" w:lineRule="exact"/>
              <w:rPr>
                <w:sz w:val="20"/>
                <w:szCs w:val="20"/>
                <w:color w:val="auto"/>
              </w:rPr>
            </w:pPr>
            <w:r>
              <w:rPr>
                <w:rFonts w:ascii="Arial" w:cs="Arial" w:eastAsia="Arial" w:hAnsi="Arial"/>
                <w:sz w:val="16"/>
                <w:szCs w:val="16"/>
                <w:b w:val="1"/>
                <w:bCs w:val="1"/>
                <w:color w:val="auto"/>
                <w:w w:val="85"/>
              </w:rPr>
              <w:t>Charge-</w:t>
            </w:r>
          </w:p>
        </w:tc>
        <w:tc>
          <w:tcPr>
            <w:tcW w:w="10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6"/>
              </w:rPr>
              <w:t>Recoveries</w:t>
            </w:r>
          </w:p>
        </w:tc>
        <w:tc>
          <w:tcPr>
            <w:tcW w:w="100" w:type="dxa"/>
            <w:vAlign w:val="bottom"/>
          </w:tcPr>
          <w:p>
            <w:pPr>
              <w:spacing w:after="0"/>
              <w:rPr>
                <w:sz w:val="13"/>
                <w:szCs w:val="13"/>
                <w:color w:val="auto"/>
              </w:rPr>
            </w:pPr>
          </w:p>
        </w:tc>
        <w:tc>
          <w:tcPr>
            <w:tcW w:w="760" w:type="dxa"/>
            <w:vAlign w:val="bottom"/>
            <w:gridSpan w:val="2"/>
          </w:tcPr>
          <w:p>
            <w:pPr>
              <w:jc w:val="right"/>
              <w:ind w:right="1"/>
              <w:spacing w:after="0" w:line="152" w:lineRule="exact"/>
              <w:rPr>
                <w:sz w:val="20"/>
                <w:szCs w:val="20"/>
                <w:color w:val="auto"/>
              </w:rPr>
            </w:pPr>
            <w:r>
              <w:rPr>
                <w:rFonts w:ascii="Arial" w:cs="Arial" w:eastAsia="Arial" w:hAnsi="Arial"/>
                <w:sz w:val="16"/>
                <w:szCs w:val="16"/>
                <w:b w:val="1"/>
                <w:bCs w:val="1"/>
                <w:color w:val="auto"/>
                <w:w w:val="92"/>
              </w:rPr>
              <w:t>(Release)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1"/>
              <w:spacing w:after="0" w:line="152" w:lineRule="exact"/>
              <w:rPr>
                <w:sz w:val="20"/>
                <w:szCs w:val="20"/>
                <w:color w:val="auto"/>
              </w:rPr>
            </w:pPr>
            <w:r>
              <w:rPr>
                <w:rFonts w:ascii="Arial" w:cs="Arial" w:eastAsia="Arial" w:hAnsi="Arial"/>
                <w:sz w:val="16"/>
                <w:szCs w:val="16"/>
                <w:b w:val="1"/>
                <w:bCs w:val="1"/>
                <w:color w:val="auto"/>
                <w:w w:val="95"/>
              </w:rPr>
              <w:t>Ending</w:t>
            </w:r>
          </w:p>
        </w:tc>
        <w:tc>
          <w:tcPr>
            <w:tcW w:w="80" w:type="dxa"/>
            <w:vAlign w:val="bottom"/>
          </w:tcPr>
          <w:p>
            <w:pPr>
              <w:spacing w:after="0"/>
              <w:rPr>
                <w:sz w:val="13"/>
                <w:szCs w:val="13"/>
                <w:color w:val="auto"/>
              </w:rPr>
            </w:pPr>
          </w:p>
        </w:tc>
        <w:tc>
          <w:tcPr>
            <w:tcW w:w="800" w:type="dxa"/>
            <w:vAlign w:val="bottom"/>
            <w:gridSpan w:val="2"/>
          </w:tcPr>
          <w:p>
            <w:pPr>
              <w:jc w:val="right"/>
              <w:spacing w:after="0" w:line="152" w:lineRule="exact"/>
              <w:rPr>
                <w:sz w:val="20"/>
                <w:szCs w:val="20"/>
                <w:color w:val="auto"/>
              </w:rPr>
            </w:pPr>
            <w:r>
              <w:rPr>
                <w:rFonts w:ascii="Arial" w:cs="Arial" w:eastAsia="Arial" w:hAnsi="Arial"/>
                <w:sz w:val="16"/>
                <w:szCs w:val="16"/>
                <w:b w:val="1"/>
                <w:bCs w:val="1"/>
                <w:color w:val="auto"/>
                <w:w w:val="91"/>
              </w:rPr>
              <w:t>Beginning</w:t>
            </w:r>
          </w:p>
        </w:tc>
        <w:tc>
          <w:tcPr>
            <w:tcW w:w="80" w:type="dxa"/>
            <w:vAlign w:val="bottom"/>
          </w:tcPr>
          <w:p>
            <w:pPr>
              <w:spacing w:after="0"/>
              <w:rPr>
                <w:sz w:val="13"/>
                <w:szCs w:val="13"/>
                <w:color w:val="auto"/>
              </w:rPr>
            </w:pPr>
          </w:p>
        </w:tc>
        <w:tc>
          <w:tcPr>
            <w:tcW w:w="720" w:type="dxa"/>
            <w:vAlign w:val="bottom"/>
            <w:gridSpan w:val="2"/>
          </w:tcPr>
          <w:p>
            <w:pPr>
              <w:jc w:val="right"/>
              <w:ind w:right="1"/>
              <w:spacing w:after="0" w:line="152" w:lineRule="exact"/>
              <w:rPr>
                <w:sz w:val="20"/>
                <w:szCs w:val="20"/>
                <w:color w:val="auto"/>
              </w:rPr>
            </w:pPr>
            <w:r>
              <w:rPr>
                <w:rFonts w:ascii="Arial" w:cs="Arial" w:eastAsia="Arial" w:hAnsi="Arial"/>
                <w:sz w:val="16"/>
                <w:szCs w:val="16"/>
                <w:b w:val="1"/>
                <w:bCs w:val="1"/>
                <w:color w:val="auto"/>
              </w:rPr>
              <w:t>Charge-</w:t>
            </w:r>
          </w:p>
        </w:tc>
        <w:tc>
          <w:tcPr>
            <w:tcW w:w="8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8"/>
              </w:rPr>
              <w:t>Recoveries</w:t>
            </w:r>
          </w:p>
        </w:tc>
        <w:tc>
          <w:tcPr>
            <w:tcW w:w="80" w:type="dxa"/>
            <w:vAlign w:val="bottom"/>
          </w:tcPr>
          <w:p>
            <w:pPr>
              <w:spacing w:after="0"/>
              <w:rPr>
                <w:sz w:val="13"/>
                <w:szCs w:val="13"/>
                <w:color w:val="auto"/>
              </w:rPr>
            </w:pPr>
          </w:p>
        </w:tc>
        <w:tc>
          <w:tcPr>
            <w:tcW w:w="780" w:type="dxa"/>
            <w:vAlign w:val="bottom"/>
            <w:gridSpan w:val="2"/>
          </w:tcPr>
          <w:p>
            <w:pPr>
              <w:jc w:val="right"/>
              <w:ind w:right="1"/>
              <w:spacing w:after="0" w:line="152" w:lineRule="exact"/>
              <w:rPr>
                <w:sz w:val="20"/>
                <w:szCs w:val="20"/>
                <w:color w:val="auto"/>
              </w:rPr>
            </w:pPr>
            <w:r>
              <w:rPr>
                <w:rFonts w:ascii="Arial" w:cs="Arial" w:eastAsia="Arial" w:hAnsi="Arial"/>
                <w:sz w:val="16"/>
                <w:szCs w:val="16"/>
                <w:b w:val="1"/>
                <w:bCs w:val="1"/>
                <w:color w:val="auto"/>
                <w:w w:val="95"/>
              </w:rPr>
              <w:t>(Release)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1"/>
              <w:spacing w:after="0" w:line="152" w:lineRule="exact"/>
              <w:rPr>
                <w:sz w:val="20"/>
                <w:szCs w:val="20"/>
                <w:color w:val="auto"/>
              </w:rPr>
            </w:pPr>
            <w:r>
              <w:rPr>
                <w:rFonts w:ascii="Arial" w:cs="Arial" w:eastAsia="Arial" w:hAnsi="Arial"/>
                <w:sz w:val="16"/>
                <w:szCs w:val="16"/>
                <w:b w:val="1"/>
                <w:bCs w:val="1"/>
                <w:color w:val="auto"/>
                <w:w w:val="95"/>
              </w:rPr>
              <w:t>Ending</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4"/>
              </w:rPr>
              <w:t>Balance</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Offs</w:t>
            </w:r>
          </w:p>
        </w:tc>
        <w:tc>
          <w:tcPr>
            <w:tcW w:w="100" w:type="dxa"/>
            <w:vAlign w:val="bottom"/>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Provision</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7"/>
              </w:rPr>
              <w:t>Balance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4"/>
              </w:rPr>
              <w:t>Balance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Offs</w:t>
            </w:r>
          </w:p>
        </w:tc>
        <w:tc>
          <w:tcPr>
            <w:tcW w:w="80" w:type="dxa"/>
            <w:vAlign w:val="bottom"/>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3"/>
              </w:rPr>
              <w:t>Provision</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7"/>
              </w:rPr>
              <w:t>Balance</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Owner occupied 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1,496</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16,774</w:t>
            </w:r>
          </w:p>
        </w:tc>
        <w:tc>
          <w:tcPr>
            <w:tcW w:w="0" w:type="dxa"/>
            <w:vAlign w:val="bottom"/>
          </w:tcPr>
          <w:p>
            <w:pPr>
              <w:spacing w:after="0"/>
              <w:rPr>
                <w:sz w:val="1"/>
                <w:szCs w:val="1"/>
                <w:color w:val="auto"/>
              </w:rPr>
            </w:pPr>
          </w:p>
        </w:tc>
      </w:tr>
      <w:tr>
        <w:trPr>
          <w:trHeight w:val="156"/>
        </w:trPr>
        <w:tc>
          <w:tcPr>
            <w:tcW w:w="2700" w:type="dxa"/>
            <w:vAlign w:val="bottom"/>
          </w:tcPr>
          <w:p>
            <w:pPr>
              <w:ind w:left="20"/>
              <w:spacing w:after="0" w:line="156" w:lineRule="exact"/>
              <w:rPr>
                <w:sz w:val="20"/>
                <w:szCs w:val="20"/>
                <w:color w:val="auto"/>
              </w:rPr>
            </w:pPr>
            <w:r>
              <w:rPr>
                <w:rFonts w:ascii="Arial" w:cs="Arial" w:eastAsia="Arial" w:hAnsi="Arial"/>
                <w:sz w:val="16"/>
                <w:szCs w:val="16"/>
                <w:color w:val="auto"/>
              </w:rPr>
              <w:t>Income producing commercial real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00" w:type="dxa"/>
            <w:vAlign w:val="bottom"/>
          </w:tcPr>
          <w:p>
            <w:pPr>
              <w:ind w:left="20"/>
              <w:spacing w:after="0"/>
              <w:rPr>
                <w:sz w:val="20"/>
                <w:szCs w:val="20"/>
                <w:color w:val="auto"/>
              </w:rPr>
            </w:pPr>
            <w:r>
              <w:rPr>
                <w:rFonts w:ascii="Arial" w:cs="Arial" w:eastAsia="Arial" w:hAnsi="Arial"/>
                <w:sz w:val="16"/>
                <w:szCs w:val="16"/>
                <w:color w:val="auto"/>
              </w:rPr>
              <w:t>estate</w:t>
            </w: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33,607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38,775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33,539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33,284</w:t>
            </w: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22,073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13,782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16,062</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24,082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14,964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17,035</w:t>
            </w: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0" w:type="dxa"/>
            <w:vAlign w:val="bottom"/>
          </w:tcPr>
          <w:p>
            <w:pPr>
              <w:spacing w:after="0"/>
              <w:rPr>
                <w:sz w:val="1"/>
                <w:szCs w:val="1"/>
                <w:color w:val="auto"/>
              </w:rPr>
            </w:pPr>
          </w:p>
        </w:tc>
      </w:tr>
      <w:tr>
        <w:trPr>
          <w:trHeight w:val="201"/>
        </w:trPr>
        <w:tc>
          <w:tcPr>
            <w:tcW w:w="270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3,446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1,929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Manufactured housing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6,614</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ACL - loans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176,534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132,805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136,925</w:t>
            </w:r>
          </w:p>
        </w:tc>
        <w:tc>
          <w:tcPr>
            <w:tcW w:w="0" w:type="dxa"/>
            <w:vAlign w:val="bottom"/>
          </w:tcPr>
          <w:p>
            <w:pPr>
              <w:spacing w:after="0"/>
              <w:rPr>
                <w:sz w:val="1"/>
                <w:szCs w:val="1"/>
                <w:color w:val="auto"/>
              </w:rPr>
            </w:pPr>
          </w:p>
        </w:tc>
      </w:tr>
      <w:tr>
        <w:trPr>
          <w:trHeight w:val="201"/>
        </w:trPr>
        <w:tc>
          <w:tcPr>
            <w:tcW w:w="2700" w:type="dxa"/>
            <w:vAlign w:val="bottom"/>
          </w:tcPr>
          <w:p>
            <w:pPr>
              <w:ind w:left="140"/>
              <w:spacing w:after="0"/>
              <w:rPr>
                <w:sz w:val="20"/>
                <w:szCs w:val="20"/>
                <w:color w:val="auto"/>
              </w:rPr>
            </w:pPr>
            <w:r>
              <w:rPr>
                <w:rFonts w:ascii="Arial" w:cs="Arial" w:eastAsia="Arial" w:hAnsi="Arial"/>
                <w:sz w:val="16"/>
                <w:szCs w:val="16"/>
                <w:color w:val="auto"/>
              </w:rPr>
              <w:t>ACL - unfunded commitments</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21,389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21,572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13,564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2,553</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16,117</w:t>
            </w: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ACL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197,923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(12,172)</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212,277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146,369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4,652</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8"/>
          </w:tcPr>
          <w:p>
            <w:pPr>
              <w:ind w:left="320"/>
              <w:spacing w:after="0"/>
              <w:rPr>
                <w:sz w:val="20"/>
                <w:szCs w:val="20"/>
                <w:color w:val="auto"/>
              </w:rPr>
            </w:pPr>
            <w:r>
              <w:rPr>
                <w:rFonts w:ascii="Arial" w:cs="Arial" w:eastAsia="Arial" w:hAnsi="Arial"/>
                <w:sz w:val="16"/>
                <w:szCs w:val="16"/>
                <w:b w:val="1"/>
                <w:bCs w:val="1"/>
                <w:color w:val="auto"/>
                <w:w w:val="89"/>
              </w:rPr>
              <w:t>Six Months Ended June 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43"/>
              <w:spacing w:after="0"/>
              <w:rPr>
                <w:sz w:val="20"/>
                <w:szCs w:val="20"/>
                <w:color w:val="auto"/>
              </w:rPr>
            </w:pPr>
            <w:r>
              <w:rPr>
                <w:rFonts w:ascii="Arial" w:cs="Arial" w:eastAsia="Arial" w:hAnsi="Arial"/>
                <w:sz w:val="16"/>
                <w:szCs w:val="16"/>
                <w:b w:val="1"/>
                <w:bCs w:val="1"/>
                <w:color w:val="auto"/>
              </w:rPr>
              <w:t>Initial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21"/>
              <w:spacing w:after="0" w:line="146" w:lineRule="exact"/>
              <w:rPr>
                <w:sz w:val="20"/>
                <w:szCs w:val="20"/>
                <w:color w:val="auto"/>
              </w:rPr>
            </w:pPr>
            <w:r>
              <w:rPr>
                <w:rFonts w:ascii="Arial" w:cs="Arial" w:eastAsia="Arial" w:hAnsi="Arial"/>
                <w:sz w:val="16"/>
                <w:szCs w:val="16"/>
                <w:b w:val="1"/>
                <w:bCs w:val="1"/>
                <w:color w:val="auto"/>
                <w:w w:val="95"/>
              </w:rPr>
              <w:t>Initial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restart"/>
          </w:tcPr>
          <w:p>
            <w:pPr>
              <w:jc w:val="center"/>
              <w:ind w:right="21"/>
              <w:spacing w:after="0" w:line="162" w:lineRule="exact"/>
              <w:rPr>
                <w:sz w:val="20"/>
                <w:szCs w:val="20"/>
                <w:color w:val="auto"/>
              </w:rPr>
            </w:pPr>
            <w:r>
              <w:rPr>
                <w:rFonts w:ascii="Arial" w:cs="Arial" w:eastAsia="Arial" w:hAnsi="Arial"/>
                <w:sz w:val="16"/>
                <w:szCs w:val="16"/>
                <w:b w:val="1"/>
                <w:bCs w:val="1"/>
                <w:color w:val="auto"/>
                <w:w w:val="93"/>
              </w:rPr>
              <w:t>ACL -</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jc w:val="center"/>
              <w:ind w:right="43"/>
              <w:spacing w:after="0" w:line="152" w:lineRule="exact"/>
              <w:rPr>
                <w:sz w:val="20"/>
                <w:szCs w:val="20"/>
                <w:color w:val="auto"/>
              </w:rPr>
            </w:pPr>
            <w:r>
              <w:rPr>
                <w:rFonts w:ascii="Arial" w:cs="Arial" w:eastAsia="Arial" w:hAnsi="Arial"/>
                <w:sz w:val="16"/>
                <w:szCs w:val="16"/>
                <w:b w:val="1"/>
                <w:bCs w:val="1"/>
                <w:color w:val="auto"/>
                <w:w w:val="98"/>
              </w:rPr>
              <w:t>ACL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720" w:type="dxa"/>
            <w:vAlign w:val="bottom"/>
            <w:gridSpan w:val="2"/>
            <w:vMerge w:val="restart"/>
          </w:tcPr>
          <w:p>
            <w:pPr>
              <w:ind w:left="20"/>
              <w:spacing w:after="0" w:line="161" w:lineRule="exact"/>
              <w:rPr>
                <w:sz w:val="20"/>
                <w:szCs w:val="20"/>
                <w:color w:val="auto"/>
              </w:rPr>
            </w:pPr>
            <w:r>
              <w:rPr>
                <w:rFonts w:ascii="Arial" w:cs="Arial" w:eastAsia="Arial" w:hAnsi="Arial"/>
                <w:sz w:val="16"/>
                <w:szCs w:val="16"/>
                <w:b w:val="1"/>
                <w:bCs w:val="1"/>
                <w:color w:val="auto"/>
                <w:w w:val="86"/>
              </w:rPr>
              <w:t>Beginning</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right"/>
              <w:spacing w:after="0" w:line="161" w:lineRule="exact"/>
              <w:rPr>
                <w:sz w:val="20"/>
                <w:szCs w:val="20"/>
                <w:color w:val="auto"/>
              </w:rPr>
            </w:pPr>
            <w:r>
              <w:rPr>
                <w:rFonts w:ascii="Arial" w:cs="Arial" w:eastAsia="Arial" w:hAnsi="Arial"/>
                <w:sz w:val="16"/>
                <w:szCs w:val="16"/>
                <w:b w:val="1"/>
                <w:bCs w:val="1"/>
                <w:color w:val="auto"/>
                <w:w w:val="95"/>
              </w:rPr>
              <w:t>Charge-</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w w:val="87"/>
              </w:rPr>
              <w:t>(Release)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jc w:val="right"/>
              <w:ind w:right="21"/>
              <w:spacing w:after="0" w:line="161" w:lineRule="exact"/>
              <w:rPr>
                <w:sz w:val="20"/>
                <w:szCs w:val="20"/>
                <w:color w:val="auto"/>
              </w:rPr>
            </w:pPr>
            <w:r>
              <w:rPr>
                <w:rFonts w:ascii="Arial" w:cs="Arial" w:eastAsia="Arial" w:hAnsi="Arial"/>
                <w:sz w:val="16"/>
                <w:szCs w:val="16"/>
                <w:b w:val="1"/>
                <w:bCs w:val="1"/>
                <w:color w:val="auto"/>
                <w:w w:val="88"/>
              </w:rPr>
              <w:t>Ending</w:t>
            </w:r>
          </w:p>
        </w:tc>
        <w:tc>
          <w:tcPr>
            <w:tcW w:w="80" w:type="dxa"/>
            <w:vAlign w:val="bottom"/>
          </w:tcPr>
          <w:p>
            <w:pPr>
              <w:spacing w:after="0"/>
              <w:rPr>
                <w:sz w:val="4"/>
                <w:szCs w:val="4"/>
                <w:color w:val="auto"/>
              </w:rPr>
            </w:pPr>
          </w:p>
        </w:tc>
        <w:tc>
          <w:tcPr>
            <w:tcW w:w="800" w:type="dxa"/>
            <w:vAlign w:val="bottom"/>
            <w:gridSpan w:val="3"/>
            <w:vMerge w:val="restart"/>
          </w:tcPr>
          <w:p>
            <w:pPr>
              <w:ind w:left="20"/>
              <w:spacing w:after="0" w:line="161" w:lineRule="exact"/>
              <w:rPr>
                <w:sz w:val="20"/>
                <w:szCs w:val="20"/>
                <w:color w:val="auto"/>
              </w:rPr>
            </w:pPr>
            <w:r>
              <w:rPr>
                <w:rFonts w:ascii="Arial" w:cs="Arial" w:eastAsia="Arial" w:hAnsi="Arial"/>
                <w:sz w:val="16"/>
                <w:szCs w:val="16"/>
                <w:b w:val="1"/>
                <w:bCs w:val="1"/>
                <w:color w:val="auto"/>
                <w:w w:val="97"/>
              </w:rPr>
              <w:t>Beginning</w:t>
            </w:r>
          </w:p>
        </w:tc>
        <w:tc>
          <w:tcPr>
            <w:tcW w:w="100" w:type="dxa"/>
            <w:vAlign w:val="bottom"/>
          </w:tcPr>
          <w:p>
            <w:pPr>
              <w:spacing w:after="0"/>
              <w:rPr>
                <w:sz w:val="4"/>
                <w:szCs w:val="4"/>
                <w:color w:val="auto"/>
              </w:rPr>
            </w:pPr>
          </w:p>
        </w:tc>
        <w:tc>
          <w:tcPr>
            <w:tcW w:w="540" w:type="dxa"/>
            <w:vAlign w:val="bottom"/>
            <w:vMerge w:val="restart"/>
          </w:tcPr>
          <w:p>
            <w:pPr>
              <w:jc w:val="center"/>
              <w:ind w:right="21"/>
              <w:spacing w:after="0" w:line="161" w:lineRule="exact"/>
              <w:rPr>
                <w:sz w:val="20"/>
                <w:szCs w:val="20"/>
                <w:color w:val="auto"/>
              </w:rPr>
            </w:pPr>
            <w:r>
              <w:rPr>
                <w:rFonts w:ascii="Arial" w:cs="Arial" w:eastAsia="Arial" w:hAnsi="Arial"/>
                <w:sz w:val="16"/>
                <w:szCs w:val="16"/>
                <w:b w:val="1"/>
                <w:bCs w:val="1"/>
                <w:color w:val="auto"/>
                <w:w w:val="94"/>
              </w:rPr>
              <w:t>PCD</w:t>
            </w:r>
          </w:p>
        </w:tc>
        <w:tc>
          <w:tcPr>
            <w:tcW w:w="80" w:type="dxa"/>
            <w:vAlign w:val="bottom"/>
          </w:tcPr>
          <w:p>
            <w:pPr>
              <w:spacing w:after="0"/>
              <w:rPr>
                <w:sz w:val="4"/>
                <w:szCs w:val="4"/>
                <w:color w:val="auto"/>
              </w:rPr>
            </w:pPr>
          </w:p>
        </w:tc>
        <w:tc>
          <w:tcPr>
            <w:tcW w:w="600" w:type="dxa"/>
            <w:vAlign w:val="bottom"/>
            <w:gridSpan w:val="2"/>
            <w:vMerge w:val="restart"/>
          </w:tcPr>
          <w:p>
            <w:pPr>
              <w:ind w:left="20"/>
              <w:spacing w:after="0" w:line="161" w:lineRule="exact"/>
              <w:rPr>
                <w:sz w:val="20"/>
                <w:szCs w:val="20"/>
                <w:color w:val="auto"/>
              </w:rPr>
            </w:pPr>
            <w:r>
              <w:rPr>
                <w:rFonts w:ascii="Arial" w:cs="Arial" w:eastAsia="Arial" w:hAnsi="Arial"/>
                <w:sz w:val="16"/>
                <w:szCs w:val="16"/>
                <w:b w:val="1"/>
                <w:bCs w:val="1"/>
                <w:color w:val="auto"/>
                <w:w w:val="92"/>
              </w:rPr>
              <w:t>Charge-</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w w:val="89"/>
              </w:rPr>
              <w:t>(Release)</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jc w:val="right"/>
              <w:ind w:right="21"/>
              <w:spacing w:after="0" w:line="161" w:lineRule="exact"/>
              <w:rPr>
                <w:sz w:val="20"/>
                <w:szCs w:val="20"/>
                <w:color w:val="auto"/>
              </w:rPr>
            </w:pPr>
            <w:r>
              <w:rPr>
                <w:rFonts w:ascii="Arial" w:cs="Arial" w:eastAsia="Arial" w:hAnsi="Arial"/>
                <w:sz w:val="16"/>
                <w:szCs w:val="16"/>
                <w:b w:val="1"/>
                <w:bCs w:val="1"/>
                <w:color w:val="auto"/>
                <w:w w:val="84"/>
              </w:rPr>
              <w:t>Ending</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rPr>
              <w:t>PCD loans</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4"/>
              </w:rPr>
              <w:t>Recoveries</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4"/>
              </w:rPr>
              <w:t>Recoveries</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6"/>
                <w:szCs w:val="16"/>
                <w:b w:val="1"/>
                <w:bCs w:val="1"/>
                <w:color w:val="auto"/>
                <w:w w:val="97"/>
              </w:rPr>
              <w:t>Balance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Offs</w:t>
            </w:r>
          </w:p>
        </w:tc>
        <w:tc>
          <w:tcPr>
            <w:tcW w:w="100" w:type="dxa"/>
            <w:vAlign w:val="bottom"/>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7"/>
              </w:rPr>
              <w:t>Provision</w:t>
            </w:r>
          </w:p>
        </w:tc>
        <w:tc>
          <w:tcPr>
            <w:tcW w:w="10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4"/>
              </w:rPr>
              <w:t>Balance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1"/>
              </w:rPr>
              <w:t>Balance</w:t>
            </w:r>
          </w:p>
        </w:tc>
        <w:tc>
          <w:tcPr>
            <w:tcW w:w="80" w:type="dxa"/>
            <w:vAlign w:val="bottom"/>
          </w:tcPr>
          <w:p>
            <w:pPr>
              <w:spacing w:after="0"/>
              <w:rPr>
                <w:sz w:val="18"/>
                <w:szCs w:val="18"/>
                <w:color w:val="auto"/>
              </w:rPr>
            </w:pPr>
          </w:p>
        </w:tc>
        <w:tc>
          <w:tcPr>
            <w:tcW w:w="64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16"/>
                <w:szCs w:val="16"/>
                <w:b w:val="1"/>
                <w:bCs w:val="1"/>
                <w:color w:val="auto"/>
                <w:w w:val="83"/>
              </w:rPr>
              <w:t xml:space="preserve">loans </w:t>
            </w:r>
            <w:r>
              <w:rPr>
                <w:rFonts w:ascii="Arial" w:cs="Arial" w:eastAsia="Arial" w:hAnsi="Arial"/>
                <w:sz w:val="20"/>
                <w:szCs w:val="20"/>
                <w:b w:val="1"/>
                <w:bCs w:val="1"/>
                <w:color w:val="auto"/>
                <w:w w:val="83"/>
                <w:vertAlign w:val="superscript"/>
              </w:rPr>
              <w:t>(1)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9"/>
              </w:rPr>
              <w:t>Offs</w:t>
            </w:r>
          </w:p>
        </w:tc>
        <w:tc>
          <w:tcPr>
            <w:tcW w:w="80" w:type="dxa"/>
            <w:vAlign w:val="bottom"/>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7"/>
              </w:rPr>
              <w:t>Provision</w:t>
            </w: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w w:val="94"/>
              </w:rPr>
              <w:t>Balance</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Owner occupied</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19,834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300" w:type="dxa"/>
            <w:vAlign w:val="bottom"/>
            <w:gridSpan w:val="2"/>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322</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21,788</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14,282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1,541</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685</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16,774</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line="156" w:lineRule="exact"/>
              <w:rPr>
                <w:sz w:val="20"/>
                <w:szCs w:val="20"/>
                <w:color w:val="auto"/>
              </w:rPr>
            </w:pPr>
            <w:r>
              <w:rPr>
                <w:rFonts w:ascii="Arial" w:cs="Arial" w:eastAsia="Arial" w:hAnsi="Arial"/>
                <w:sz w:val="16"/>
                <w:szCs w:val="16"/>
                <w:color w:val="auto"/>
              </w:rPr>
              <w:t>Income producing</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32,082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1,324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38,775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4,356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33,284</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(4,605)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w:t>
            </w:r>
          </w:p>
        </w:tc>
        <w:tc>
          <w:tcPr>
            <w:tcW w:w="0" w:type="dxa"/>
            <w:vAlign w:val="bottom"/>
          </w:tcPr>
          <w:p>
            <w:pPr>
              <w:spacing w:after="0"/>
              <w:rPr>
                <w:sz w:val="1"/>
                <w:szCs w:val="1"/>
                <w:color w:val="auto"/>
              </w:rPr>
            </w:pPr>
          </w:p>
        </w:tc>
      </w:tr>
      <w:tr>
        <w:trPr>
          <w:trHeight w:val="208"/>
        </w:trPr>
        <w:tc>
          <w:tcPr>
            <w:tcW w:w="194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22,276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16,062</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11,121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(2,657)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w:t>
            </w:r>
          </w:p>
        </w:tc>
        <w:tc>
          <w:tcPr>
            <w:tcW w:w="0" w:type="dxa"/>
            <w:vAlign w:val="bottom"/>
          </w:tcPr>
          <w:p>
            <w:pPr>
              <w:spacing w:after="0"/>
              <w:rPr>
                <w:sz w:val="1"/>
                <w:szCs w:val="1"/>
                <w:color w:val="auto"/>
              </w:rPr>
            </w:pPr>
          </w:p>
        </w:tc>
      </w:tr>
      <w:tr>
        <w:trPr>
          <w:trHeight w:val="208"/>
        </w:trPr>
        <w:tc>
          <w:tcPr>
            <w:tcW w:w="194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25,431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4,112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17,035</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0" w:type="dxa"/>
            <w:vAlign w:val="bottom"/>
          </w:tcPr>
          <w:p>
            <w:pPr>
              <w:spacing w:after="0"/>
              <w:rPr>
                <w:sz w:val="1"/>
                <w:szCs w:val="1"/>
                <w:color w:val="auto"/>
              </w:rPr>
            </w:pPr>
          </w:p>
        </w:tc>
      </w:tr>
      <w:tr>
        <w:trPr>
          <w:trHeight w:val="208"/>
        </w:trPr>
        <w:tc>
          <w:tcPr>
            <w:tcW w:w="194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3,446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24"/>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Manufactured housing</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0" w:type="dxa"/>
            <w:vAlign w:val="bottom"/>
          </w:tcPr>
          <w:p>
            <w:pPr>
              <w:spacing w:after="0"/>
              <w:rPr>
                <w:sz w:val="1"/>
                <w:szCs w:val="1"/>
                <w:color w:val="auto"/>
              </w:rPr>
            </w:pPr>
          </w:p>
        </w:tc>
      </w:tr>
      <w:tr>
        <w:trPr>
          <w:trHeight w:val="201"/>
        </w:trPr>
        <w:tc>
          <w:tcPr>
            <w:tcW w:w="1940" w:type="dxa"/>
            <w:vAlign w:val="bottom"/>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(1,534)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1,376</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ACL - loans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159,357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44,127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6"/>
              </w:rPr>
              <w:t>190,705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102,532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(9,207)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7,298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3"/>
              </w:rPr>
              <w:t>23,565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136,925</w:t>
            </w:r>
          </w:p>
        </w:tc>
        <w:tc>
          <w:tcPr>
            <w:tcW w:w="0" w:type="dxa"/>
            <w:vAlign w:val="bottom"/>
          </w:tcPr>
          <w:p>
            <w:pPr>
              <w:spacing w:after="0"/>
              <w:rPr>
                <w:sz w:val="1"/>
                <w:szCs w:val="1"/>
                <w:color w:val="auto"/>
              </w:rPr>
            </w:pPr>
          </w:p>
        </w:tc>
      </w:tr>
      <w:tr>
        <w:trPr>
          <w:trHeight w:val="156"/>
        </w:trPr>
        <w:tc>
          <w:tcPr>
            <w:tcW w:w="1940" w:type="dxa"/>
            <w:vAlign w:val="bottom"/>
          </w:tcPr>
          <w:p>
            <w:pPr>
              <w:ind w:left="140"/>
              <w:spacing w:after="0" w:line="156" w:lineRule="exact"/>
              <w:rPr>
                <w:sz w:val="20"/>
                <w:szCs w:val="20"/>
                <w:color w:val="auto"/>
              </w:rPr>
            </w:pPr>
            <w:r>
              <w:rPr>
                <w:rFonts w:ascii="Arial" w:cs="Arial" w:eastAsia="Arial" w:hAnsi="Arial"/>
                <w:sz w:val="16"/>
                <w:szCs w:val="16"/>
                <w:color w:val="auto"/>
              </w:rPr>
              <w:t>ACL - unfunded</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21,163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21,572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10,992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6"/>
                <w:szCs w:val="16"/>
                <w:color w:val="auto"/>
              </w:rPr>
              <w:t>5,125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16,117</w:t>
            </w:r>
          </w:p>
        </w:tc>
        <w:tc>
          <w:tcPr>
            <w:tcW w:w="0" w:type="dxa"/>
            <w:vAlign w:val="bottom"/>
          </w:tcPr>
          <w:p>
            <w:pPr>
              <w:spacing w:after="0"/>
              <w:rPr>
                <w:sz w:val="1"/>
                <w:szCs w:val="1"/>
                <w:color w:val="auto"/>
              </w:rPr>
            </w:pPr>
          </w:p>
        </w:tc>
      </w:tr>
      <w:tr>
        <w:trPr>
          <w:trHeight w:val="204"/>
        </w:trPr>
        <w:tc>
          <w:tcPr>
            <w:tcW w:w="1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commitments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ACL</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180,520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(21,696)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6,213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44,536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6"/>
              </w:rPr>
              <w:t>212,277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113,524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12,737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(9,207)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7,298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3"/>
              </w:rPr>
              <w:t>28,690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153,042</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the initial ACL related to PCD loans acquired in the Progress and Reliant transactions during the six months ended June 30, 2023 and 2022, respectively.</w:t>
      </w:r>
    </w:p>
    <w:p>
      <w:pPr>
        <w:spacing w:after="0" w:line="200" w:lineRule="exact"/>
        <w:rPr>
          <w:rFonts w:ascii="Arial" w:cs="Arial" w:eastAsia="Arial" w:hAnsi="Arial"/>
          <w:sz w:val="18"/>
          <w:szCs w:val="18"/>
          <w:color w:val="auto"/>
          <w:vertAlign w:val="superscript"/>
        </w:rPr>
      </w:pPr>
    </w:p>
    <w:p>
      <w:pPr>
        <w:spacing w:after="0" w:line="372"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Derivatives and Hedging Activities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20320</wp:posOffset>
            </wp:positionV>
            <wp:extent cx="2245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9" w:lineRule="exact"/>
        <w:rPr>
          <w:sz w:val="20"/>
          <w:szCs w:val="20"/>
          <w:color w:val="auto"/>
        </w:rPr>
      </w:pPr>
    </w:p>
    <w:p>
      <w:pPr>
        <w:jc w:val="right"/>
        <w:ind w:right="1280"/>
        <w:spacing w:after="0"/>
        <w:rPr>
          <w:sz w:val="20"/>
          <w:szCs w:val="20"/>
          <w:color w:val="auto"/>
        </w:rPr>
      </w:pP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20320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20320</wp:posOffset>
            </wp:positionV>
            <wp:extent cx="2237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39" w:lineRule="exact"/>
        <w:rPr>
          <w:sz w:val="20"/>
          <w:szCs w:val="20"/>
          <w:color w:val="auto"/>
        </w:rPr>
      </w:pPr>
    </w:p>
    <w:p>
      <w:pPr>
        <w:jc w:val="right"/>
        <w:ind w:right="800"/>
        <w:spacing w:after="0"/>
        <w:rPr>
          <w:sz w:val="20"/>
          <w:szCs w:val="20"/>
          <w:color w:val="auto"/>
        </w:rPr>
      </w:pP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20320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8100" w:space="720"/>
            <w:col w:w="2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Notional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Derivative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Notional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Derivative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r>
      <w:tr>
        <w:trPr>
          <w:trHeight w:val="216"/>
        </w:trPr>
        <w:tc>
          <w:tcPr>
            <w:tcW w:w="4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line="216" w:lineRule="exact"/>
              <w:rPr>
                <w:sz w:val="20"/>
                <w:szCs w:val="20"/>
                <w:color w:val="auto"/>
              </w:rPr>
            </w:pPr>
            <w:r>
              <w:rPr>
                <w:rFonts w:ascii="Arial" w:cs="Arial" w:eastAsia="Arial" w:hAnsi="Arial"/>
                <w:sz w:val="16"/>
                <w:szCs w:val="16"/>
                <w:b w:val="1"/>
                <w:bCs w:val="1"/>
                <w:color w:val="auto"/>
                <w:w w:val="92"/>
              </w:rPr>
              <w:t xml:space="preserve">Amount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Liability</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Liability</w:t>
            </w: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Cash flow hedge of subordinated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16,261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16,191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hedge of trust preferred securities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80" w:type="dxa"/>
            <w:vAlign w:val="bottom"/>
          </w:tcPr>
          <w:p>
            <w:pPr>
              <w:ind w:left="240"/>
              <w:spacing w:after="0"/>
              <w:rPr>
                <w:sz w:val="20"/>
                <w:szCs w:val="20"/>
                <w:color w:val="auto"/>
              </w:rPr>
            </w:pPr>
            <w:r>
              <w:rPr>
                <w:rFonts w:ascii="Arial" w:cs="Arial" w:eastAsia="Arial" w:hAnsi="Arial"/>
                <w:sz w:val="16"/>
                <w:szCs w:val="16"/>
                <w:color w:val="auto"/>
              </w:rPr>
              <w:t>Fair value hedge of AFS debt securities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677,473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Customer derivative positions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2,034,468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1,097,578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86,358</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offsets to customer derivative positions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Risk participations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 loan commitment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Mortgage banking - forward sales commitment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Bifurcated embedded derivatives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80" w:type="dxa"/>
            <w:vAlign w:val="bottom"/>
          </w:tcPr>
          <w:p>
            <w:pPr>
              <w:ind w:left="220"/>
              <w:spacing w:after="0"/>
              <w:rPr>
                <w:sz w:val="20"/>
                <w:szCs w:val="20"/>
                <w:color w:val="auto"/>
              </w:rPr>
            </w:pPr>
            <w:r>
              <w:rPr>
                <w:rFonts w:ascii="Arial" w:cs="Arial" w:eastAsia="Arial" w:hAnsi="Arial"/>
                <w:sz w:val="16"/>
                <w:szCs w:val="16"/>
                <w:color w:val="auto"/>
              </w:rPr>
              <w:t>Dealer offsets to bifurcated embedded derivatives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12,839</w:t>
            </w:r>
          </w:p>
        </w:tc>
      </w:tr>
      <w:tr>
        <w:trPr>
          <w:trHeight w:val="209"/>
        </w:trPr>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4,220,066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104,786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2,457,047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210"/>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5,037,539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2,577,047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(13,089)</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11,586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86,108</w:t>
            </w: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firstLine="8"/>
        <w:spacing w:after="0" w:line="260" w:lineRule="auto"/>
        <w:tabs>
          <w:tab w:leader="none" w:pos="159"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At June 30, 2023, LIBOR-based customer derivative positions and derivatives cleared centrally through the CME included both a short-dated contract and a long-dated contract to facilitate the transition from LIBOR to SOFR. The short-dated contracts mature at the first reset date after June 30, 2023.</w:t>
      </w: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As of June 30, 2023 and December 31, 2022,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$5.55 million of gains from AOCI into earnings related to these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 is exposed to changes in the fair value of certain of its fixed-rate investments and obligations due to changes in interest rates. United uses interest rate derivatives to manage its exposure to changes in fair value on these instruments attributable to changes in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second quarter of 2023, United entered into fair value hedges on stated amounts of closed portfolios of AFS debt securities using the portfolio layer method.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hedging relationships, all of which are interest rate contracts, on net interest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226"/>
        </w:trPr>
        <w:tc>
          <w:tcPr>
            <w:tcW w:w="2800" w:type="dxa"/>
            <w:vAlign w:val="bottom"/>
          </w:tcPr>
          <w:p>
            <w:pPr>
              <w:spacing w:after="0"/>
              <w:rPr>
                <w:sz w:val="19"/>
                <w:szCs w:val="19"/>
                <w:color w:val="auto"/>
              </w:rPr>
            </w:pPr>
          </w:p>
        </w:tc>
        <w:tc>
          <w:tcPr>
            <w:tcW w:w="3160" w:type="dxa"/>
            <w:vAlign w:val="bottom"/>
            <w:gridSpan w:val="2"/>
          </w:tcPr>
          <w:p>
            <w:pPr>
              <w:ind w:left="240"/>
              <w:spacing w:after="0"/>
              <w:rPr>
                <w:sz w:val="20"/>
                <w:szCs w:val="20"/>
                <w:color w:val="auto"/>
              </w:rPr>
            </w:pPr>
            <w:r>
              <w:rPr>
                <w:rFonts w:ascii="Arial" w:cs="Arial" w:eastAsia="Arial" w:hAnsi="Arial"/>
                <w:sz w:val="16"/>
                <w:szCs w:val="16"/>
                <w:b w:val="1"/>
                <w:bCs w:val="1"/>
                <w:color w:val="auto"/>
              </w:rPr>
              <w:t>Affected Income Statement Line Item</w:t>
            </w:r>
          </w:p>
        </w:tc>
        <w:tc>
          <w:tcPr>
            <w:tcW w:w="180" w:type="dxa"/>
            <w:vAlign w:val="bottom"/>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2800" w:type="dxa"/>
            <w:vAlign w:val="bottom"/>
          </w:tcPr>
          <w:p>
            <w:pPr>
              <w:ind w:left="20"/>
              <w:spacing w:after="0"/>
              <w:rPr>
                <w:sz w:val="20"/>
                <w:szCs w:val="20"/>
                <w:color w:val="auto"/>
              </w:rPr>
            </w:pPr>
            <w:r>
              <w:rPr>
                <w:rFonts w:ascii="Arial" w:cs="Arial" w:eastAsia="Arial" w:hAnsi="Arial"/>
                <w:sz w:val="16"/>
                <w:szCs w:val="16"/>
                <w:color w:val="auto"/>
              </w:rPr>
              <w:t>Fair value hedges:</w:t>
            </w:r>
          </w:p>
        </w:tc>
        <w:tc>
          <w:tcPr>
            <w:tcW w:w="3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Brokered time deposits:</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40"/>
              <w:spacing w:after="0"/>
              <w:rPr>
                <w:sz w:val="20"/>
                <w:szCs w:val="20"/>
                <w:color w:val="auto"/>
              </w:rPr>
            </w:pPr>
            <w:r>
              <w:rPr>
                <w:rFonts w:ascii="Arial" w:cs="Arial" w:eastAsia="Arial" w:hAnsi="Arial"/>
                <w:sz w:val="16"/>
                <w:szCs w:val="16"/>
                <w:color w:val="auto"/>
              </w:rPr>
              <w:t>Net income recognized</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Interest expense- deposits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AFS securities:</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00" w:type="dxa"/>
            <w:vAlign w:val="bottom"/>
          </w:tcPr>
          <w:p>
            <w:pPr>
              <w:ind w:left="260"/>
              <w:spacing w:after="0" w:line="166" w:lineRule="exact"/>
              <w:rPr>
                <w:sz w:val="20"/>
                <w:szCs w:val="20"/>
                <w:color w:val="auto"/>
              </w:rPr>
            </w:pPr>
            <w:r>
              <w:rPr>
                <w:rFonts w:ascii="Arial" w:cs="Arial" w:eastAsia="Arial" w:hAnsi="Arial"/>
                <w:sz w:val="16"/>
                <w:szCs w:val="16"/>
                <w:color w:val="auto"/>
              </w:rPr>
              <w:t>Recognized on derivative interest</w:t>
            </w: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2,310</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2,310</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00" w:type="dxa"/>
            <w:vAlign w:val="bottom"/>
          </w:tcPr>
          <w:p>
            <w:pPr>
              <w:ind w:left="260"/>
              <w:spacing w:after="0"/>
              <w:rPr>
                <w:sz w:val="20"/>
                <w:szCs w:val="20"/>
                <w:color w:val="auto"/>
              </w:rPr>
            </w:pPr>
            <w:r>
              <w:rPr>
                <w:rFonts w:ascii="Arial" w:cs="Arial" w:eastAsia="Arial" w:hAnsi="Arial"/>
                <w:sz w:val="16"/>
                <w:szCs w:val="16"/>
                <w:color w:val="auto"/>
              </w:rPr>
              <w:t>settlements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on derivatives</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Recognized on hedged items</w:t>
            </w:r>
          </w:p>
        </w:tc>
        <w:tc>
          <w:tcPr>
            <w:tcW w:w="3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recognized</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revenue- investment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800" w:type="dxa"/>
            <w:vAlign w:val="bottom"/>
          </w:tcPr>
          <w:p>
            <w:pPr>
              <w:ind w:left="14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(1)</w:t>
            </w: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Interest expense- long 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1,234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ind w:left="580"/>
              <w:spacing w:after="0"/>
              <w:rPr>
                <w:sz w:val="20"/>
                <w:szCs w:val="20"/>
                <w:color w:val="auto"/>
              </w:rPr>
            </w:pPr>
            <w:r>
              <w:rPr>
                <w:rFonts w:ascii="Arial" w:cs="Arial" w:eastAsia="Arial" w:hAnsi="Arial"/>
                <w:sz w:val="16"/>
                <w:szCs w:val="16"/>
                <w:color w:val="auto"/>
              </w:rPr>
              <w:t>(106)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2,056</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firstLine="47"/>
        <w:spacing w:after="0" w:line="248" w:lineRule="auto"/>
        <w:tabs>
          <w:tab w:leader="none" w:pos="212"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Includes premium amortization expense excluded from the assessment of hedge effectiveness of $112,000 and $118,000 for the three months ended June 30, 2023 and 2022, respectively, and $229,000 and $234,000 for the six months ended June 30, 2023 and 2022, respectively.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table below presents the carrying amount of hedged AFS debt securities and cumulative fair value hedging adjustments included in the carrying amount of the hedged asset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 All fair value hedges of AFS debt securities at June 30, 2023 were designated under the the portfolio layer method. At June 30, 2023, the aggregate designated hedged items using the portfolio layer method had a notional amount of $677 million.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4"/>
          </w:tcPr>
          <w:p>
            <w:pPr>
              <w:jc w:val="right"/>
              <w:ind w:right="1679"/>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158"/>
        </w:trPr>
        <w:tc>
          <w:tcPr>
            <w:tcW w:w="6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Amortized Cost</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88"/>
              </w:rPr>
              <w:t>Hedge Accounting Basis</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securities AFS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804,658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(15,289)</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Excludes cumulative hedge accounting basis adjustment.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and therefore provide an economic hedge.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w w:val="92"/>
              </w:rPr>
              <w:t>Amount of Gain (Loss) Recognized in Income on Derivatives</w:t>
            </w: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2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Location of Gain (Loss) Recognized in</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8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27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Income on Derivatives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89"/>
              </w:rPr>
              <w:t>545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tcPr>
          <w:p>
            <w:pPr>
              <w:spacing w:after="0"/>
              <w:rPr>
                <w:sz w:val="18"/>
                <w:szCs w:val="18"/>
                <w:color w:val="auto"/>
              </w:rPr>
            </w:pP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(474)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banking derivatives</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Mortgage loan 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89"/>
              </w:rPr>
              <w:t>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6"/>
                <w:szCs w:val="16"/>
                <w:color w:val="auto"/>
              </w:rPr>
              <w:t>Risk participations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w w:val="89"/>
              </w:rPr>
              <w:t>154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89"/>
              </w:rPr>
              <w:t>399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December 31, 2022</w:t>
            </w:r>
          </w:p>
        </w:tc>
        <w:tc>
          <w:tcPr>
            <w:tcW w:w="1740" w:type="dxa"/>
            <w:vAlign w:val="bottom"/>
          </w:tcPr>
          <w:p>
            <w:pPr>
              <w:spacing w:after="0"/>
              <w:rPr>
                <w:sz w:val="18"/>
                <w:szCs w:val="18"/>
                <w:color w:val="auto"/>
              </w:rPr>
            </w:pPr>
          </w:p>
        </w:tc>
      </w:tr>
      <w:tr>
        <w:trPr>
          <w:trHeight w:val="213"/>
        </w:trPr>
        <w:tc>
          <w:tcPr>
            <w:tcW w:w="594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Core deposit intangible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46,900</w:t>
            </w:r>
          </w:p>
        </w:tc>
        <w:tc>
          <w:tcPr>
            <w:tcW w:w="1740" w:type="dxa"/>
            <w:vAlign w:val="bottom"/>
            <w:shd w:val="clear" w:color="auto" w:fill="CCEEFF"/>
          </w:tcPr>
          <w:p>
            <w:pPr>
              <w:spacing w:after="0"/>
              <w:rPr>
                <w:sz w:val="18"/>
                <w:szCs w:val="18"/>
                <w:color w:val="auto"/>
              </w:rPr>
            </w:pPr>
          </w:p>
        </w:tc>
      </w:tr>
      <w:tr>
        <w:trPr>
          <w:trHeight w:val="216"/>
        </w:trPr>
        <w:tc>
          <w:tcPr>
            <w:tcW w:w="5940" w:type="dxa"/>
            <w:vAlign w:val="bottom"/>
          </w:tcPr>
          <w:p>
            <w:pPr>
              <w:ind w:left="176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(26,112)</w:t>
            </w:r>
          </w:p>
        </w:tc>
        <w:tc>
          <w:tcPr>
            <w:tcW w:w="1740" w:type="dxa"/>
            <w:vAlign w:val="bottom"/>
          </w:tcPr>
          <w:p>
            <w:pPr>
              <w:spacing w:after="0"/>
              <w:rPr>
                <w:sz w:val="18"/>
                <w:szCs w:val="18"/>
                <w:color w:val="auto"/>
              </w:rPr>
            </w:pPr>
          </w:p>
        </w:tc>
      </w:tr>
      <w:tr>
        <w:trPr>
          <w:trHeight w:val="210"/>
        </w:trPr>
        <w:tc>
          <w:tcPr>
            <w:tcW w:w="5940" w:type="dxa"/>
            <w:vAlign w:val="bottom"/>
            <w:shd w:val="clear" w:color="auto" w:fill="CCEEFF"/>
          </w:tcPr>
          <w:p>
            <w:pPr>
              <w:ind w:left="1960"/>
              <w:spacing w:after="0"/>
              <w:rPr>
                <w:sz w:val="20"/>
                <w:szCs w:val="20"/>
                <w:color w:val="auto"/>
              </w:rPr>
            </w:pPr>
            <w:r>
              <w:rPr>
                <w:rFonts w:ascii="Arial" w:cs="Arial" w:eastAsia="Arial" w:hAnsi="Arial"/>
                <w:sz w:val="16"/>
                <w:szCs w:val="16"/>
                <w:color w:val="auto"/>
              </w:rPr>
              <w:t>Net core deposit intangible</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20,788</w:t>
            </w:r>
          </w:p>
        </w:tc>
        <w:tc>
          <w:tcPr>
            <w:tcW w:w="174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Arial" w:cs="Arial" w:eastAsia="Arial" w:hAnsi="Arial"/>
                <w:sz w:val="16"/>
                <w:szCs w:val="16"/>
                <w:color w:val="auto"/>
              </w:rPr>
              <w:t>Customer relationship intangible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8,400</w:t>
            </w:r>
          </w:p>
        </w:tc>
        <w:tc>
          <w:tcPr>
            <w:tcW w:w="1740" w:type="dxa"/>
            <w:vAlign w:val="bottom"/>
          </w:tcPr>
          <w:p>
            <w:pPr>
              <w:spacing w:after="0"/>
              <w:rPr>
                <w:sz w:val="18"/>
                <w:szCs w:val="18"/>
                <w:color w:val="auto"/>
              </w:rPr>
            </w:pPr>
          </w:p>
        </w:tc>
      </w:tr>
      <w:tr>
        <w:trPr>
          <w:trHeight w:val="219"/>
        </w:trPr>
        <w:tc>
          <w:tcPr>
            <w:tcW w:w="59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740" w:type="dxa"/>
            <w:vAlign w:val="bottom"/>
            <w:tcBorders>
              <w:bottom w:val="single" w:sz="8" w:color="CCEEFF"/>
            </w:tcBorders>
            <w:shd w:val="clear" w:color="auto" w:fill="CCEEFF"/>
          </w:tcPr>
          <w:p>
            <w:pPr>
              <w:spacing w:after="0"/>
              <w:rPr>
                <w:sz w:val="19"/>
                <w:szCs w:val="19"/>
                <w:color w:val="auto"/>
              </w:rPr>
            </w:pPr>
          </w:p>
        </w:tc>
      </w:tr>
      <w:tr>
        <w:trPr>
          <w:trHeight w:val="209"/>
        </w:trPr>
        <w:tc>
          <w:tcPr>
            <w:tcW w:w="5940" w:type="dxa"/>
            <w:vAlign w:val="bottom"/>
          </w:tcPr>
          <w:p>
            <w:pPr>
              <w:ind w:left="1960"/>
              <w:spacing w:after="0"/>
              <w:rPr>
                <w:sz w:val="20"/>
                <w:szCs w:val="20"/>
                <w:color w:val="auto"/>
              </w:rPr>
            </w:pPr>
            <w:r>
              <w:rPr>
                <w:rFonts w:ascii="Arial" w:cs="Arial" w:eastAsia="Arial" w:hAnsi="Arial"/>
                <w:sz w:val="16"/>
                <w:szCs w:val="16"/>
                <w:color w:val="auto"/>
              </w:rPr>
              <w:t>Net customer relationship intangible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7,286</w:t>
            </w:r>
          </w:p>
        </w:tc>
        <w:tc>
          <w:tcPr>
            <w:tcW w:w="1740" w:type="dxa"/>
            <w:vAlign w:val="bottom"/>
          </w:tcPr>
          <w:p>
            <w:pPr>
              <w:spacing w:after="0"/>
              <w:rPr>
                <w:sz w:val="18"/>
                <w:szCs w:val="18"/>
                <w:color w:val="auto"/>
              </w:rPr>
            </w:pPr>
          </w:p>
        </w:tc>
      </w:tr>
      <w:tr>
        <w:trPr>
          <w:trHeight w:val="210"/>
        </w:trPr>
        <w:tc>
          <w:tcPr>
            <w:tcW w:w="5940" w:type="dxa"/>
            <w:vAlign w:val="bottom"/>
            <w:shd w:val="clear" w:color="auto" w:fill="CCEEFF"/>
          </w:tcPr>
          <w:p>
            <w:pPr>
              <w:ind w:left="1760"/>
              <w:spacing w:after="0" w:line="210" w:lineRule="exact"/>
              <w:rPr>
                <w:sz w:val="20"/>
                <w:szCs w:val="20"/>
                <w:color w:val="auto"/>
              </w:rPr>
            </w:pPr>
            <w:r>
              <w:rPr>
                <w:rFonts w:ascii="Arial" w:cs="Arial" w:eastAsia="Arial" w:hAnsi="Arial"/>
                <w:sz w:val="16"/>
                <w:szCs w:val="16"/>
                <w:color w:val="auto"/>
              </w:rPr>
              <w:t xml:space="preserve">Total intangibles subject to amortization, net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1740" w:type="dxa"/>
            <w:vAlign w:val="bottom"/>
            <w:shd w:val="clear" w:color="auto" w:fill="CCEEFF"/>
          </w:tcPr>
          <w:p>
            <w:pPr>
              <w:spacing w:after="0"/>
              <w:rPr>
                <w:sz w:val="18"/>
                <w:szCs w:val="18"/>
                <w:color w:val="auto"/>
              </w:rPr>
            </w:pPr>
          </w:p>
        </w:tc>
      </w:tr>
      <w:tr>
        <w:trPr>
          <w:trHeight w:val="216"/>
        </w:trPr>
        <w:tc>
          <w:tcPr>
            <w:tcW w:w="5940" w:type="dxa"/>
            <w:vAlign w:val="bottom"/>
          </w:tcPr>
          <w:p>
            <w:pPr>
              <w:ind w:left="176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896,718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751,174</w:t>
            </w:r>
          </w:p>
        </w:tc>
        <w:tc>
          <w:tcPr>
            <w:tcW w:w="1740" w:type="dxa"/>
            <w:vAlign w:val="bottom"/>
          </w:tcPr>
          <w:p>
            <w:pPr>
              <w:spacing w:after="0"/>
              <w:rPr>
                <w:sz w:val="18"/>
                <w:szCs w:val="18"/>
                <w:color w:val="auto"/>
              </w:rPr>
            </w:pPr>
          </w:p>
        </w:tc>
      </w:tr>
      <w:tr>
        <w:trPr>
          <w:trHeight w:val="230"/>
        </w:trPr>
        <w:tc>
          <w:tcPr>
            <w:tcW w:w="594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Total goodwill and other intangible assets, net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779,248</w:t>
            </w:r>
          </w:p>
        </w:tc>
        <w:tc>
          <w:tcPr>
            <w:tcW w:w="1740" w:type="dxa"/>
            <w:vAlign w:val="bottom"/>
            <w:shd w:val="clear" w:color="auto" w:fill="CCEEFF"/>
          </w:tcPr>
          <w:p>
            <w:pPr>
              <w:spacing w:after="0"/>
              <w:rPr>
                <w:sz w:val="19"/>
                <w:szCs w:val="19"/>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As intangible assets become fully amortized, they are excluded from balances presented.</w:t>
      </w:r>
    </w:p>
    <w:p>
      <w:pPr>
        <w:spacing w:after="0" w:line="258" w:lineRule="auto"/>
        <w:rPr>
          <w:sz w:val="20"/>
          <w:szCs w:val="20"/>
          <w:color w:val="auto"/>
        </w:rPr>
      </w:pPr>
      <w:r>
        <w:rPr>
          <w:rFonts w:ascii="Arial" w:cs="Arial" w:eastAsia="Arial" w:hAnsi="Arial"/>
          <w:sz w:val="18"/>
          <w:szCs w:val="18"/>
          <w:color w:val="auto"/>
        </w:rPr>
        <w:t>During the first quarter of 2023, as a result of the Progress acquisition, United recorded a core deposit intangible of $40.0 million. See Note 4 for further detail.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38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9"/>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209"/>
        </w:trPr>
        <w:tc>
          <w:tcPr>
            <w:tcW w:w="59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Balance, beginning of period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896,718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751,174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751,174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452,007</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145,544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299,167</w:t>
            </w:r>
          </w:p>
        </w:tc>
      </w:tr>
      <w:tr>
        <w:trPr>
          <w:trHeight w:val="232"/>
        </w:trPr>
        <w:tc>
          <w:tcPr>
            <w:tcW w:w="59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end of period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896,718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751,174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896,718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751,174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Goodwill balances are shown net of accumulated impairment losses of $306 million incurred prior to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aggregate amortization expense for future periods for finite lived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Remainder of 2023</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w:t>
            </w:r>
          </w:p>
        </w:tc>
        <w:tc>
          <w:tcPr>
            <w:tcW w:w="3480" w:type="dxa"/>
            <w:vAlign w:val="bottom"/>
            <w:shd w:val="clear" w:color="auto" w:fill="CCEEFF"/>
          </w:tcPr>
          <w:p>
            <w:pPr>
              <w:spacing w:after="0"/>
              <w:rPr>
                <w:sz w:val="18"/>
                <w:szCs w:val="18"/>
                <w:color w:val="auto"/>
              </w:rPr>
            </w:pPr>
          </w:p>
        </w:tc>
      </w:tr>
      <w:tr>
        <w:trPr>
          <w:trHeight w:val="213"/>
        </w:trPr>
        <w:tc>
          <w:tcPr>
            <w:tcW w:w="6060" w:type="dxa"/>
            <w:vAlign w:val="bottom"/>
          </w:tcPr>
          <w:p>
            <w:pPr>
              <w:ind w:left="3500"/>
              <w:spacing w:after="0"/>
              <w:rPr>
                <w:sz w:val="20"/>
                <w:szCs w:val="20"/>
                <w:color w:val="auto"/>
              </w:rPr>
            </w:pPr>
            <w:r>
              <w:rPr>
                <w:rFonts w:ascii="Arial" w:cs="Arial" w:eastAsia="Arial" w:hAnsi="Arial"/>
                <w:sz w:val="16"/>
                <w:szCs w:val="16"/>
                <w:color w:val="auto"/>
              </w:rPr>
              <w:t>2024</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11,791</w:t>
            </w:r>
          </w:p>
        </w:tc>
        <w:tc>
          <w:tcPr>
            <w:tcW w:w="348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2025</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10,031</w:t>
            </w:r>
          </w:p>
        </w:tc>
        <w:tc>
          <w:tcPr>
            <w:tcW w:w="3480" w:type="dxa"/>
            <w:vAlign w:val="bottom"/>
            <w:shd w:val="clear" w:color="auto" w:fill="CCEEFF"/>
          </w:tcPr>
          <w:p>
            <w:pPr>
              <w:spacing w:after="0"/>
              <w:rPr>
                <w:sz w:val="19"/>
                <w:szCs w:val="19"/>
                <w:color w:val="auto"/>
              </w:rPr>
            </w:pPr>
          </w:p>
        </w:tc>
      </w:tr>
      <w:tr>
        <w:trPr>
          <w:trHeight w:val="213"/>
        </w:trPr>
        <w:tc>
          <w:tcPr>
            <w:tcW w:w="6060" w:type="dxa"/>
            <w:vAlign w:val="bottom"/>
          </w:tcPr>
          <w:p>
            <w:pPr>
              <w:ind w:left="3500"/>
              <w:spacing w:after="0"/>
              <w:rPr>
                <w:sz w:val="20"/>
                <w:szCs w:val="20"/>
                <w:color w:val="auto"/>
              </w:rPr>
            </w:pPr>
            <w:r>
              <w:rPr>
                <w:rFonts w:ascii="Arial" w:cs="Arial" w:eastAsia="Arial" w:hAnsi="Arial"/>
                <w:sz w:val="16"/>
                <w:szCs w:val="16"/>
                <w:color w:val="auto"/>
              </w:rPr>
              <w:t>2026</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8,491</w:t>
            </w:r>
          </w:p>
        </w:tc>
        <w:tc>
          <w:tcPr>
            <w:tcW w:w="3480" w:type="dxa"/>
            <w:vAlign w:val="bottom"/>
          </w:tcPr>
          <w:p>
            <w:pPr>
              <w:spacing w:after="0"/>
              <w:rPr>
                <w:sz w:val="18"/>
                <w:szCs w:val="18"/>
                <w:color w:val="auto"/>
              </w:rPr>
            </w:pPr>
          </w:p>
        </w:tc>
      </w:tr>
      <w:tr>
        <w:trPr>
          <w:trHeight w:val="219"/>
        </w:trPr>
        <w:tc>
          <w:tcPr>
            <w:tcW w:w="6060" w:type="dxa"/>
            <w:vAlign w:val="bottom"/>
            <w:shd w:val="clear" w:color="auto" w:fill="CCEEFF"/>
          </w:tcPr>
          <w:p>
            <w:pPr>
              <w:ind w:left="3500"/>
              <w:spacing w:after="0"/>
              <w:rPr>
                <w:sz w:val="20"/>
                <w:szCs w:val="20"/>
                <w:color w:val="auto"/>
              </w:rPr>
            </w:pPr>
            <w:r>
              <w:rPr>
                <w:rFonts w:ascii="Arial" w:cs="Arial" w:eastAsia="Arial" w:hAnsi="Arial"/>
                <w:sz w:val="16"/>
                <w:szCs w:val="16"/>
                <w:color w:val="auto"/>
              </w:rPr>
              <w:t>2027</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6,950</w:t>
            </w:r>
          </w:p>
        </w:tc>
        <w:tc>
          <w:tcPr>
            <w:tcW w:w="3480" w:type="dxa"/>
            <w:vAlign w:val="bottom"/>
            <w:shd w:val="clear" w:color="auto" w:fill="CCEEFF"/>
          </w:tcPr>
          <w:p>
            <w:pPr>
              <w:spacing w:after="0"/>
              <w:rPr>
                <w:sz w:val="19"/>
                <w:szCs w:val="19"/>
                <w:color w:val="auto"/>
              </w:rPr>
            </w:pPr>
          </w:p>
        </w:tc>
      </w:tr>
      <w:tr>
        <w:trPr>
          <w:trHeight w:val="216"/>
        </w:trPr>
        <w:tc>
          <w:tcPr>
            <w:tcW w:w="6060" w:type="dxa"/>
            <w:vAlign w:val="bottom"/>
          </w:tcPr>
          <w:p>
            <w:pPr>
              <w:ind w:left="3500"/>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17,321</w:t>
            </w:r>
          </w:p>
        </w:tc>
        <w:tc>
          <w:tcPr>
            <w:tcW w:w="3480" w:type="dxa"/>
            <w:vAlign w:val="bottom"/>
          </w:tcPr>
          <w:p>
            <w:pPr>
              <w:spacing w:after="0"/>
              <w:rPr>
                <w:sz w:val="18"/>
                <w:szCs w:val="18"/>
                <w:color w:val="auto"/>
              </w:rPr>
            </w:pPr>
          </w:p>
        </w:tc>
      </w:tr>
      <w:tr>
        <w:trPr>
          <w:trHeight w:val="235"/>
        </w:trPr>
        <w:tc>
          <w:tcPr>
            <w:tcW w:w="606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61,105</w:t>
            </w:r>
          </w:p>
        </w:tc>
        <w:tc>
          <w:tcPr>
            <w:tcW w:w="348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2023, United’s Board of Directors approved a preferred stock repurchase program, authorizing United to repurchase up to $25.0 million of its outstanding Series I Non-Cumulative Preferred Stock directly or through the repurchase of depositary shares representing 1/1000th of a share of Series I Non-Cumulative Preferred Stock. The program is scheduled to expire on the earlier of the repurchase of preferred stock having an aggregate purchase price of $25.0 million or December 31, 2023. During the three and six months ended June 30, 2023, 10,668 depositary shares were repurchased. As of June 30, 2023, United had remaining authorization to repurchase up to $24.8 million of outstanding preferred stock under the program.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As of December 31, 2022, United had certain mortgage loans held for sale that were acquired from Reliant for which the fair value option was not elected; these loans were carried at the lower of aggregate cost or fair value. These loans were subsequently sold during the first half of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when management’s assessment indicates that the CVA is a significant input, the related derivative is disclosed as a Level 3 value.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0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AFS debt securities: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333,423</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333,423</w:t>
            </w: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U.S. Government agencies &amp; GSEs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237,096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237,096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161,101</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161,101</w:t>
            </w:r>
          </w:p>
        </w:tc>
      </w:tr>
      <w:tr>
        <w:trPr>
          <w:trHeight w:val="186"/>
        </w:trPr>
        <w:tc>
          <w:tcPr>
            <w:tcW w:w="4980" w:type="dxa"/>
            <w:vAlign w:val="bottom"/>
          </w:tcPr>
          <w:p>
            <w:pPr>
              <w:ind w:left="22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1,620,235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1,620,235</w:t>
            </w:r>
          </w:p>
        </w:tc>
      </w:tr>
      <w:tr>
        <w:trPr>
          <w:trHeight w:val="186"/>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618,438</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618,438</w:t>
            </w: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194,553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196,736</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192,960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192,960</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Equity securities with readily determinable fair values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10,651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12,183</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27,104</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27,104</w:t>
            </w:r>
          </w:p>
        </w:tc>
      </w:tr>
      <w:tr>
        <w:trPr>
          <w:trHeight w:val="186"/>
        </w:trPr>
        <w:tc>
          <w:tcPr>
            <w:tcW w:w="4980" w:type="dxa"/>
            <w:vAlign w:val="bottom"/>
          </w:tcPr>
          <w:p>
            <w:pPr>
              <w:ind w:left="140"/>
              <w:spacing w:after="0"/>
              <w:rPr>
                <w:sz w:val="20"/>
                <w:szCs w:val="20"/>
                <w:color w:val="auto"/>
              </w:rPr>
            </w:pPr>
            <w:r>
              <w:rPr>
                <w:rFonts w:ascii="Arial" w:cs="Arial" w:eastAsia="Arial" w:hAnsi="Arial"/>
                <w:sz w:val="14"/>
                <w:szCs w:val="14"/>
                <w:color w:val="auto"/>
              </w:rPr>
              <w:t>Deferred compensation plan 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11,728</w:t>
            </w:r>
          </w:p>
        </w:tc>
      </w:tr>
      <w:tr>
        <w:trPr>
          <w:trHeight w:val="186"/>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6,148</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Residential mortgage servicing rights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37,194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37,194</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46,878</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11,872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58,750</w:t>
            </w:r>
          </w:p>
        </w:tc>
      </w:tr>
      <w:tr>
        <w:trPr>
          <w:trHeight w:val="199"/>
        </w:trPr>
        <w:tc>
          <w:tcPr>
            <w:tcW w:w="49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355,802</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3,099,897</w:t>
            </w:r>
          </w:p>
        </w:tc>
        <w:tc>
          <w:tcPr>
            <w:tcW w:w="10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57,397</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3,513,096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11,766</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11,766</w:t>
            </w:r>
          </w:p>
        </w:tc>
      </w:tr>
      <w:tr>
        <w:trPr>
          <w:trHeight w:val="186"/>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Derivative financial instruments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92,222</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12,564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104,786</w:t>
            </w:r>
          </w:p>
        </w:tc>
      </w:tr>
      <w:tr>
        <w:trPr>
          <w:trHeight w:val="22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92,222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12,564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116,552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AFS debt securities: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149,352</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149,352</w:t>
            </w:r>
          </w:p>
        </w:tc>
      </w:tr>
      <w:tr>
        <w:trPr>
          <w:trHeight w:val="186"/>
        </w:trPr>
        <w:tc>
          <w:tcPr>
            <w:tcW w:w="4980" w:type="dxa"/>
            <w:vAlign w:val="bottom"/>
          </w:tcPr>
          <w:p>
            <w:pPr>
              <w:ind w:left="220"/>
              <w:spacing w:after="0"/>
              <w:rPr>
                <w:sz w:val="20"/>
                <w:szCs w:val="20"/>
                <w:color w:val="auto"/>
              </w:rPr>
            </w:pPr>
            <w:r>
              <w:rPr>
                <w:rFonts w:ascii="Arial" w:cs="Arial" w:eastAsia="Arial" w:hAnsi="Arial"/>
                <w:sz w:val="14"/>
                <w:szCs w:val="14"/>
                <w:color w:val="auto"/>
              </w:rPr>
              <w:t>U.S. Government agencies &amp; GSEs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250,116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250,116</w:t>
            </w:r>
          </w:p>
        </w:tc>
      </w:tr>
      <w:tr>
        <w:trPr>
          <w:trHeight w:val="186"/>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303,748</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303,748</w:t>
            </w: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1,795,481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1,795,481</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671,912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671,912</w:t>
            </w:r>
          </w:p>
        </w:tc>
      </w:tr>
      <w:tr>
        <w:trPr>
          <w:trHeight w:val="182"/>
        </w:trPr>
        <w:tc>
          <w:tcPr>
            <w:tcW w:w="498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210,240</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212,452</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231,272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231,272</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Equity securities with readily determinable fair values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13,637</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11,794</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11,794</w:t>
            </w:r>
          </w:p>
        </w:tc>
      </w:tr>
      <w:tr>
        <w:trPr>
          <w:trHeight w:val="186"/>
        </w:trPr>
        <w:tc>
          <w:tcPr>
            <w:tcW w:w="4980" w:type="dxa"/>
            <w:vAlign w:val="bottom"/>
          </w:tcPr>
          <w:p>
            <w:pPr>
              <w:ind w:left="140"/>
              <w:spacing w:after="0"/>
              <w:rPr>
                <w:sz w:val="20"/>
                <w:szCs w:val="20"/>
                <w:color w:val="auto"/>
              </w:rPr>
            </w:pPr>
            <w:r>
              <w:rPr>
                <w:rFonts w:ascii="Arial" w:cs="Arial" w:eastAsia="Arial" w:hAnsi="Arial"/>
                <w:sz w:val="14"/>
                <w:szCs w:val="14"/>
                <w:color w:val="auto"/>
              </w:rPr>
              <w:t>Deferred compensation plan 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11,436</w:t>
            </w:r>
          </w:p>
        </w:tc>
      </w:tr>
      <w:tr>
        <w:trPr>
          <w:trHeight w:val="186"/>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5,188</w:t>
            </w:r>
          </w:p>
        </w:tc>
      </w:tr>
      <w:tr>
        <w:trPr>
          <w:trHeight w:val="182"/>
        </w:trPr>
        <w:tc>
          <w:tcPr>
            <w:tcW w:w="4980" w:type="dxa"/>
            <w:vAlign w:val="bottom"/>
          </w:tcPr>
          <w:p>
            <w:pPr>
              <w:ind w:left="140"/>
              <w:spacing w:after="0"/>
              <w:rPr>
                <w:sz w:val="20"/>
                <w:szCs w:val="20"/>
                <w:color w:val="auto"/>
              </w:rPr>
            </w:pPr>
            <w:r>
              <w:rPr>
                <w:rFonts w:ascii="Arial" w:cs="Arial" w:eastAsia="Arial" w:hAnsi="Arial"/>
                <w:sz w:val="14"/>
                <w:szCs w:val="14"/>
                <w:color w:val="auto"/>
              </w:rPr>
              <w:t>Residential mortgage servicing rights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36,559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36,559</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39,123</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11,513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50,636</w:t>
            </w:r>
          </w:p>
        </w:tc>
      </w:tr>
      <w:tr>
        <w:trPr>
          <w:trHeight w:val="199"/>
        </w:trPr>
        <w:tc>
          <w:tcPr>
            <w:tcW w:w="49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173,066</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3,515,045</w:t>
            </w:r>
          </w:p>
        </w:tc>
        <w:tc>
          <w:tcPr>
            <w:tcW w:w="10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55,472</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3,743,583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4"/>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11,460</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11,460</w:t>
            </w:r>
          </w:p>
        </w:tc>
      </w:tr>
      <w:tr>
        <w:trPr>
          <w:trHeight w:val="196"/>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86,703</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12,840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99,543</w:t>
            </w:r>
          </w:p>
        </w:tc>
      </w:tr>
      <w:tr>
        <w:trPr>
          <w:trHeight w:val="21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86,703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12,840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111,003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0"/>
              </w:rPr>
              <w:t>Derivative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0"/>
              </w:rPr>
              <w:t>Derivative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1"/>
              </w:rPr>
              <w:t>SBA/USDA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77"/>
              <w:spacing w:after="0" w:line="122" w:lineRule="exact"/>
              <w:rPr>
                <w:sz w:val="20"/>
                <w:szCs w:val="20"/>
                <w:color w:val="auto"/>
              </w:rPr>
            </w:pPr>
            <w:r>
              <w:rPr>
                <w:rFonts w:ascii="Arial" w:cs="Arial" w:eastAsia="Arial" w:hAnsi="Arial"/>
                <w:sz w:val="13"/>
                <w:szCs w:val="13"/>
                <w:b w:val="1"/>
                <w:bCs w:val="1"/>
                <w:color w:val="auto"/>
                <w:w w:val="86"/>
              </w:rPr>
              <w:t>Residential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Derivative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3"/>
              </w:rPr>
              <w:t>Derivative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1"/>
              </w:rPr>
              <w:t>SBA/USDA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89"/>
              </w:rPr>
              <w:t>Residential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Corporate</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loan servicing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17"/>
              <w:spacing w:after="0" w:line="131" w:lineRule="exact"/>
              <w:rPr>
                <w:sz w:val="20"/>
                <w:szCs w:val="20"/>
                <w:color w:val="auto"/>
              </w:rPr>
            </w:pPr>
            <w:r>
              <w:rPr>
                <w:rFonts w:ascii="Arial" w:cs="Arial" w:eastAsia="Arial" w:hAnsi="Arial"/>
                <w:sz w:val="13"/>
                <w:szCs w:val="13"/>
                <w:b w:val="1"/>
                <w:bCs w:val="1"/>
                <w:color w:val="auto"/>
                <w:w w:val="94"/>
              </w:rPr>
              <w:t>mortgage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loan servicing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17"/>
              <w:spacing w:after="0" w:line="131" w:lineRule="exact"/>
              <w:rPr>
                <w:sz w:val="20"/>
                <w:szCs w:val="20"/>
                <w:color w:val="auto"/>
              </w:rPr>
            </w:pPr>
            <w:r>
              <w:rPr>
                <w:rFonts w:ascii="Arial" w:cs="Arial" w:eastAsia="Arial" w:hAnsi="Arial"/>
                <w:sz w:val="13"/>
                <w:szCs w:val="13"/>
                <w:b w:val="1"/>
                <w:bCs w:val="1"/>
                <w:color w:val="auto"/>
                <w:w w:val="94"/>
              </w:rPr>
              <w:t>mortgage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Liabilities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8"/>
              </w:rPr>
              <w:t>rights</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servicing rights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Bonds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Liabilities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rights</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4"/>
              </w:rPr>
              <w:t>servicing rights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Bonds</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Three Months Ended June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11,348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6,289</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36,081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2,227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7,902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6,962</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32,641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2,332</w:t>
            </w:r>
          </w:p>
        </w:tc>
        <w:tc>
          <w:tcPr>
            <w:tcW w:w="0" w:type="dxa"/>
            <w:vAlign w:val="bottom"/>
          </w:tcPr>
          <w:p>
            <w:pPr>
              <w:spacing w:after="0"/>
              <w:rPr>
                <w:sz w:val="1"/>
                <w:szCs w:val="1"/>
                <w:color w:val="auto"/>
              </w:rPr>
            </w:pPr>
          </w:p>
        </w:tc>
      </w:tr>
      <w:tr>
        <w:trPr>
          <w:trHeight w:val="168"/>
        </w:trPr>
        <w:tc>
          <w:tcPr>
            <w:tcW w:w="154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ind w:left="140"/>
              <w:spacing w:after="0" w:line="134" w:lineRule="exact"/>
              <w:rPr>
                <w:sz w:val="20"/>
                <w:szCs w:val="20"/>
                <w:color w:val="auto"/>
              </w:rPr>
            </w:pPr>
            <w:r>
              <w:rPr>
                <w:rFonts w:ascii="Arial" w:cs="Arial" w:eastAsia="Arial" w:hAnsi="Arial"/>
                <w:sz w:val="13"/>
                <w:szCs w:val="13"/>
                <w:color w:val="auto"/>
              </w:rPr>
              <w:t>Fair value adjustments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140"/>
              <w:spacing w:after="0"/>
              <w:rPr>
                <w:sz w:val="20"/>
                <w:szCs w:val="20"/>
                <w:color w:val="auto"/>
              </w:rPr>
            </w:pPr>
            <w:r>
              <w:rPr>
                <w:rFonts w:ascii="Arial" w:cs="Arial" w:eastAsia="Arial" w:hAnsi="Arial"/>
                <w:sz w:val="13"/>
                <w:szCs w:val="13"/>
                <w:color w:val="auto"/>
              </w:rPr>
              <w:t>included in OCI</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included in earnings</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11,872</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12,564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6,148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37,194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2,183</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10,199</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10,795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6,167</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35,131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540" w:type="dxa"/>
            <w:vAlign w:val="bottom"/>
          </w:tcPr>
          <w:p>
            <w:pPr>
              <w:ind w:left="20"/>
              <w:spacing w:after="0"/>
              <w:rPr>
                <w:sz w:val="20"/>
                <w:szCs w:val="20"/>
                <w:color w:val="auto"/>
              </w:rPr>
            </w:pPr>
            <w:r>
              <w:rPr>
                <w:rFonts w:ascii="Arial" w:cs="Arial" w:eastAsia="Arial" w:hAnsi="Arial"/>
                <w:sz w:val="13"/>
                <w:szCs w:val="13"/>
                <w:b w:val="1"/>
                <w:bCs w:val="1"/>
                <w:color w:val="auto"/>
                <w:w w:val="89"/>
              </w:rPr>
              <w:t>Six Months Ended June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11,513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6,513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168"/>
        </w:trPr>
        <w:tc>
          <w:tcPr>
            <w:tcW w:w="1540" w:type="dxa"/>
            <w:vAlign w:val="bottom"/>
          </w:tcPr>
          <w:p>
            <w:pPr>
              <w:ind w:left="140"/>
              <w:spacing w:after="0"/>
              <w:rPr>
                <w:sz w:val="20"/>
                <w:szCs w:val="20"/>
                <w:color w:val="auto"/>
              </w:rPr>
            </w:pPr>
            <w:r>
              <w:rPr>
                <w:rFonts w:ascii="Arial" w:cs="Arial" w:eastAsia="Arial" w:hAnsi="Arial"/>
                <w:sz w:val="13"/>
                <w:szCs w:val="13"/>
                <w:color w:val="auto"/>
              </w:rPr>
              <w:t>Business combinations</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Additions</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1,388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3,890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540" w:type="dxa"/>
            <w:vAlign w:val="bottom"/>
          </w:tcPr>
          <w:p>
            <w:pPr>
              <w:ind w:left="140"/>
              <w:spacing w:after="0"/>
              <w:rPr>
                <w:sz w:val="20"/>
                <w:szCs w:val="20"/>
                <w:color w:val="auto"/>
              </w:rPr>
            </w:pPr>
            <w:r>
              <w:rPr>
                <w:rFonts w:ascii="Arial" w:cs="Arial" w:eastAsia="Arial" w:hAnsi="Arial"/>
                <w:sz w:val="13"/>
                <w:szCs w:val="13"/>
                <w:color w:val="auto"/>
              </w:rPr>
              <w:t>Transfers from Level 3</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ind w:left="140"/>
              <w:spacing w:after="0" w:line="134" w:lineRule="exact"/>
              <w:rPr>
                <w:sz w:val="20"/>
                <w:szCs w:val="20"/>
                <w:color w:val="auto"/>
              </w:rPr>
            </w:pPr>
            <w:r>
              <w:rPr>
                <w:rFonts w:ascii="Arial" w:cs="Arial" w:eastAsia="Arial" w:hAnsi="Arial"/>
                <w:sz w:val="13"/>
                <w:szCs w:val="13"/>
                <w:color w:val="auto"/>
              </w:rPr>
              <w:t>Fair value adjustments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140"/>
              <w:spacing w:after="0"/>
              <w:rPr>
                <w:sz w:val="20"/>
                <w:szCs w:val="20"/>
                <w:color w:val="auto"/>
              </w:rPr>
            </w:pPr>
            <w:r>
              <w:rPr>
                <w:rFonts w:ascii="Arial" w:cs="Arial" w:eastAsia="Arial" w:hAnsi="Arial"/>
                <w:sz w:val="13"/>
                <w:szCs w:val="13"/>
                <w:color w:val="auto"/>
              </w:rPr>
              <w:t>included in OCI</w:t>
            </w: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Fair value adjustments</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5,649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7,394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included in earnings</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4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11,872</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12,564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6,148</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37,194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2,183</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10,199</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10,795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6,167</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35,131</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significant Level 3 inputs for fair value on a recurring basis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96"/>
              </w:rPr>
              <w:t>Level 3 Assets and Liabilities</w:t>
            </w:r>
          </w:p>
        </w:tc>
        <w:tc>
          <w:tcPr>
            <w:tcW w:w="120" w:type="dxa"/>
            <w:vAlign w:val="bottom"/>
          </w:tcPr>
          <w:p>
            <w:pPr>
              <w:spacing w:after="0"/>
              <w:rPr>
                <w:sz w:val="15"/>
                <w:szCs w:val="15"/>
                <w:color w:val="auto"/>
              </w:rPr>
            </w:pPr>
          </w:p>
        </w:tc>
        <w:tc>
          <w:tcPr>
            <w:tcW w:w="1240" w:type="dxa"/>
            <w:vAlign w:val="bottom"/>
          </w:tcPr>
          <w:p>
            <w:pPr>
              <w:ind w:left="280"/>
              <w:spacing w:after="0"/>
              <w:rPr>
                <w:sz w:val="20"/>
                <w:szCs w:val="20"/>
                <w:color w:val="auto"/>
              </w:rPr>
            </w:pPr>
            <w:r>
              <w:rPr>
                <w:rFonts w:ascii="Arial" w:cs="Arial" w:eastAsia="Arial" w:hAnsi="Arial"/>
                <w:sz w:val="16"/>
                <w:szCs w:val="16"/>
                <w:b w:val="1"/>
                <w:bCs w:val="1"/>
                <w:color w:val="auto"/>
              </w:rPr>
              <w:t>Valuation</w:t>
            </w:r>
          </w:p>
        </w:tc>
        <w:tc>
          <w:tcPr>
            <w:tcW w:w="100" w:type="dxa"/>
            <w:vAlign w:val="bottom"/>
          </w:tcPr>
          <w:p>
            <w:pPr>
              <w:spacing w:after="0"/>
              <w:rPr>
                <w:sz w:val="15"/>
                <w:szCs w:val="15"/>
                <w:color w:val="auto"/>
              </w:rPr>
            </w:pPr>
          </w:p>
        </w:tc>
        <w:tc>
          <w:tcPr>
            <w:tcW w:w="1980" w:type="dxa"/>
            <w:vAlign w:val="bottom"/>
          </w:tcPr>
          <w:p>
            <w:pPr>
              <w:ind w:left="120"/>
              <w:spacing w:after="0"/>
              <w:rPr>
                <w:sz w:val="20"/>
                <w:szCs w:val="20"/>
                <w:color w:val="auto"/>
              </w:rPr>
            </w:pPr>
            <w:r>
              <w:rPr>
                <w:rFonts w:ascii="Arial" w:cs="Arial" w:eastAsia="Arial" w:hAnsi="Arial"/>
                <w:sz w:val="16"/>
                <w:szCs w:val="16"/>
                <w:b w:val="1"/>
                <w:bCs w:val="1"/>
                <w:color w:val="auto"/>
                <w:w w:val="95"/>
              </w:rPr>
              <w:t>Significant Unobservable</w:t>
            </w:r>
          </w:p>
        </w:tc>
        <w:tc>
          <w:tcPr>
            <w:tcW w:w="120" w:type="dxa"/>
            <w:vAlign w:val="bottom"/>
          </w:tcPr>
          <w:p>
            <w:pPr>
              <w:spacing w:after="0"/>
              <w:rPr>
                <w:sz w:val="15"/>
                <w:szCs w:val="15"/>
                <w:color w:val="auto"/>
              </w:rPr>
            </w:pPr>
          </w:p>
        </w:tc>
        <w:tc>
          <w:tcPr>
            <w:tcW w:w="2620" w:type="dxa"/>
            <w:vAlign w:val="bottom"/>
            <w:gridSpan w:val="3"/>
            <w:vMerge w:val="restart"/>
          </w:tcPr>
          <w:p>
            <w:pPr>
              <w:jc w:val="right"/>
              <w:ind w:right="7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5"/>
                <w:szCs w:val="15"/>
                <w:color w:val="auto"/>
              </w:rPr>
            </w:pPr>
          </w:p>
        </w:tc>
        <w:tc>
          <w:tcPr>
            <w:tcW w:w="262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Technique</w:t>
            </w:r>
          </w:p>
        </w:tc>
        <w:tc>
          <w:tcPr>
            <w:tcW w:w="100" w:type="dxa"/>
            <w:vAlign w:val="bottom"/>
          </w:tcPr>
          <w:p>
            <w:pPr>
              <w:spacing w:after="0"/>
              <w:rPr>
                <w:sz w:val="18"/>
                <w:szCs w:val="18"/>
                <w:color w:val="auto"/>
              </w:rPr>
            </w:pPr>
          </w:p>
        </w:tc>
        <w:tc>
          <w:tcPr>
            <w:tcW w:w="198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Inputs</w:t>
            </w:r>
          </w:p>
        </w:tc>
        <w:tc>
          <w:tcPr>
            <w:tcW w:w="120" w:type="dxa"/>
            <w:vAlign w:val="bottom"/>
          </w:tcPr>
          <w:p>
            <w:pPr>
              <w:spacing w:after="0"/>
              <w:rPr>
                <w:sz w:val="18"/>
                <w:szCs w:val="18"/>
                <w:color w:val="auto"/>
              </w:rPr>
            </w:pPr>
          </w:p>
        </w:tc>
        <w:tc>
          <w:tcPr>
            <w:tcW w:w="262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Range</w:t>
            </w:r>
          </w:p>
        </w:tc>
        <w:tc>
          <w:tcPr>
            <w:tcW w:w="80" w:type="dxa"/>
            <w:vAlign w:val="bottom"/>
          </w:tcPr>
          <w:p>
            <w:pPr>
              <w:spacing w:after="0"/>
              <w:rPr>
                <w:sz w:val="13"/>
                <w:szCs w:val="13"/>
                <w:color w:val="auto"/>
              </w:rPr>
            </w:pPr>
          </w:p>
        </w:tc>
        <w:tc>
          <w:tcPr>
            <w:tcW w:w="11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3"/>
                <w:szCs w:val="13"/>
                <w:color w:val="auto"/>
              </w:rPr>
            </w:pPr>
          </w:p>
        </w:tc>
        <w:tc>
          <w:tcPr>
            <w:tcW w:w="14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Range</w:t>
            </w:r>
          </w:p>
        </w:tc>
        <w:tc>
          <w:tcPr>
            <w:tcW w:w="120" w:type="dxa"/>
            <w:vAlign w:val="bottom"/>
          </w:tcPr>
          <w:p>
            <w:pPr>
              <w:spacing w:after="0"/>
              <w:rPr>
                <w:sz w:val="13"/>
                <w:szCs w:val="13"/>
                <w:color w:val="auto"/>
              </w:rPr>
            </w:pPr>
          </w:p>
        </w:tc>
        <w:tc>
          <w:tcPr>
            <w:tcW w:w="110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48"/>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SBA/USDA loan servicing rights</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8" w:lineRule="exact"/>
              <w:rPr>
                <w:sz w:val="20"/>
                <w:szCs w:val="20"/>
                <w:color w:val="auto"/>
              </w:rPr>
            </w:pPr>
            <w:r>
              <w:rPr>
                <w:rFonts w:ascii="Arial" w:cs="Arial" w:eastAsia="Arial" w:hAnsi="Arial"/>
                <w:sz w:val="16"/>
                <w:szCs w:val="16"/>
                <w:color w:val="auto"/>
              </w:rPr>
              <w:t>Discounted cash</w:t>
            </w:r>
          </w:p>
        </w:tc>
        <w:tc>
          <w:tcPr>
            <w:tcW w:w="100" w:type="dxa"/>
            <w:vAlign w:val="bottom"/>
            <w:shd w:val="clear" w:color="auto" w:fill="CCEEFF"/>
          </w:tcPr>
          <w:p>
            <w:pPr>
              <w:spacing w:after="0"/>
              <w:rPr>
                <w:sz w:val="12"/>
                <w:szCs w:val="12"/>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8.0% - 25.0%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11.9% - 25.0%</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139"/>
        </w:trPr>
        <w:tc>
          <w:tcPr>
            <w:tcW w:w="23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100" w:type="dxa"/>
            <w:vAlign w:val="bottom"/>
            <w:shd w:val="clear" w:color="auto" w:fill="CCEEFF"/>
          </w:tcPr>
          <w:p>
            <w:pPr>
              <w:spacing w:after="0"/>
              <w:rPr>
                <w:sz w:val="12"/>
                <w:szCs w:val="12"/>
                <w:color w:val="auto"/>
              </w:rPr>
            </w:pPr>
          </w:p>
        </w:tc>
        <w:tc>
          <w:tcPr>
            <w:tcW w:w="1980" w:type="dxa"/>
            <w:vAlign w:val="bottom"/>
            <w:vMerge w:val="continue"/>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500" w:type="dxa"/>
            <w:vAlign w:val="bottom"/>
            <w:gridSpan w:val="2"/>
            <w:vMerge w:val="continue"/>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0.4 - 35.4</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16.9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0.0 - 35.4</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mortgage servicing</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10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9.5 - 11.5</w:t>
            </w:r>
          </w:p>
        </w:tc>
        <w:tc>
          <w:tcPr>
            <w:tcW w:w="120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9.5 - 11.5</w:t>
            </w:r>
          </w:p>
        </w:tc>
        <w:tc>
          <w:tcPr>
            <w:tcW w:w="12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25"/>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100" w:type="dxa"/>
            <w:vAlign w:val="bottom"/>
            <w:shd w:val="clear" w:color="auto" w:fill="CCEEFF"/>
          </w:tcPr>
          <w:p>
            <w:pPr>
              <w:spacing w:after="0"/>
              <w:rPr>
                <w:sz w:val="10"/>
                <w:szCs w:val="10"/>
                <w:color w:val="auto"/>
              </w:rPr>
            </w:pPr>
          </w:p>
        </w:tc>
        <w:tc>
          <w:tcPr>
            <w:tcW w:w="1980" w:type="dxa"/>
            <w:vAlign w:val="bottom"/>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7.0 - 29.5</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7.7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7.0 - 31.2</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9"/>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10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6.6 - 7.2</w:t>
            </w:r>
          </w:p>
        </w:tc>
        <w:tc>
          <w:tcPr>
            <w:tcW w:w="120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6.1 - 6.4</w:t>
            </w:r>
          </w:p>
        </w:tc>
        <w:tc>
          <w:tcPr>
            <w:tcW w:w="12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25"/>
        </w:trPr>
        <w:tc>
          <w:tcPr>
            <w:tcW w:w="23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flow</w:t>
            </w:r>
          </w:p>
        </w:tc>
        <w:tc>
          <w:tcPr>
            <w:tcW w:w="100" w:type="dxa"/>
            <w:vAlign w:val="bottom"/>
            <w:shd w:val="clear" w:color="auto" w:fill="CCEEFF"/>
          </w:tcPr>
          <w:p>
            <w:pPr>
              <w:spacing w:after="0"/>
              <w:rPr>
                <w:sz w:val="10"/>
                <w:szCs w:val="10"/>
                <w:color w:val="auto"/>
              </w:rPr>
            </w:pPr>
          </w:p>
        </w:tc>
        <w:tc>
          <w:tcPr>
            <w:tcW w:w="1980" w:type="dxa"/>
            <w:vAlign w:val="bottom"/>
            <w:vMerge w:val="continue"/>
            <w:shd w:val="clear" w:color="auto" w:fill="CCEEFF"/>
          </w:tcPr>
          <w:p>
            <w:pPr>
              <w:spacing w:after="0"/>
              <w:rPr>
                <w:sz w:val="10"/>
                <w:szCs w:val="10"/>
                <w:color w:val="auto"/>
              </w:rPr>
            </w:pPr>
          </w:p>
        </w:tc>
        <w:tc>
          <w:tcPr>
            <w:tcW w:w="1540" w:type="dxa"/>
            <w:vAlign w:val="bottom"/>
            <w:gridSpan w:val="2"/>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Derivative assets - mortgage</w:t>
            </w:r>
          </w:p>
        </w:tc>
        <w:tc>
          <w:tcPr>
            <w:tcW w:w="1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Internal model</w:t>
            </w: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6"/>
                <w:szCs w:val="16"/>
                <w:color w:val="auto"/>
              </w:rPr>
              <w:t>Pull through rate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60.0 - 100</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89.4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26.5 - 100</w:t>
            </w: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Derivative assets and liabilities -</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Dealer priced</w:t>
            </w:r>
          </w:p>
        </w:tc>
        <w:tc>
          <w:tcPr>
            <w:tcW w:w="10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Dealer priced</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5"/>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3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United generally records mortgage loans held for sale at fair value under the fair value option. Interest income on these loans is calculated based on the note rate of the loan and is recorded in interest revenue. In connection with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Mortgage Loans Held for Sale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December 31, 2022</w:t>
            </w:r>
          </w:p>
        </w:tc>
        <w:tc>
          <w:tcPr>
            <w:tcW w:w="1700" w:type="dxa"/>
            <w:vAlign w:val="bottom"/>
          </w:tcPr>
          <w:p>
            <w:pPr>
              <w:spacing w:after="0"/>
              <w:rPr>
                <w:sz w:val="18"/>
                <w:szCs w:val="18"/>
                <w:color w:val="auto"/>
              </w:rPr>
            </w:pPr>
          </w:p>
        </w:tc>
      </w:tr>
      <w:tr>
        <w:trPr>
          <w:trHeight w:val="212"/>
        </w:trPr>
        <w:tc>
          <w:tcPr>
            <w:tcW w:w="172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principal balance</w:t>
            </w:r>
          </w:p>
        </w:tc>
        <w:tc>
          <w:tcPr>
            <w:tcW w:w="166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26,520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11,473</w:t>
            </w:r>
          </w:p>
        </w:tc>
        <w:tc>
          <w:tcPr>
            <w:tcW w:w="1700" w:type="dxa"/>
            <w:vAlign w:val="bottom"/>
            <w:shd w:val="clear" w:color="auto" w:fill="CCEEFF"/>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27,104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11,794</w:t>
            </w:r>
          </w:p>
        </w:tc>
        <w:tc>
          <w:tcPr>
            <w:tcW w:w="17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Gain (Loss) from Change in Fair Value on Mortgage Loans Held for Sale</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680" w:type="dxa"/>
            <w:vAlign w:val="bottom"/>
            <w:tcBorders>
              <w:top w:val="single" w:sz="8" w:color="auto"/>
            </w:tcBorders>
            <w:vMerge w:val="restart"/>
          </w:tcPr>
          <w:p>
            <w:pPr>
              <w:ind w:left="2540"/>
              <w:spacing w:after="0"/>
              <w:rPr>
                <w:sz w:val="20"/>
                <w:szCs w:val="20"/>
                <w:color w:val="auto"/>
              </w:rPr>
            </w:pPr>
            <w:r>
              <w:rPr>
                <w:rFonts w:ascii="Arial" w:cs="Arial" w:eastAsia="Arial" w:hAnsi="Arial"/>
                <w:sz w:val="16"/>
                <w:szCs w:val="16"/>
                <w:b w:val="1"/>
                <w:bCs w:val="1"/>
                <w:color w:val="auto"/>
              </w:rPr>
              <w:t>Location</w:t>
            </w:r>
          </w:p>
        </w:tc>
        <w:tc>
          <w:tcPr>
            <w:tcW w:w="2020" w:type="dxa"/>
            <w:vAlign w:val="bottom"/>
            <w:tcBorders>
              <w:top w:val="single" w:sz="8" w:color="auto"/>
            </w:tcBorders>
            <w:gridSpan w:val="4"/>
          </w:tcPr>
          <w:p>
            <w:pPr>
              <w:jc w:val="right"/>
              <w:ind w:right="19"/>
              <w:spacing w:after="0" w:line="161" w:lineRule="exact"/>
              <w:rPr>
                <w:sz w:val="20"/>
                <w:szCs w:val="20"/>
                <w:color w:val="auto"/>
              </w:rPr>
            </w:pPr>
            <w:r>
              <w:rPr>
                <w:rFonts w:ascii="Arial" w:cs="Arial" w:eastAsia="Arial" w:hAnsi="Arial"/>
                <w:sz w:val="16"/>
                <w:szCs w:val="16"/>
                <w:b w:val="1"/>
                <w:bCs w:val="1"/>
                <w:color w:val="auto"/>
              </w:rPr>
              <w:t>Three Months Ended</w:t>
            </w: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5"/>
          </w:tcPr>
          <w:p>
            <w:pPr>
              <w:jc w:val="center"/>
              <w:spacing w:after="0" w:line="161" w:lineRule="exact"/>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33</w:t>
            </w:r>
          </w:p>
        </w:tc>
        <w:tc>
          <w:tcPr>
            <w:tcW w:w="90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90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2023 and December 31, 2022,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213"/>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2023</w:t>
            </w: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31,148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31,148</w:t>
            </w:r>
          </w:p>
        </w:tc>
        <w:tc>
          <w:tcPr>
            <w:tcW w:w="170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w:t>
            </w:r>
          </w:p>
        </w:tc>
        <w:tc>
          <w:tcPr>
            <w:tcW w:w="170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Mortgage loans held for sale</w:t>
            </w:r>
          </w:p>
        </w:tc>
        <w:tc>
          <w:tcPr>
            <w:tcW w:w="76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1,806</w:t>
            </w:r>
          </w:p>
        </w:tc>
        <w:tc>
          <w:tcPr>
            <w:tcW w:w="1700" w:type="dxa"/>
            <w:vAlign w:val="bottom"/>
          </w:tcPr>
          <w:p>
            <w:pPr>
              <w:spacing w:after="0"/>
              <w:rPr>
                <w:sz w:val="18"/>
                <w:szCs w:val="18"/>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loans held for sale that were acquired from Reliant were subject to a nonrecurring fair value adjustment resulting from the application of the lower of the amortized cost or fair value accounting. As of December 31, 2022, these loans were classified as nonrecurring Level 3 because the valuation of these loans was based on indicative bids provided by a broker, not corroborated by market transactions. These loans were subsequently sold during the first half of 2023.</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taxes, premises and equipment and goodwill. In addition, the tax ramifications related to the realization of the unrealized gains and losses can have a significant effect on fair value estimates and have not been considered in the estimates.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Fair Value Level</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3"/>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196"/>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HTM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2,114,901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2,132,396</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Loans and leases, net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17,204,140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16,591,141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16,591,141</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22,245,777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22,245,777</w:t>
            </w: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324,754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304,481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304,481</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HTM debt securities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2,613,648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17,417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2,173,656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2,191,073</w:t>
            </w:r>
          </w:p>
        </w:tc>
      </w:tr>
      <w:tr>
        <w:trPr>
          <w:trHeight w:val="21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Loans and leases, net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14,609,239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14,609,239</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19,876,507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19,863,380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19,863,380</w:t>
            </w:r>
          </w:p>
        </w:tc>
      </w:tr>
      <w:tr>
        <w:trPr>
          <w:trHeight w:val="21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FHLB advances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549,913</w:t>
            </w:r>
          </w:p>
        </w:tc>
      </w:tr>
      <w:tr>
        <w:trPr>
          <w:trHeight w:val="210"/>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324,663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313,380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June 30, 2023, 2.51 million additional awards could be granted under the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and option activity for the six months ended June 30,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38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1"/>
              </w:rPr>
              <w:t>Restricted Stock Unit Awards</w:t>
            </w:r>
          </w:p>
        </w:tc>
        <w:tc>
          <w:tcPr>
            <w:tcW w:w="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w w:val="89"/>
              </w:rPr>
              <w:t>Options</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center"/>
              <w:ind w:right="460"/>
              <w:spacing w:after="0" w:line="158" w:lineRule="exact"/>
              <w:rPr>
                <w:sz w:val="20"/>
                <w:szCs w:val="20"/>
                <w:color w:val="auto"/>
              </w:rPr>
            </w:pPr>
            <w:r>
              <w:rPr>
                <w:rFonts w:ascii="Arial" w:cs="Arial" w:eastAsia="Arial" w:hAnsi="Arial"/>
                <w:sz w:val="16"/>
                <w:szCs w:val="16"/>
                <w:b w:val="1"/>
                <w:bCs w:val="1"/>
                <w:color w:val="auto"/>
                <w:w w:val="93"/>
              </w:rPr>
              <w:t>Weighted-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Aggregate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88"/>
              </w:rPr>
              <w:t>Average</w:t>
            </w:r>
          </w:p>
        </w:tc>
        <w:tc>
          <w:tcPr>
            <w:tcW w:w="10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Intrinsic</w:t>
            </w:r>
          </w:p>
        </w:tc>
        <w:tc>
          <w:tcPr>
            <w:tcW w:w="8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89"/>
              </w:rPr>
              <w:t>Average Exercise</w:t>
            </w:r>
          </w:p>
        </w:tc>
        <w:tc>
          <w:tcPr>
            <w:tcW w:w="1380" w:type="dxa"/>
            <w:vAlign w:val="bottom"/>
            <w:gridSpan w:val="3"/>
          </w:tcPr>
          <w:p>
            <w:pPr>
              <w:jc w:val="center"/>
              <w:ind w:right="46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1"/>
              </w:rPr>
              <w:t>Term (Years)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Value ($000)</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Outstanding at December</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778,686</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40,338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11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292,631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643,298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(164,864)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6"/>
                <w:szCs w:val="16"/>
                <w:color w:val="auto"/>
              </w:rPr>
              <w:t>Cancelled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Outstanding at June 30,</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922,060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23,042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514,152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9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Vested / Exercisable at June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514,152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30, 2023</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granted in 2023 reflect fully vested options assumed in the Progress acquisition, with the weighted average exercise price of Progress’ fully vested converted options determined pursuant to the purchase agreement. The value of the Progress options was determined using a Black-Scholes model and was included in the purchase price for the acquisition. No compensation expense relating to options was included in earnings for the six months ended June 30, 2023 and 2022.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2023 and 2022, expense of $4.46 million and $4.62 million, respectively, was recognized related to restricted stock unit and performance stock unit awards granted to United employees, which was included in salaries and employee benefits expense. In addition, for the six months ended June 30, 2023 and 2022, $331,000 and $238,000, respectively, was recognized in other expense for restricted stock unit awards granted to members of United’s Board of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stock-based compensation expense of $1.22 million and $1.24 million was included in the determination of income tax expense for the six months ended June 30, 2023 and 2022, respectively. As of June 30, 2023, there was $20.2 million of unrecognized expense related to non-vested restricted stock unit and performance stock unit awards granted under the plan. That cost is expected to be recognized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Reclassifications Out of AOCI</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following table presents the details regarding amounts reclassified out of AOCI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3"/>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00"/>
              <w:spacing w:after="0" w:line="163" w:lineRule="exact"/>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479"/>
              <w:spacing w:after="0" w:line="163" w:lineRule="exact"/>
              <w:rPr>
                <w:sz w:val="20"/>
                <w:szCs w:val="20"/>
                <w:color w:val="auto"/>
              </w:rPr>
            </w:pPr>
            <w:r>
              <w:rPr>
                <w:rFonts w:ascii="Arial" w:cs="Arial" w:eastAsia="Arial" w:hAnsi="Arial"/>
                <w:sz w:val="16"/>
                <w:szCs w:val="16"/>
                <w:b w:val="1"/>
                <w:bCs w:val="1"/>
                <w:color w:val="auto"/>
              </w:rPr>
              <w:t>Six Months Ended</w:t>
            </w:r>
          </w:p>
        </w:tc>
        <w:tc>
          <w:tcPr>
            <w:tcW w:w="3300" w:type="dxa"/>
            <w:vAlign w:val="bottom"/>
          </w:tcPr>
          <w:p>
            <w:pPr>
              <w:spacing w:after="0"/>
              <w:rPr>
                <w:sz w:val="14"/>
                <w:szCs w:val="14"/>
                <w:color w:val="auto"/>
              </w:rPr>
            </w:pPr>
          </w:p>
        </w:tc>
      </w:tr>
      <w:tr>
        <w:trPr>
          <w:trHeight w:val="216"/>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6"/>
                <w:szCs w:val="16"/>
                <w:b w:val="1"/>
                <w:bCs w:val="1"/>
                <w:color w:val="auto"/>
                <w:w w:val="95"/>
              </w:rPr>
              <w:t>Affected Line Item in the Statement Where</w:t>
            </w:r>
          </w:p>
        </w:tc>
      </w:tr>
      <w:tr>
        <w:trPr>
          <w:trHeight w:val="207"/>
        </w:trPr>
        <w:tc>
          <w:tcPr>
            <w:tcW w:w="30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Details about AOCI Components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33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Net Income is Presented</w:t>
            </w:r>
          </w:p>
        </w:tc>
      </w:tr>
      <w:tr>
        <w:trPr>
          <w:trHeight w:val="212"/>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losses on AFS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13"/>
        </w:trPr>
        <w:tc>
          <w:tcPr>
            <w:tcW w:w="30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(1,644)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(3,688)</w:t>
            </w:r>
          </w:p>
        </w:tc>
        <w:tc>
          <w:tcPr>
            <w:tcW w:w="3300" w:type="dxa"/>
            <w:vAlign w:val="bottom"/>
          </w:tcPr>
          <w:p>
            <w:pPr>
              <w:ind w:left="120"/>
              <w:spacing w:after="0"/>
              <w:rPr>
                <w:sz w:val="20"/>
                <w:szCs w:val="20"/>
                <w:color w:val="auto"/>
              </w:rPr>
            </w:pPr>
            <w:r>
              <w:rPr>
                <w:rFonts w:ascii="Arial" w:cs="Arial" w:eastAsia="Arial" w:hAnsi="Arial"/>
                <w:sz w:val="16"/>
                <w:szCs w:val="16"/>
                <w:color w:val="auto"/>
              </w:rPr>
              <w:t>Securities gains (losses), net</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r>
      <w:tr>
        <w:trPr>
          <w:trHeight w:val="209"/>
        </w:trPr>
        <w:tc>
          <w:tcPr>
            <w:tcW w:w="30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(1,270)</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(2,709)</w:t>
            </w:r>
          </w:p>
        </w:tc>
        <w:tc>
          <w:tcPr>
            <w:tcW w:w="330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13"/>
        </w:trPr>
        <w:tc>
          <w:tcPr>
            <w:tcW w:w="5560" w:type="dxa"/>
            <w:vAlign w:val="bottom"/>
            <w:gridSpan w:val="7"/>
          </w:tcPr>
          <w:p>
            <w:pPr>
              <w:ind w:left="20"/>
              <w:spacing w:after="0"/>
              <w:rPr>
                <w:sz w:val="20"/>
                <w:szCs w:val="20"/>
                <w:color w:val="auto"/>
              </w:rPr>
            </w:pPr>
            <w:r>
              <w:rPr>
                <w:rFonts w:ascii="Arial" w:cs="Arial" w:eastAsia="Arial" w:hAnsi="Arial"/>
                <w:sz w:val="16"/>
                <w:szCs w:val="16"/>
                <w:color w:val="auto"/>
              </w:rPr>
              <w:t>Amortization of unrealized losses on HTM securities transferred from AFS: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9"/>
        </w:trPr>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 interest revenue</w:t>
            </w:r>
          </w:p>
        </w:tc>
      </w:tr>
      <w:tr>
        <w:trPr>
          <w:trHeight w:val="213"/>
        </w:trPr>
        <w:tc>
          <w:tcPr>
            <w:tcW w:w="3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3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r>
      <w:tr>
        <w:trPr>
          <w:trHeight w:val="233"/>
        </w:trPr>
        <w:tc>
          <w:tcPr>
            <w:tcW w:w="3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4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63"/>
        </w:trPr>
        <w:tc>
          <w:tcPr>
            <w:tcW w:w="3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300" w:type="dxa"/>
            <w:vAlign w:val="bottom"/>
          </w:tcPr>
          <w:p>
            <w:pPr>
              <w:spacing w:after="0"/>
              <w:rPr>
                <w:sz w:val="14"/>
                <w:szCs w:val="14"/>
                <w:color w:val="auto"/>
              </w:rPr>
            </w:pPr>
          </w:p>
        </w:tc>
      </w:tr>
      <w:tr>
        <w:trPr>
          <w:trHeight w:val="216"/>
        </w:trPr>
        <w:tc>
          <w:tcPr>
            <w:tcW w:w="55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w w:val="91"/>
              </w:rPr>
              <w:t>Reclassifications related to derivative instruments accounted for as cash flow hedges: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r>
        <w:trPr>
          <w:trHeight w:val="213"/>
        </w:trPr>
        <w:tc>
          <w:tcPr>
            <w:tcW w:w="308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1,234</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2,056</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(247)</w:t>
            </w:r>
          </w:p>
        </w:tc>
        <w:tc>
          <w:tcPr>
            <w:tcW w:w="3300" w:type="dxa"/>
            <w:vAlign w:val="bottom"/>
          </w:tcPr>
          <w:p>
            <w:pPr>
              <w:ind w:left="120"/>
              <w:spacing w:after="0"/>
              <w:rPr>
                <w:sz w:val="20"/>
                <w:szCs w:val="20"/>
                <w:color w:val="auto"/>
              </w:rPr>
            </w:pPr>
            <w:r>
              <w:rPr>
                <w:rFonts w:ascii="Arial" w:cs="Arial" w:eastAsia="Arial" w:hAnsi="Arial"/>
                <w:sz w:val="16"/>
                <w:szCs w:val="16"/>
                <w:color w:val="auto"/>
              </w:rPr>
              <w:t>Long-term debt interest expense</w:t>
            </w:r>
          </w:p>
        </w:tc>
      </w:tr>
      <w:tr>
        <w:trPr>
          <w:trHeight w:val="216"/>
        </w:trPr>
        <w:tc>
          <w:tcPr>
            <w:tcW w:w="3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r>
      <w:tr>
        <w:trPr>
          <w:trHeight w:val="213"/>
        </w:trPr>
        <w:tc>
          <w:tcPr>
            <w:tcW w:w="30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1,531</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w:t>
            </w:r>
          </w:p>
        </w:tc>
        <w:tc>
          <w:tcPr>
            <w:tcW w:w="330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r>
      <w:tr>
        <w:trPr>
          <w:trHeight w:val="183"/>
        </w:trPr>
        <w:tc>
          <w:tcPr>
            <w:tcW w:w="3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213"/>
        </w:trPr>
        <w:tc>
          <w:tcPr>
            <w:tcW w:w="5560" w:type="dxa"/>
            <w:vAlign w:val="bottom"/>
            <w:gridSpan w:val="7"/>
          </w:tcPr>
          <w:p>
            <w:pPr>
              <w:ind w:left="20"/>
              <w:spacing w:after="0"/>
              <w:rPr>
                <w:sz w:val="20"/>
                <w:szCs w:val="20"/>
                <w:color w:val="auto"/>
              </w:rPr>
            </w:pPr>
            <w:r>
              <w:rPr>
                <w:rFonts w:ascii="Arial" w:cs="Arial" w:eastAsia="Arial" w:hAnsi="Arial"/>
                <w:sz w:val="16"/>
                <w:szCs w:val="16"/>
                <w:color w:val="auto"/>
                <w:w w:val="93"/>
              </w:rPr>
              <w:t>Amortization of defined benefit pension plan net periodic pension cost components: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9"/>
        </w:trPr>
        <w:tc>
          <w:tcPr>
            <w:tcW w:w="3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Salaries and employee benefits expense</w:t>
            </w:r>
          </w:p>
        </w:tc>
      </w:tr>
      <w:tr>
        <w:trPr>
          <w:trHeight w:val="203"/>
        </w:trPr>
        <w:tc>
          <w:tcPr>
            <w:tcW w:w="3080" w:type="dxa"/>
            <w:vAlign w:val="bottom"/>
          </w:tcPr>
          <w:p>
            <w:pPr>
              <w:ind w:left="220"/>
              <w:spacing w:after="0"/>
              <w:rPr>
                <w:sz w:val="20"/>
                <w:szCs w:val="20"/>
                <w:color w:val="auto"/>
              </w:rPr>
            </w:pPr>
            <w:r>
              <w:rPr>
                <w:rFonts w:ascii="Arial" w:cs="Arial" w:eastAsia="Arial" w:hAnsi="Arial"/>
                <w:sz w:val="16"/>
                <w:szCs w:val="16"/>
                <w:color w:val="auto"/>
              </w:rPr>
              <w:t>Actuarial losses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3300" w:type="dxa"/>
            <w:vAlign w:val="bottom"/>
          </w:tcPr>
          <w:p>
            <w:pPr>
              <w:ind w:left="120"/>
              <w:spacing w:after="0"/>
              <w:rPr>
                <w:sz w:val="20"/>
                <w:szCs w:val="20"/>
                <w:color w:val="auto"/>
              </w:rPr>
            </w:pPr>
            <w:r>
              <w:rPr>
                <w:rFonts w:ascii="Arial" w:cs="Arial" w:eastAsia="Arial" w:hAnsi="Arial"/>
                <w:sz w:val="16"/>
                <w:szCs w:val="16"/>
                <w:color w:val="auto"/>
              </w:rPr>
              <w:t>Other expense</w:t>
            </w:r>
          </w:p>
        </w:tc>
      </w:tr>
      <w:tr>
        <w:trPr>
          <w:trHeight w:val="210"/>
        </w:trPr>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r>
      <w:tr>
        <w:trPr>
          <w:trHeight w:val="216"/>
        </w:trPr>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3300" w:type="dxa"/>
            <w:vAlign w:val="bottom"/>
          </w:tcPr>
          <w:p>
            <w:pPr>
              <w:ind w:left="120"/>
              <w:spacing w:after="0"/>
              <w:rPr>
                <w:sz w:val="20"/>
                <w:szCs w:val="20"/>
                <w:color w:val="auto"/>
              </w:rPr>
            </w:pPr>
            <w:r>
              <w:rPr>
                <w:rFonts w:ascii="Arial" w:cs="Arial" w:eastAsia="Arial" w:hAnsi="Arial"/>
                <w:sz w:val="16"/>
                <w:szCs w:val="16"/>
                <w:color w:val="auto"/>
              </w:rPr>
              <w:t>Income tax benefit</w:t>
            </w:r>
          </w:p>
        </w:tc>
      </w:tr>
      <w:tr>
        <w:trPr>
          <w:trHeight w:val="230"/>
        </w:trPr>
        <w:tc>
          <w:tcPr>
            <w:tcW w:w="3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r>
        <w:trPr>
          <w:trHeight w:val="163"/>
        </w:trPr>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125,588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114,861</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(3,438)</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61,227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64,761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121,470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110,827</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106,580</w:t>
            </w: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38"/>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106,697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United excluded from the above analysis 78,412 potentially dilutive shares of common stock issuable upon exercise of stock options because of their antidilutive effect. At June 30, 2022, United had no potentially dilutive instruments outstanding that were not included in the above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Regulatory Matters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June 30, 2023, and there have been no conditions or events since quarter-end that would change the status of well-capitalized.</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Regulatory capital ratios at June 30, 2023 and December 31, 2022, along with the minimum amounts required for capital adequacy purposes and to be well-capitalized under regulatory requirements in effect at such times, are presented below for United and the Bank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6"/>
              </w:rPr>
              <w:t>United Community Banks, Inc.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1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00" w:type="dxa"/>
            <w:vAlign w:val="bottom"/>
          </w:tcPr>
          <w:p>
            <w:pPr>
              <w:spacing w:after="0"/>
              <w:rPr>
                <w:sz w:val="13"/>
                <w:szCs w:val="13"/>
                <w:color w:val="auto"/>
              </w:rPr>
            </w:pPr>
          </w:p>
        </w:tc>
        <w:tc>
          <w:tcPr>
            <w:tcW w:w="1180" w:type="dxa"/>
            <w:vAlign w:val="bottom"/>
          </w:tcPr>
          <w:p>
            <w:pPr>
              <w:jc w:val="right"/>
              <w:ind w:right="319"/>
              <w:spacing w:after="0" w:line="158" w:lineRule="exact"/>
              <w:rPr>
                <w:sz w:val="20"/>
                <w:szCs w:val="20"/>
                <w:color w:val="auto"/>
              </w:rPr>
            </w:pPr>
            <w:r>
              <w:rPr>
                <w:rFonts w:ascii="Arial" w:cs="Arial" w:eastAsia="Arial" w:hAnsi="Arial"/>
                <w:sz w:val="16"/>
                <w:szCs w:val="16"/>
                <w:b w:val="1"/>
                <w:bCs w:val="1"/>
                <w:color w:val="auto"/>
              </w:rPr>
              <w:t>Well-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19"/>
              <w:spacing w:after="0" w:line="158" w:lineRule="exact"/>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4"/>
              </w:rPr>
              <w:t>December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99"/>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Capitalized</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60" w:type="dxa"/>
            <w:vAlign w:val="bottom"/>
          </w:tcPr>
          <w:p>
            <w:pPr>
              <w:ind w:left="760"/>
              <w:spacing w:after="0"/>
              <w:rPr>
                <w:sz w:val="20"/>
                <w:szCs w:val="20"/>
                <w:color w:val="auto"/>
              </w:rPr>
            </w:pPr>
            <w:r>
              <w:rPr>
                <w:rFonts w:ascii="Arial" w:cs="Arial" w:eastAsia="Arial" w:hAnsi="Arial"/>
                <w:sz w:val="16"/>
                <w:szCs w:val="16"/>
                <w:color w:val="auto"/>
                <w:w w:val="92"/>
              </w:rPr>
              <w:t>4.5 %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12.83 %</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6.0</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60" w:type="dxa"/>
            <w:vAlign w:val="bottom"/>
          </w:tcPr>
          <w:p>
            <w:pPr>
              <w:ind w:left="760"/>
              <w:spacing w:after="0"/>
              <w:rPr>
                <w:sz w:val="20"/>
                <w:szCs w:val="20"/>
                <w:color w:val="auto"/>
              </w:rPr>
            </w:pPr>
            <w:r>
              <w:rPr>
                <w:rFonts w:ascii="Arial" w:cs="Arial" w:eastAsia="Arial" w:hAnsi="Arial"/>
                <w:sz w:val="16"/>
                <w:szCs w:val="16"/>
                <w:color w:val="auto"/>
              </w:rPr>
              <w:t>8.0</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2,366,637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2,164,211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2,400,649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2,255,337</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2,462,802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2,260,633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2,400,649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2,255,337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2,827,580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2,610,216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2,589,591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2,408,895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19,409,980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17,648,573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19,335,994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17,583,347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Average total assets for the leverage ratio</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25,160,884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23,322,018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25,120,784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23,285,253</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As of June 30, 2023 and December 31, 2022 the additional capital conservation buffer in effect was 2.50%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4,755,317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4,683,790</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46,896</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Credit and Certain Equity Investments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investment balance, any future funding commitments and the balance of any related loans to the entity. Loans to these entities are underwritten in substantially the same manner as other loans and are generally secured.</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as of the dates indicated, tax credit and certain equity method investments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w w:val="87"/>
              </w:rPr>
              <w:t>June 30, 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19"/>
                <w:szCs w:val="19"/>
                <w:color w:val="auto"/>
              </w:rPr>
            </w:pPr>
          </w:p>
        </w:tc>
        <w:tc>
          <w:tcPr>
            <w:tcW w:w="1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7"/>
              </w:rPr>
              <w:t>Balance Sheet Location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LIHTC:</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Carrying amount</w:t>
            </w:r>
          </w:p>
        </w:tc>
        <w:tc>
          <w:tcPr>
            <w:tcW w:w="1920" w:type="dxa"/>
            <w:vAlign w:val="bottom"/>
          </w:tcPr>
          <w:p>
            <w:pPr>
              <w:spacing w:after="0"/>
              <w:rPr>
                <w:sz w:val="20"/>
                <w:szCs w:val="20"/>
                <w:color w:val="auto"/>
              </w:rPr>
            </w:pPr>
            <w:r>
              <w:rPr>
                <w:rFonts w:ascii="Arial" w:cs="Arial" w:eastAsia="Arial" w:hAnsi="Arial"/>
                <w:sz w:val="16"/>
                <w:szCs w:val="16"/>
                <w:color w:val="auto"/>
              </w:rPr>
              <w:t>Other assets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52,112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50,054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18,090</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Renewable energy investments: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Carrying amount</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19,617</w:t>
            </w: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1920" w:type="dxa"/>
            <w:vAlign w:val="bottom"/>
          </w:tcPr>
          <w:p>
            <w:pPr>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18,781</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Fintech funds and certain other equity method investments:</w:t>
            </w: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Carrying amount</w:t>
            </w:r>
          </w:p>
        </w:tc>
        <w:tc>
          <w:tcPr>
            <w:tcW w:w="1920" w:type="dxa"/>
            <w:vAlign w:val="bottom"/>
          </w:tcPr>
          <w:p>
            <w:pPr>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27,569</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 of future funding commitments included in carrying amount</w:t>
            </w: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0"/>
        </w:trPr>
        <w:tc>
          <w:tcPr>
            <w:tcW w:w="6480" w:type="dxa"/>
            <w:vAlign w:val="bottom"/>
          </w:tcPr>
          <w:p>
            <w:pPr>
              <w:ind w:left="140"/>
              <w:spacing w:after="0"/>
              <w:rPr>
                <w:sz w:val="20"/>
                <w:szCs w:val="20"/>
                <w:color w:val="auto"/>
              </w:rPr>
            </w:pPr>
            <w:r>
              <w:rPr>
                <w:rFonts w:ascii="Arial" w:cs="Arial" w:eastAsia="Arial" w:hAnsi="Arial"/>
                <w:sz w:val="16"/>
                <w:szCs w:val="16"/>
                <w:color w:val="auto"/>
              </w:rPr>
              <w:t>Amount of future funding commitments not included in carrying amount</w:t>
            </w:r>
          </w:p>
        </w:tc>
        <w:tc>
          <w:tcPr>
            <w:tcW w:w="1920" w:type="dxa"/>
            <w:vAlign w:val="bottom"/>
          </w:tcPr>
          <w:p>
            <w:pP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First Miami</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quarter-end, on July 1, 2023, United acquired all of the outstanding common stock of First Miami in a stock transaction. First Miami is headquartered in South Miami, Florida, and operates three offices in the Miami metropolitan area. As of June 30, 2023, First Miami had total assets of $992 million, total loans of $618 million, and total deposits of $836 million. In addition to traditional banking products, First Miami offers private banking, trust and wealth management with approximately $308 million in assets under administration as of June 30, 2023.</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Miami shareholders received 3.5 million shares of United common stock valued at $87.7 million.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Share Repurchases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quarter-end through August 3, 2023, United repurchased 167,322 depositary shares of preferred stock totaling $3.45 million through its preferred stock repurchase program. As of August 3, 2023, United had remaining authorization to repurchase up to $21.3 million of outstanding preferred stock under the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is a discussion of our financial condition at June 30, 2023 and December 31, 2022 and our results of operations for the three and six months ended June 30, 2023 and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2022 10-K and referenced in Part II, Item 1.A. of this Report, and the other reports we have filed with the SEC after we filed the 2022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primarily through a 209 branch network throughout Georgia, South Carolina, North Carolina, Tennessee, Florida and Alabama. We have grown organically as well as through strategic acquisitions. At June 30, 2023, we had consolidated total assets of $26.1 billion and 3,064 full-time equivalent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3, 2023, we completed the acquisition of Progress, which operated 13 offices primarily located in Alabama and the Florida Panhandle. We acquired $1.90 billion of assets and assumed $1.60 billion of liabilities in the acquisition, which included $1.44 billion in loans and $1.33 billion in deposits. Progress results are included in the consolidated financial statements beginning on the acquisition date.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current reporting period, on July 1, 2023, we completed the acquisition of First Miami, which was headquartered in South Miami, Florida and operated 3 offices in the Miami metropolitan area. As of June 30, 2023, First Miami had total assets of $992 million, total loans of $618 million, and total deposits of $836 million. In addition to traditional banking products, First Miami offers private banking, trust and wealth management with approximately $308 million in assets under administration as of June 30, 2023. The financial statement impact of the First Miami acquisition will be reflected in our consolidated financial statements starting in the third quarter of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Discontinuance of LIBOR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preparation for the discontinuance of LIBOR effective immediately after June 30, 2023, our new adjustable rate loan production has been originated with an ARR, such as SOFR. However, LIBOR continues to remain the reference rate in a significant number of our outstanding debt securities, loans, derivatives and long-term debt, and in certain other assets and liabilities. Effective with the first rate reset with a reference date after June 30, 2023, these instruments will convert to an ARR, such as SOFR.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reported net income and diluted earnings per common share of $63.3 million and $0.53, respectively, for the second quarter of 2023 compared to $66.8 million and $0.61, respectively, for the same period in 2022. Operating net income (non-GAAP), which excludes merger-related and other charges, was $66.1 million for the second quarter of 2023, compared to $72.4 million for the same period in 2022. The decrease in net income resulted primarily from higher expenses and an increase in provision for credit losses partly offset by higher net interest revenue and noninterest income.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revenue increased to $200 million for the second quarter of 2023, compared to $179 million for the second quarter of 2022. The increase in interest revenue was provided by loan growth, including loans acquired from Progress, and higher interest rates earned on our average loan and securities portfolios. The increase in interest revenue was partially offset by increases in interest expense resulting from higher rates paid on deposits, a less favorable deposit mix and utilization of wholesale borrowings, which are more costly than customer deposits. Our net interest spread decreased 61 basis points to 2.47%, reflecting a steeper increase in rates paid on deposits compared to that of loans since the second quarter of 2022. However, loan growth more than offset the impact of the rising deposit rates on our net interest margin, which increased to 3.37% for the second quarter of 2023 compared to 3.19% for the same period of last year.</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provision for credit losses of $22.8 million for the second quarter of 2023, compared to a provision of $5.60 million for the second quarter of 2022. The provision expense recorded in the second quarter of 2023 resulted from loan growth, current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net charge offs of $8.40 million and a less favorable current economic forecast for the commercial real estate price index compared to that as of the prior quarter-end.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of $36.4 million for the second quarter of 2023 was up $2.93 million, or 9%, from the second quarter of 2022. The increase was driven by unrealized gains on other investments compared to losses in the same period of 2022, a more favorable negative fair value adjustment on our SBA loan servicing asset and a gain on sale of a commercial insurance book of business of $1.59 million. These increases were partially offset by a decrease in gains on sales of other loans as we sold fewer loans compared to the same period of 2022.</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of 2023, noninterest expenses of $132 million increased $11.6 million, or 10%, compared to the same period of 2022. The increase was primarily attributable to a $7.02 million increase in salaries and employee benefits, mostly driven by the addition of Progress employees. Other contributors to the increase included increases in FDIC assessment expense and amortization of intangibles, which was driven by the addition of the Progress core deposit intangible.</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June 30, 2023 and 2022, we reported net income of $126 million and $115 million, respectively, and diluted earnings per common share of $1.05 and $1.04, respectively. Operating net income (non-GAAP) for the six months ended June 30, 2023 and 2022 was $135 million and $127 million, respectively, which excludes merger-related and other charges for both periods. Net interest revenue and net interest margin for the six months ended June 30, 2023 were $412 million and 3.49%, respectively, compared to $343 million and 3.08%, respectively, for the same period in 2022. In addition to the factors affecting the second quarter of 2023, results of operations for the six months ended June 30, 2023 include a reduction in mortgage loan gains and other related fees of $12.0 million driven by a decrease in demand resulting from the rising interest rate environment. In addition, provision expense for the six months ended June 30, 2023 and 2022 included initial provisions for credit losses on non-PCD loans and unfunded commitments acquired from Progress and Reliant of $10.4 million and $18.3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second quarter and first six months of 2023 are discussed in further detail throughout the following sections of MD&amp;A.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2022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 Financial Highlights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For the Six Months Ended</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Second</w:t>
            </w:r>
          </w:p>
        </w:tc>
        <w:tc>
          <w:tcPr>
            <w:tcW w:w="980" w:type="dxa"/>
            <w:vAlign w:val="bottom"/>
            <w:gridSpan w:val="2"/>
          </w:tcPr>
          <w:p>
            <w:pPr>
              <w:jc w:val="center"/>
              <w:ind w:left="48"/>
              <w:spacing w:after="0" w:line="139" w:lineRule="exact"/>
              <w:rPr>
                <w:sz w:val="20"/>
                <w:szCs w:val="20"/>
                <w:color w:val="auto"/>
              </w:rPr>
            </w:pPr>
            <w:r>
              <w:rPr>
                <w:rFonts w:ascii="Arial" w:cs="Arial" w:eastAsia="Arial" w:hAnsi="Arial"/>
                <w:sz w:val="14"/>
                <w:szCs w:val="14"/>
                <w:b w:val="1"/>
                <w:bCs w:val="1"/>
                <w:color w:val="auto"/>
                <w:w w:val="93"/>
              </w:rPr>
              <w:t>2023 - 2022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720" w:type="dxa"/>
            <w:vAlign w:val="bottom"/>
          </w:tcPr>
          <w:p>
            <w:pPr>
              <w:jc w:val="right"/>
              <w:ind w:right="128"/>
              <w:spacing w:after="0" w:line="139"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SUMMARY</w:t>
            </w: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295,775</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279,487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240,831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213,887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187,378</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575,262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98"/>
              </w:rPr>
              <w:t>358,437</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95,489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68,017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30,943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14,113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8,475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163,506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15,742</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revenue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200,286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211,470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209,888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199,774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178,903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411,756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8"/>
              </w:rPr>
              <w:t>342,695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21,783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19,831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15,392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44,536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28,690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 income</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36,387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30,209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33,354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31,922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33,458</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66,596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72,431</w:t>
            </w:r>
          </w:p>
        </w:tc>
        <w:tc>
          <w:tcPr>
            <w:tcW w:w="8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9"/>
        </w:trPr>
        <w:tc>
          <w:tcPr>
            <w:tcW w:w="2340" w:type="dxa"/>
            <w:vAlign w:val="bottom"/>
          </w:tcPr>
          <w:p>
            <w:pPr>
              <w:ind w:left="14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213,920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219,896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223,411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216,304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206,757</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433,816</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98"/>
              </w:rPr>
              <w:t>386,436</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expenses</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132,407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139,805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117,329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112,755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120,790</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272,212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98"/>
              </w:rPr>
              <w:t>240,065</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2340" w:type="dxa"/>
            <w:vAlign w:val="bottom"/>
          </w:tcPr>
          <w:p>
            <w:pPr>
              <w:ind w:left="140"/>
              <w:spacing w:after="0"/>
              <w:rPr>
                <w:sz w:val="20"/>
                <w:szCs w:val="20"/>
                <w:color w:val="auto"/>
              </w:rPr>
            </w:pPr>
            <w:r>
              <w:rPr>
                <w:rFonts w:ascii="Arial" w:cs="Arial" w:eastAsia="Arial" w:hAnsi="Arial"/>
                <w:sz w:val="14"/>
                <w:szCs w:val="14"/>
                <w:color w:val="auto"/>
              </w:rPr>
              <w:t>Income before income tax expense</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81,513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80,091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106,082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103,549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85,967</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161,604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146,371</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18,225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17,791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24,632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22,388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19,125</w:t>
            </w:r>
          </w:p>
        </w:tc>
        <w:tc>
          <w:tcPr>
            <w:tcW w:w="9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36,016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31,510</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1"/>
        </w:trPr>
        <w:tc>
          <w:tcPr>
            <w:tcW w:w="234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63,288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62,300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66,842</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125,588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114,861</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16,159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40" w:type="dxa"/>
            <w:vAlign w:val="bottom"/>
          </w:tcPr>
          <w:p>
            <w:pPr>
              <w:ind w:left="20"/>
              <w:spacing w:after="0" w:line="143" w:lineRule="exact"/>
              <w:rPr>
                <w:sz w:val="20"/>
                <w:szCs w:val="20"/>
                <w:color w:val="auto"/>
              </w:rPr>
            </w:pPr>
            <w:r>
              <w:rPr>
                <w:rFonts w:ascii="Arial" w:cs="Arial" w:eastAsia="Arial" w:hAnsi="Arial"/>
                <w:sz w:val="14"/>
                <w:szCs w:val="14"/>
                <w:color w:val="auto"/>
              </w:rPr>
              <w:t>Income tax benefit of merger-related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color w:val="auto"/>
              </w:rPr>
              <w:t>and other charges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3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 xml:space="preserve">Net income - operating </w:t>
            </w:r>
            <w:r>
              <w:rPr>
                <w:rFonts w:ascii="Arial" w:cs="Arial" w:eastAsia="Arial" w:hAnsi="Arial"/>
                <w:sz w:val="9"/>
                <w:szCs w:val="9"/>
                <w:b w:val="1"/>
                <w:b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66,113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68,976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82,597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82,522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72,410</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135,089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98"/>
              </w:rPr>
              <w:t>127,482</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PERFORMANCE MEASURES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40" w:type="dxa"/>
            <w:vAlign w:val="bottom"/>
          </w:tcPr>
          <w:p>
            <w:pPr>
              <w:ind w:left="140"/>
              <w:spacing w:after="0"/>
              <w:rPr>
                <w:sz w:val="20"/>
                <w:szCs w:val="20"/>
                <w:color w:val="auto"/>
              </w:rPr>
            </w:pPr>
            <w:r>
              <w:rPr>
                <w:rFonts w:ascii="Arial" w:cs="Arial" w:eastAsia="Arial" w:hAnsi="Arial"/>
                <w:sz w:val="14"/>
                <w:szCs w:val="14"/>
                <w:color w:val="auto"/>
              </w:rPr>
              <w:t>Per common 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 net income -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0.53</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0.52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0.74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0.74</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0.61</w:t>
            </w:r>
          </w:p>
        </w:tc>
        <w:tc>
          <w:tcPr>
            <w:tcW w:w="9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1.04</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34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Diluted net income - operating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0.58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0.66</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1.16</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dividends declared</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0.21</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0.42</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2340" w:type="dxa"/>
            <w:vAlign w:val="bottom"/>
          </w:tcPr>
          <w:p>
            <w:pPr>
              <w:ind w:left="220"/>
              <w:spacing w:after="0"/>
              <w:rPr>
                <w:sz w:val="20"/>
                <w:szCs w:val="20"/>
                <w:color w:val="auto"/>
              </w:rPr>
            </w:pPr>
            <w:r>
              <w:rPr>
                <w:rFonts w:ascii="Arial" w:cs="Arial" w:eastAsia="Arial" w:hAnsi="Arial"/>
                <w:sz w:val="14"/>
                <w:szCs w:val="14"/>
                <w:color w:val="auto"/>
              </w:rPr>
              <w:t>Book value</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23.96</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23.96</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8"/>
                <w:szCs w:val="18"/>
                <w:color w:val="auto"/>
                <w:vertAlign w:val="superscript"/>
              </w:rPr>
              <w:t>(3)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16.68</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16.68</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340" w:type="dxa"/>
            <w:vAlign w:val="bottom"/>
          </w:tcPr>
          <w:p>
            <w:pPr>
              <w:ind w:left="140"/>
              <w:spacing w:after="0"/>
              <w:rPr>
                <w:sz w:val="20"/>
                <w:szCs w:val="20"/>
                <w:color w:val="auto"/>
              </w:rPr>
            </w:pPr>
            <w:r>
              <w:rPr>
                <w:rFonts w:ascii="Arial" w:cs="Arial" w:eastAsia="Arial" w:hAnsi="Arial"/>
                <w:sz w:val="14"/>
                <w:szCs w:val="14"/>
                <w:color w:val="auto"/>
              </w:rPr>
              <w:t>Key performance ratios: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ind w:left="220"/>
              <w:spacing w:after="0" w:line="141" w:lineRule="exact"/>
              <w:rPr>
                <w:sz w:val="20"/>
                <w:szCs w:val="20"/>
                <w:color w:val="auto"/>
              </w:rPr>
            </w:pPr>
            <w:r>
              <w:rPr>
                <w:rFonts w:ascii="Arial" w:cs="Arial" w:eastAsia="Arial" w:hAnsi="Arial"/>
                <w:sz w:val="14"/>
                <w:szCs w:val="14"/>
                <w:color w:val="auto"/>
              </w:rPr>
              <w:t>Return on common equity -</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ind w:left="220"/>
              <w:spacing w:after="0" w:line="213" w:lineRule="exact"/>
              <w:rPr>
                <w:sz w:val="20"/>
                <w:szCs w:val="20"/>
                <w:color w:val="auto"/>
              </w:rPr>
            </w:pPr>
            <w:r>
              <w:rPr>
                <w:rFonts w:ascii="Arial" w:cs="Arial" w:eastAsia="Arial" w:hAnsi="Arial"/>
                <w:sz w:val="24"/>
                <w:szCs w:val="24"/>
                <w:color w:val="auto"/>
                <w:vertAlign w:val="subscript"/>
              </w:rPr>
              <w:t>GAAP</w:t>
            </w:r>
            <w:r>
              <w:rPr>
                <w:rFonts w:ascii="Arial" w:cs="Arial" w:eastAsia="Arial" w:hAnsi="Arial"/>
                <w:sz w:val="9"/>
                <w:szCs w:val="9"/>
                <w:color w:val="auto"/>
              </w:rPr>
              <w:t xml:space="preserve"> (2)(4)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220"/>
              <w:spacing w:after="0" w:line="135" w:lineRule="exact"/>
              <w:rPr>
                <w:sz w:val="20"/>
                <w:szCs w:val="20"/>
                <w:color w:val="auto"/>
              </w:rPr>
            </w:pPr>
            <w:r>
              <w:rPr>
                <w:rFonts w:ascii="Arial" w:cs="Arial" w:eastAsia="Arial" w:hAnsi="Arial"/>
                <w:sz w:val="14"/>
                <w:szCs w:val="14"/>
                <w:color w:val="auto"/>
              </w:rPr>
              <w:t>Return on common equity -</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8.98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(1)(2)(4)</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Return on tangible common</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15.60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12.62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 xml:space="preserve">equity - operating </w:t>
            </w:r>
            <w:r>
              <w:rPr>
                <w:rFonts w:ascii="Arial" w:cs="Arial" w:eastAsia="Arial" w:hAnsi="Arial"/>
                <w:sz w:val="9"/>
                <w:szCs w:val="9"/>
                <w:color w:val="auto"/>
              </w:rPr>
              <w:t>(1)(2)(3)(4)</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Return on assets - GAAP </w:t>
            </w:r>
            <w:r>
              <w:rPr>
                <w:rFonts w:ascii="Arial" w:cs="Arial" w:eastAsia="Arial" w:hAnsi="Arial"/>
                <w:sz w:val="18"/>
                <w:szCs w:val="18"/>
                <w:color w:val="auto"/>
                <w:vertAlign w:val="superscript"/>
              </w:rPr>
              <w:t>(4)</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Return on assets - operating </w:t>
            </w:r>
            <w:r>
              <w:rPr>
                <w:rFonts w:ascii="Arial" w:cs="Arial" w:eastAsia="Arial" w:hAnsi="Arial"/>
                <w:sz w:val="18"/>
                <w:szCs w:val="18"/>
                <w:color w:val="auto"/>
                <w:vertAlign w:val="superscript"/>
              </w:rPr>
              <w:t>(1)(4)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220"/>
              <w:spacing w:after="0"/>
              <w:rPr>
                <w:sz w:val="20"/>
                <w:szCs w:val="20"/>
                <w:color w:val="auto"/>
              </w:rPr>
            </w:pPr>
            <w:r>
              <w:rPr>
                <w:rFonts w:ascii="Arial" w:cs="Arial" w:eastAsia="Arial" w:hAnsi="Arial"/>
                <w:sz w:val="14"/>
                <w:szCs w:val="14"/>
                <w:color w:val="auto"/>
              </w:rPr>
              <w:t xml:space="preserve">Net interest margin (FTE) </w:t>
            </w:r>
            <w:r>
              <w:rPr>
                <w:rFonts w:ascii="Arial" w:cs="Arial" w:eastAsia="Arial" w:hAnsi="Arial"/>
                <w:sz w:val="9"/>
                <w:szCs w:val="9"/>
                <w:color w:val="auto"/>
              </w:rPr>
              <w:t>(4)</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Efficiency ratio - GAAP</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55.71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57.20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47.95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48.41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56.58</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56.46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57.00</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Efficiency ratio - operating </w:t>
            </w:r>
            <w:r>
              <w:rPr>
                <w:rFonts w:ascii="Arial" w:cs="Arial" w:eastAsia="Arial" w:hAnsi="Arial"/>
                <w:sz w:val="18"/>
                <w:szCs w:val="18"/>
                <w:color w:val="auto"/>
                <w:vertAlign w:val="superscript"/>
              </w:rPr>
              <w:t>(1)</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54.17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53.67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53.23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53.16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to total assets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11.90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10.95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10.95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40" w:type="dxa"/>
            <w:vAlign w:val="bottom"/>
          </w:tcPr>
          <w:p>
            <w:pPr>
              <w:ind w:left="220"/>
              <w:spacing w:after="0" w:line="138" w:lineRule="exact"/>
              <w:rPr>
                <w:sz w:val="20"/>
                <w:szCs w:val="20"/>
                <w:color w:val="auto"/>
              </w:rPr>
            </w:pPr>
            <w:r>
              <w:rPr>
                <w:rFonts w:ascii="Arial" w:cs="Arial" w:eastAsia="Arial" w:hAnsi="Arial"/>
                <w:sz w:val="14"/>
                <w:szCs w:val="14"/>
                <w:color w:val="auto"/>
              </w:rPr>
              <w:t>Tangible common equity to</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340" w:type="dxa"/>
            <w:vAlign w:val="bottom"/>
          </w:tcPr>
          <w:p>
            <w:pPr>
              <w:ind w:left="220"/>
              <w:spacing w:after="0" w:line="200" w:lineRule="exact"/>
              <w:rPr>
                <w:sz w:val="20"/>
                <w:szCs w:val="20"/>
                <w:color w:val="auto"/>
              </w:rPr>
            </w:pPr>
            <w:r>
              <w:rPr>
                <w:rFonts w:ascii="Arial" w:cs="Arial" w:eastAsia="Arial" w:hAnsi="Arial"/>
                <w:sz w:val="14"/>
                <w:szCs w:val="14"/>
                <w:color w:val="auto"/>
              </w:rPr>
              <w:t xml:space="preserve">tangible assets </w:t>
            </w:r>
            <w:r>
              <w:rPr>
                <w:rFonts w:ascii="Arial" w:cs="Arial" w:eastAsia="Arial" w:hAnsi="Arial"/>
                <w:sz w:val="18"/>
                <w:szCs w:val="18"/>
                <w:color w:val="auto"/>
                <w:vertAlign w:val="superscript"/>
              </w:rPr>
              <w:t>(3)</w:t>
            </w: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ASSET QUALITY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NPAs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103,737</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73,403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44,281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35,511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34,428</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103,737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34,428</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6"/>
        </w:trPr>
        <w:tc>
          <w:tcPr>
            <w:tcW w:w="2340" w:type="dxa"/>
            <w:vAlign w:val="bottom"/>
          </w:tcPr>
          <w:p>
            <w:pPr>
              <w:ind w:left="140"/>
              <w:spacing w:after="0"/>
              <w:rPr>
                <w:sz w:val="20"/>
                <w:szCs w:val="20"/>
                <w:color w:val="auto"/>
              </w:rPr>
            </w:pPr>
            <w:r>
              <w:rPr>
                <w:rFonts w:ascii="Arial" w:cs="Arial" w:eastAsia="Arial" w:hAnsi="Arial"/>
                <w:sz w:val="14"/>
                <w:szCs w:val="14"/>
                <w:color w:val="auto"/>
              </w:rPr>
              <w:t>ACL - loans</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190,705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176,534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159,357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148,502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136,925</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190,705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136,925</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charge-offs (recoveries)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8,399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7,084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(1,069)</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15,483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1,909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ACL - loans to loans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0.94 %</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0.94 %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Net charge-offs (recoveries) to</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 xml:space="preserve">average loans </w:t>
            </w:r>
            <w:r>
              <w:rPr>
                <w:rFonts w:ascii="Arial" w:cs="Arial" w:eastAsia="Arial" w:hAnsi="Arial"/>
                <w:sz w:val="9"/>
                <w:szCs w:val="9"/>
                <w:color w:val="auto"/>
              </w:rPr>
              <w:t>(4)</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NPAs to total assets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17,395</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17,125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15,335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14,882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14,541</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17,395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14,541</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5,914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5,915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6,228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6,539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6,683</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5,914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6,683</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24,009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24,213</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26,120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24,213</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22,252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22,005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19,877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20,321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20,873</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22,252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20,873</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3,078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2,635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2,651</w:t>
            </w:r>
          </w:p>
        </w:tc>
        <w:tc>
          <w:tcPr>
            <w:tcW w:w="9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3,106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2,651</w:t>
            </w:r>
          </w:p>
        </w:tc>
        <w:tc>
          <w:tcPr>
            <w:tcW w:w="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340" w:type="dxa"/>
            <w:vAlign w:val="bottom"/>
          </w:tcPr>
          <w:p>
            <w:pPr>
              <w:ind w:left="140"/>
              <w:spacing w:after="0" w:line="135" w:lineRule="exact"/>
              <w:rPr>
                <w:sz w:val="20"/>
                <w:szCs w:val="20"/>
                <w:color w:val="auto"/>
              </w:rPr>
            </w:pPr>
            <w:r>
              <w:rPr>
                <w:rFonts w:ascii="Arial" w:cs="Arial" w:eastAsia="Arial" w:hAnsi="Arial"/>
                <w:sz w:val="14"/>
                <w:szCs w:val="14"/>
                <w:color w:val="auto"/>
              </w:rPr>
              <w:t>Common shares outstanding</w:t>
            </w: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115,266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115,152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106,223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106,163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106,034</w:t>
            </w: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115,266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w w:val="98"/>
              </w:rPr>
              <w:t>106,034</w:t>
            </w:r>
          </w:p>
        </w:tc>
        <w:tc>
          <w:tcPr>
            <w:tcW w:w="80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8"/>
        <w:spacing w:after="0" w:line="235" w:lineRule="auto"/>
        <w:tabs>
          <w:tab w:leader="none" w:pos="139"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 xml:space="preserve">Excludes merger-related and other charges. </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Net income less preferred stock dividends, divided by average realized common equity, which excludes AOCI.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Annualized.</w:t>
      </w:r>
    </w:p>
    <w:p>
      <w:pPr>
        <w:sectPr>
          <w:pgSz w:w="11900" w:h="16838" w:orient="portrait"/>
          <w:cols w:equalWidth="0" w:num="1">
            <w:col w:w="11240"/>
          </w:cols>
          <w:pgMar w:left="320" w:top="724"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Performance Measures Reconciliation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spacing w:after="0" w:line="145" w:lineRule="exact"/>
              <w:rPr>
                <w:sz w:val="20"/>
                <w:szCs w:val="20"/>
                <w:color w:val="auto"/>
              </w:rPr>
            </w:pPr>
            <w:r>
              <w:rPr>
                <w:rFonts w:ascii="Arial" w:cs="Arial" w:eastAsia="Arial" w:hAnsi="Arial"/>
                <w:sz w:val="14"/>
                <w:szCs w:val="14"/>
                <w:b w:val="1"/>
                <w:bCs w:val="1"/>
                <w:color w:val="auto"/>
                <w:w w:val="96"/>
              </w:rPr>
              <w:t>For the Six Months Ended June</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208"/>
              <w:spacing w:after="0" w:line="129"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208"/>
              <w:spacing w:after="0" w:line="129"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08"/>
              <w:spacing w:after="0" w:line="129" w:lineRule="exact"/>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Noninterest expense reconciliation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expenses (GAAP)</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132,407</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139,805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117,329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112,755</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120,790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272,212</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240,065</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(8,631)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(12,276)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227"/>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Noninterest expenses - operating</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128,762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131,174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115,859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111,009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113,647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259,936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223,906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Net income (GAAP)</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63,288</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62,300</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81,450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81,161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66,842</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125,588</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114,861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Income tax benefit of merger-related and other charges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 operating</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66,113</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68,976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82,597</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82,522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72,410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135,089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127,482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Diluted income per common share (GAAP)</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0.53</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0.52</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0.74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0.74</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0.61</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1.05</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99"/>
        </w:trPr>
        <w:tc>
          <w:tcPr>
            <w:tcW w:w="3680" w:type="dxa"/>
            <w:vAlign w:val="bottom"/>
          </w:tcPr>
          <w:p>
            <w:pPr>
              <w:ind w:left="140"/>
              <w:spacing w:after="0"/>
              <w:rPr>
                <w:sz w:val="20"/>
                <w:szCs w:val="20"/>
                <w:color w:val="auto"/>
              </w:rPr>
            </w:pPr>
            <w:r>
              <w:rPr>
                <w:rFonts w:ascii="Arial" w:cs="Arial" w:eastAsia="Arial" w:hAnsi="Arial"/>
                <w:sz w:val="14"/>
                <w:szCs w:val="14"/>
                <w:color w:val="auto"/>
              </w:rPr>
              <w:t>Diluted income per common share - operating</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0.55</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0.58</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0.75</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0.75</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0.66</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Book value per common share (GAAP)</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25.98</w:t>
            </w:r>
          </w:p>
        </w:tc>
        <w:tc>
          <w:tcPr>
            <w:tcW w:w="3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25.76</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24.38</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23.78</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23.96</w:t>
            </w:r>
          </w:p>
        </w:tc>
        <w:tc>
          <w:tcPr>
            <w:tcW w:w="3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25.98</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Tangible book value per common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17.59</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17.13</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16.68</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Return on common equity (GAAP)</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7.41 %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8.07 %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79"/>
        </w:trPr>
        <w:tc>
          <w:tcPr>
            <w:tcW w:w="3680" w:type="dxa"/>
            <w:vAlign w:val="bottom"/>
          </w:tcPr>
          <w:p>
            <w:pPr>
              <w:ind w:left="20"/>
              <w:spacing w:after="0"/>
              <w:rPr>
                <w:sz w:val="20"/>
                <w:szCs w:val="20"/>
                <w:color w:val="auto"/>
              </w:rPr>
            </w:pPr>
            <w:r>
              <w:rPr>
                <w:rFonts w:ascii="Arial" w:cs="Arial" w:eastAsia="Arial" w:hAnsi="Arial"/>
                <w:sz w:val="14"/>
                <w:szCs w:val="14"/>
                <w:color w:val="auto"/>
              </w:rPr>
              <w:t>Return on common equity - operating</w:t>
            </w:r>
          </w:p>
        </w:tc>
        <w:tc>
          <w:tcPr>
            <w:tcW w:w="18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9"/>
        </w:trPr>
        <w:tc>
          <w:tcPr>
            <w:tcW w:w="3680" w:type="dxa"/>
            <w:vAlign w:val="bottom"/>
          </w:tcPr>
          <w:p>
            <w:pPr>
              <w:ind w:left="140"/>
              <w:spacing w:after="0"/>
              <w:rPr>
                <w:sz w:val="20"/>
                <w:szCs w:val="20"/>
                <w:color w:val="auto"/>
              </w:rPr>
            </w:pPr>
            <w:r>
              <w:rPr>
                <w:rFonts w:ascii="Arial" w:cs="Arial" w:eastAsia="Arial" w:hAnsi="Arial"/>
                <w:sz w:val="14"/>
                <w:szCs w:val="14"/>
                <w:color w:val="auto"/>
              </w:rPr>
              <w:t>Return on tangible common equity - operating</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14.20 %</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12.62 %</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Return on assets (GAAP)</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0.93 %</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Return on assets - operating</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40"/>
          </w:cols>
          <w:pgMar w:left="320" w:top="1062" w:right="339" w:bottom="1440" w:gutter="0" w:footer="0" w:header="0"/>
        </w:sectPr>
      </w:pPr>
    </w:p>
    <w:p>
      <w:pPr>
        <w:ind w:left="20"/>
        <w:spacing w:after="0"/>
        <w:rPr>
          <w:sz w:val="20"/>
          <w:szCs w:val="20"/>
          <w:color w:val="auto"/>
        </w:rPr>
      </w:pPr>
      <w:r>
        <w:rPr>
          <w:rFonts w:ascii="Arial" w:cs="Arial" w:eastAsia="Arial" w:hAnsi="Arial"/>
          <w:sz w:val="13"/>
          <w:szCs w:val="13"/>
          <w:b w:val="1"/>
          <w:bCs w:val="1"/>
          <w:color w:val="auto"/>
        </w:rPr>
        <w:t>Efficiency ratio reconciliation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Efficiency ratio (GAAP)</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Efficiency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ind w:left="500"/>
              <w:spacing w:after="0"/>
              <w:rPr>
                <w:sz w:val="20"/>
                <w:szCs w:val="20"/>
                <w:color w:val="auto"/>
              </w:rPr>
            </w:pPr>
            <w:r>
              <w:rPr>
                <w:rFonts w:ascii="Arial" w:cs="Arial" w:eastAsia="Arial" w:hAnsi="Arial"/>
                <w:sz w:val="14"/>
                <w:szCs w:val="14"/>
                <w:color w:val="auto"/>
                <w:w w:val="93"/>
              </w:rPr>
              <w:t>55.71 %</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w w:val="93"/>
              </w:rPr>
              <w:t>57.20 %</w:t>
            </w:r>
          </w:p>
        </w:tc>
        <w:tc>
          <w:tcPr>
            <w:tcW w:w="1080" w:type="dxa"/>
            <w:vAlign w:val="bottom"/>
            <w:gridSpan w:val="2"/>
          </w:tcPr>
          <w:p>
            <w:pPr>
              <w:ind w:left="580"/>
              <w:spacing w:after="0"/>
              <w:rPr>
                <w:sz w:val="20"/>
                <w:szCs w:val="20"/>
                <w:color w:val="auto"/>
              </w:rPr>
            </w:pPr>
            <w:r>
              <w:rPr>
                <w:rFonts w:ascii="Arial" w:cs="Arial" w:eastAsia="Arial" w:hAnsi="Arial"/>
                <w:sz w:val="14"/>
                <w:szCs w:val="14"/>
                <w:color w:val="auto"/>
                <w:w w:val="93"/>
              </w:rPr>
              <w:t>47.95 %</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w w:val="93"/>
              </w:rPr>
              <w:t>48.41 %</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w w:val="93"/>
              </w:rPr>
              <w:t>56.58 %</w:t>
            </w:r>
          </w:p>
        </w:tc>
        <w:tc>
          <w:tcPr>
            <w:tcW w:w="1080" w:type="dxa"/>
            <w:vAlign w:val="bottom"/>
            <w:gridSpan w:val="2"/>
          </w:tcPr>
          <w:p>
            <w:pPr>
              <w:ind w:left="580"/>
              <w:spacing w:after="0"/>
              <w:rPr>
                <w:sz w:val="20"/>
                <w:szCs w:val="20"/>
                <w:color w:val="auto"/>
              </w:rPr>
            </w:pPr>
            <w:r>
              <w:rPr>
                <w:rFonts w:ascii="Arial" w:cs="Arial" w:eastAsia="Arial" w:hAnsi="Arial"/>
                <w:sz w:val="14"/>
                <w:szCs w:val="14"/>
                <w:color w:val="auto"/>
                <w:w w:val="93"/>
              </w:rPr>
              <w:t>56.46 %</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w w:val="93"/>
              </w:rPr>
              <w:t>57.00 %</w:t>
            </w:r>
          </w:p>
        </w:tc>
      </w:tr>
      <w:tr>
        <w:trPr>
          <w:trHeight w:val="203"/>
        </w:trPr>
        <w:tc>
          <w:tcPr>
            <w:tcW w:w="1000" w:type="dxa"/>
            <w:vAlign w:val="bottom"/>
          </w:tcPr>
          <w:p>
            <w:pPr>
              <w:ind w:left="520"/>
              <w:spacing w:after="0"/>
              <w:rPr>
                <w:sz w:val="20"/>
                <w:szCs w:val="20"/>
                <w:color w:val="auto"/>
              </w:rPr>
            </w:pPr>
            <w:r>
              <w:rPr>
                <w:rFonts w:ascii="Arial" w:cs="Arial" w:eastAsia="Arial" w:hAnsi="Arial"/>
                <w:sz w:val="14"/>
                <w:szCs w:val="14"/>
                <w:color w:val="auto"/>
              </w:rPr>
              <w:t>(1.54)</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rPr>
              <w:t>(3.53)</w:t>
            </w: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(0.60)</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rPr>
              <w:t>(0.75)</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rPr>
              <w:t>(3.35)</w:t>
            </w: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(2.54)</w:t>
            </w:r>
          </w:p>
        </w:tc>
        <w:tc>
          <w:tcPr>
            <w:tcW w:w="1100" w:type="dxa"/>
            <w:vAlign w:val="bottom"/>
            <w:gridSpan w:val="2"/>
          </w:tcPr>
          <w:p>
            <w:pPr>
              <w:ind w:left="620"/>
              <w:spacing w:after="0"/>
              <w:rPr>
                <w:sz w:val="20"/>
                <w:szCs w:val="20"/>
                <w:color w:val="auto"/>
              </w:rPr>
            </w:pPr>
            <w:r>
              <w:rPr>
                <w:rFonts w:ascii="Arial" w:cs="Arial" w:eastAsia="Arial" w:hAnsi="Arial"/>
                <w:sz w:val="14"/>
                <w:szCs w:val="14"/>
                <w:color w:val="auto"/>
              </w:rPr>
              <w:t>(3.84)</w:t>
            </w:r>
          </w:p>
        </w:tc>
      </w:tr>
      <w:tr>
        <w:trPr>
          <w:trHeight w:val="25"/>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54.17 %</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53.67 %</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47.35 %</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47.66 %</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53.23 %</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53.92 %</w:t>
            </w:r>
          </w:p>
        </w:tc>
        <w:tc>
          <w:tcPr>
            <w:tcW w:w="10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53.16 %</w:t>
            </w:r>
          </w:p>
        </w:tc>
      </w:tr>
      <w:tr>
        <w:trPr>
          <w:trHeight w:val="24"/>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-539115</wp:posOffset>
            </wp:positionV>
            <wp:extent cx="713232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-290830</wp:posOffset>
            </wp:positionV>
            <wp:extent cx="71323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720"/>
            <w:col w:w="7560"/>
          </w:cols>
          <w:pgMar w:left="320" w:top="1062"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3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94"/>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w w:val="95"/>
              </w:rPr>
              <w:t>Tangible common equity to tangible assets reconciliation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7"/>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to total assets (GAAP)</w:t>
            </w:r>
          </w:p>
        </w:tc>
        <w:tc>
          <w:tcPr>
            <w:tcW w:w="100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11.89 %</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3"/>
              </w:rPr>
              <w:t>11.90 %</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89"/>
              </w:rPr>
              <w:t>11.25 %</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3"/>
              </w:rPr>
              <w:t>11.12 %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10.95 %</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89"/>
              </w:rPr>
              <w:t>11.89 %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10.95 %</w:t>
            </w: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000" w:type="dxa"/>
            <w:vAlign w:val="bottom"/>
          </w:tcPr>
          <w:p>
            <w:pPr>
              <w:ind w:left="520"/>
              <w:spacing w:after="0"/>
              <w:rPr>
                <w:sz w:val="20"/>
                <w:szCs w:val="20"/>
                <w:color w:val="auto"/>
              </w:rPr>
            </w:pPr>
            <w:r>
              <w:rPr>
                <w:rFonts w:ascii="Arial" w:cs="Arial" w:eastAsia="Arial" w:hAnsi="Arial"/>
                <w:sz w:val="14"/>
                <w:szCs w:val="14"/>
                <w:color w:val="auto"/>
              </w:rPr>
              <w:t>(3.31)</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rPr>
              <w:t>(3.36)</w:t>
            </w: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(2.97)</w:t>
            </w:r>
          </w:p>
        </w:tc>
        <w:tc>
          <w:tcPr>
            <w:tcW w:w="1100" w:type="dxa"/>
            <w:vAlign w:val="bottom"/>
            <w:gridSpan w:val="2"/>
          </w:tcPr>
          <w:p>
            <w:pPr>
              <w:ind w:left="600"/>
              <w:spacing w:after="0"/>
              <w:rPr>
                <w:sz w:val="20"/>
                <w:szCs w:val="20"/>
                <w:color w:val="auto"/>
              </w:rPr>
            </w:pPr>
            <w:r>
              <w:rPr>
                <w:rFonts w:ascii="Arial" w:cs="Arial" w:eastAsia="Arial" w:hAnsi="Arial"/>
                <w:sz w:val="14"/>
                <w:szCs w:val="14"/>
                <w:color w:val="auto"/>
              </w:rPr>
              <w:t>(3.01)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(2.96)</w:t>
            </w: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(3.31)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(2.96)</w:t>
            </w:r>
          </w:p>
        </w:tc>
      </w:tr>
      <w:tr>
        <w:trPr>
          <w:trHeight w:val="20"/>
        </w:trPr>
        <w:tc>
          <w:tcPr>
            <w:tcW w:w="3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preferred equity</w:t>
            </w: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(0.37)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(0.40)</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(0.40)</w:t>
            </w:r>
          </w:p>
        </w:tc>
      </w:tr>
      <w:tr>
        <w:trPr>
          <w:trHeight w:val="199"/>
        </w:trPr>
        <w:tc>
          <w:tcPr>
            <w:tcW w:w="3680" w:type="dxa"/>
            <w:vAlign w:val="bottom"/>
          </w:tcPr>
          <w:p>
            <w:pPr>
              <w:ind w:left="140"/>
              <w:spacing w:after="0"/>
              <w:rPr>
                <w:sz w:val="20"/>
                <w:szCs w:val="20"/>
                <w:color w:val="auto"/>
              </w:rPr>
            </w:pPr>
            <w:r>
              <w:rPr>
                <w:rFonts w:ascii="Arial" w:cs="Arial" w:eastAsia="Arial" w:hAnsi="Arial"/>
                <w:sz w:val="14"/>
                <w:szCs w:val="14"/>
                <w:color w:val="auto"/>
              </w:rPr>
              <w:t>Tangible common equity to tangible assets</w:t>
            </w:r>
          </w:p>
        </w:tc>
        <w:tc>
          <w:tcPr>
            <w:tcW w:w="1000" w:type="dxa"/>
            <w:vAlign w:val="bottom"/>
          </w:tcPr>
          <w:p>
            <w:pPr>
              <w:jc w:val="right"/>
              <w:spacing w:after="0"/>
              <w:rPr>
                <w:sz w:val="20"/>
                <w:szCs w:val="20"/>
                <w:color w:val="auto"/>
              </w:rPr>
            </w:pPr>
            <w:r>
              <w:rPr>
                <w:rFonts w:ascii="Arial" w:cs="Arial" w:eastAsia="Arial" w:hAnsi="Arial"/>
                <w:sz w:val="14"/>
                <w:szCs w:val="14"/>
                <w:color w:val="auto"/>
              </w:rPr>
              <w:t>8.21 %</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8.17 %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7.88 %</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7.70 %</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7.59 %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8.21 %</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7.59 %</w:t>
            </w:r>
          </w:p>
        </w:tc>
      </w:tr>
      <w:tr>
        <w:trPr>
          <w:trHeight w:val="20"/>
        </w:trPr>
        <w:tc>
          <w:tcPr>
            <w:tcW w:w="3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provides additional details on the average balances and net interest revenue for the periods presented. The tables that follow indicate the relationship between interest revenue and expense and the average amounts of assets and liabilities, which provides further insight into net interest spread and net interest margin for the periods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quarter: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FTE net interest revenue for the second quarter of 2023 was $201 million, representing an increase of $21.2 million, or 12%, from the same period in 2022. The increase was primarily driven by the $2.78 billion increase in average loans provided by the addition of the Progress loan portfolio in the first quarter as well as organic growth. As a result, loan interest revenue increased $95.3 million compared to the second quarter of 2022, which included a $1.06 million increase in purchased loan accretion and reflects interest revenue on approximately $1.44 billion in loans from the Progress acquisition and higher interest rates. The FOMC raised the targeted federal funds rate a total of 500 basis points beginning in March 2022 through the second quarter of 2023. Rising interest rates lifted the yield on the loan portfolio by 152 basis points to 5.85% in the second quarter of 2023 compared with the same period a year ago. Additionally, the increase in yield earned on the securities portfolio, partially offset by a decrease in the average balance of the portfolio, contributed $10.4 million in additional FTE interest revenue compared to the same period of last year.</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for the second quarter of 2023 increased $87.0 million compared to the same quarter of 2022. The increase is mostly attributable to the 229 basis point increase in rates paid on average deposits as a result of the rising interest rate environment and a deposit mix more heavily comprised of more costly time deposits. In addition, the daily average balance of interest-bearing deposits increased by $1.97 billion, which includes approximately $907 million of interest-bearing deposits received in the acquisition of Progress. We also utilized FHLB advances and repurchase agreements to fund loan growth during the second quarter of 2023, with a total daily average balance of $196 million resulting in additional interest expense of $2.50 million compared with $66,000 of daily average balances outstanding in the second quarter of 2022. We also saw attrition in our noninterest-bearing deposit balances as rising interest rates offered customers more attractive alternatives.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net interest spread decreased 61 basis points to 2.47%, reflecting a steeper increase in rates paid on deposits compared to that of loans during the second quarter of 2023. However, loan growth combined with the increase in rates earned on loans more than offset the impact of the rising deposit rates on our net interest margin, which increased to 3.37% for the second quarter of 2023 compared to 3.19% for the same period of last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FTE net interest revenue for the first six months of 2023 was $414 million, representing a 20% increase from the first six months of 2022, which was primarily driven by the same factors impacting the quarter. During the first six months of 2023, our net interest spread decreased 32 basis points and our net interest margin increased by 41 basis points compared to the same period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June 30,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17,166,129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250,472</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w w:val="92"/>
              </w:rPr>
              <w:t>5.85 %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14,382,324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155,184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4.33 %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5,956,193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39,329</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6,436,992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27,886</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2,323</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3,410</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1,302,935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1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9"/>
        </w:trPr>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23,952,708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296,782</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22,612,910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188,546</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251,691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1,500,827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1,286,107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25,869,228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24,253,333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4,879,591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27,597</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2.27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4,561,162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2,163</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1,306,394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702</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1,496,414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2,976,482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1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c>
          <w:tcPr>
            <w:tcW w:w="110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10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14,783,792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89,217</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12,813,709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1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7"/>
        </w:trPr>
        <w:tc>
          <w:tcPr>
            <w:tcW w:w="4360" w:type="dxa"/>
            <w:vAlign w:val="bottom"/>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145,233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1,849</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324,740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324,301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520,962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324,367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11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9"/>
        </w:trPr>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15,304,754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95,489</w:t>
            </w: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13,138,076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w:t>
            </w: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397,890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22,762,838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21,561,913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3,106,390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25,869,228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24,253,333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201,293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180,071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ind w:left="620"/>
              <w:spacing w:after="0"/>
              <w:rPr>
                <w:sz w:val="20"/>
                <w:szCs w:val="20"/>
                <w:color w:val="auto"/>
              </w:rPr>
            </w:pPr>
            <w:r>
              <w:rPr>
                <w:rFonts w:ascii="Arial" w:cs="Arial" w:eastAsia="Arial" w:hAnsi="Arial"/>
                <w:sz w:val="16"/>
                <w:szCs w:val="16"/>
                <w:color w:val="auto"/>
                <w:w w:val="92"/>
              </w:rPr>
              <w:t>2.47 %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line="20" w:lineRule="exact"/>
              <w:rPr>
                <w:sz w:val="1"/>
                <w:szCs w:val="1"/>
                <w:color w:val="auto"/>
              </w:rPr>
            </w:pPr>
          </w:p>
        </w:tc>
      </w:tr>
      <w:tr>
        <w:trPr>
          <w:trHeight w:val="163"/>
        </w:trPr>
        <w:tc>
          <w:tcPr>
            <w:tcW w:w="4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w w:val="92"/>
              </w:rPr>
              <w:t>3.37 %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right="100" w:hanging="332"/>
        <w:spacing w:after="0" w:line="266"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40" w:hanging="332"/>
        <w:spacing w:after="0" w:line="192" w:lineRule="auto"/>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5" w:lineRule="exact"/>
        <w:rPr>
          <w:rFonts w:ascii="Arial" w:cs="Arial" w:eastAsia="Arial" w:hAnsi="Arial"/>
          <w:sz w:val="19"/>
          <w:szCs w:val="19"/>
          <w:color w:val="auto"/>
          <w:vertAlign w:val="superscript"/>
        </w:rPr>
      </w:pPr>
    </w:p>
    <w:p>
      <w:pPr>
        <w:ind w:left="340" w:right="40" w:hanging="332"/>
        <w:spacing w:after="0" w:line="251"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Unrealized losses on securities, including those related to the transfer from AFS to HTM, have been reclassified to other assets. Pretax unrealized losses of $389 million and $271 million in 2023 and 2022, respectively, are included in other assets for purposes of this presentation.</w:t>
      </w:r>
    </w:p>
    <w:p>
      <w:pPr>
        <w:ind w:left="340" w:hanging="332"/>
        <w:spacing w:after="0"/>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44" w:name="page45"/>
    <w:bookmarkEnd w:id="44"/>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Six Months Ended June 30,</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17780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9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Average Rate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17,032,493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487,002</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w w:val="92"/>
              </w:rPr>
              <w:t>5.77 %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14,308,585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301,821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4.25 %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6,007,471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77,205</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6,142,723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5,157</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6,976</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8,010</w:t>
            </w: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1,604,995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1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09"/>
        </w:trPr>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23,902,433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577,374</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22,557,053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360,779</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184,751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1,492,926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25,819,539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24,228,621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4,690,798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45,196</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1.94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4,613,838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3,632</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58,546</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1,361,357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1,240</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1,466,812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34,784</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7,312</w:t>
            </w:r>
          </w:p>
        </w:tc>
        <w:tc>
          <w:tcPr>
            <w:tcW w:w="1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12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14,243,351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147,078</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12,932,586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126,697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2,997</w:t>
            </w: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7,670</w:t>
            </w:r>
          </w:p>
        </w:tc>
        <w:tc>
          <w:tcPr>
            <w:tcW w:w="1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c>
          <w:tcPr>
            <w:tcW w:w="112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702,330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16,428</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14,945,681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163,506</w:t>
            </w:r>
          </w:p>
        </w:tc>
        <w:tc>
          <w:tcPr>
            <w:tcW w:w="1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13,254,586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15,742</w:t>
            </w:r>
          </w:p>
        </w:tc>
        <w:tc>
          <w:tcPr>
            <w:tcW w:w="112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22,700,678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21,490,032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3,118,861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2,738,589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25,819,539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24,228,621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413,868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345,037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ind w:left="600"/>
              <w:spacing w:after="0"/>
              <w:rPr>
                <w:sz w:val="20"/>
                <w:szCs w:val="20"/>
                <w:color w:val="auto"/>
              </w:rPr>
            </w:pPr>
            <w:r>
              <w:rPr>
                <w:rFonts w:ascii="Arial" w:cs="Arial" w:eastAsia="Arial" w:hAnsi="Arial"/>
                <w:sz w:val="16"/>
                <w:szCs w:val="16"/>
                <w:color w:val="auto"/>
                <w:w w:val="92"/>
              </w:rPr>
              <w:t>2.66 %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line="20" w:lineRule="exact"/>
              <w:rPr>
                <w:sz w:val="1"/>
                <w:szCs w:val="1"/>
                <w:color w:val="auto"/>
              </w:rPr>
            </w:pPr>
          </w:p>
        </w:tc>
      </w:tr>
      <w:tr>
        <w:trPr>
          <w:trHeight w:val="163"/>
        </w:trPr>
        <w:tc>
          <w:tcPr>
            <w:tcW w:w="4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2"/>
              </w:rPr>
              <w:t>3.49 %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80" w:right="260" w:hanging="280"/>
        <w:spacing w:after="0" w:line="226" w:lineRule="auto"/>
        <w:tabs>
          <w:tab w:leader="none" w:pos="2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line="183" w:lineRule="auto"/>
        <w:tabs>
          <w:tab w:leader="none" w:pos="2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ind w:left="280" w:right="60" w:hanging="280"/>
        <w:spacing w:after="0" w:line="257" w:lineRule="auto"/>
        <w:tabs>
          <w:tab w:leader="none" w:pos="280" w:val="left"/>
        </w:tabs>
        <w:numPr>
          <w:ilvl w:val="0"/>
          <w:numId w:val="14"/>
        </w:numPr>
        <w:rPr>
          <w:rFonts w:ascii="Arial" w:cs="Arial" w:eastAsia="Arial" w:hAnsi="Arial"/>
          <w:sz w:val="9"/>
          <w:szCs w:val="9"/>
          <w:color w:val="auto"/>
        </w:rPr>
      </w:pPr>
      <w:r>
        <w:rPr>
          <w:rFonts w:ascii="Arial" w:cs="Arial" w:eastAsia="Arial" w:hAnsi="Arial"/>
          <w:sz w:val="14"/>
          <w:szCs w:val="14"/>
          <w:color w:val="auto"/>
        </w:rPr>
        <w:t>Unrealized gains and losses, including those related to the transfer from AFS to HTM, have been reclassified to other assets. Pretax unrealized losses of $404 million in 2023 and $175 million in 2022, respectively, are included in other assets for purposes of this presentation.</w:t>
      </w:r>
    </w:p>
    <w:p>
      <w:pPr>
        <w:ind w:left="260" w:hanging="260"/>
        <w:spacing w:after="0" w:line="192" w:lineRule="auto"/>
        <w:tabs>
          <w:tab w:leader="none" w:pos="2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320"/>
          </w:cols>
          <w:pgMar w:left="2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72" w:right="359" w:bottom="1440" w:gutter="0" w:footer="0" w:header="0"/>
          <w:type w:val="continuous"/>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20"/>
        <w:spacing w:after="0" w:line="297"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June 30, 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Six Months Ended June 30, 2023</w:t>
            </w:r>
          </w:p>
        </w:tc>
      </w:tr>
      <w:tr>
        <w:trPr>
          <w:trHeight w:val="210"/>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10"/>
          </w:tcPr>
          <w:p>
            <w:pPr>
              <w:jc w:val="right"/>
              <w:ind w:right="299"/>
              <w:spacing w:after="0"/>
              <w:rPr>
                <w:sz w:val="20"/>
                <w:szCs w:val="20"/>
                <w:color w:val="auto"/>
              </w:rPr>
            </w:pPr>
            <w:r>
              <w:rPr>
                <w:rFonts w:ascii="Arial" w:cs="Arial" w:eastAsia="Arial" w:hAnsi="Arial"/>
                <w:sz w:val="16"/>
                <w:szCs w:val="16"/>
                <w:b w:val="1"/>
                <w:bCs w:val="1"/>
                <w:color w:val="auto"/>
                <w:w w:val="92"/>
              </w:rPr>
              <w:t>Compared to 2022 Increase (Decrease) Due to Changes in</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Volume</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Volume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61,499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185,181</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28,309</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4,924</w:t>
            </w:r>
          </w:p>
        </w:tc>
      </w:tr>
      <w:tr>
        <w:trPr>
          <w:trHeight w:val="210"/>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79,563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58,446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216,595</w:t>
            </w:r>
          </w:p>
        </w:tc>
      </w:tr>
      <w:tr>
        <w:trPr>
          <w:trHeight w:val="209"/>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41,564</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56,019</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33,759</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w:t>
            </w:r>
          </w:p>
        </w:tc>
      </w:tr>
      <w:tr>
        <w:trPr>
          <w:trHeight w:val="210"/>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82,752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139,645</w:t>
            </w:r>
          </w:p>
        </w:tc>
      </w:tr>
      <w:tr>
        <w:trPr>
          <w:trHeight w:val="199"/>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FHLB advances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5,761</w:t>
            </w:r>
          </w:p>
        </w:tc>
      </w:tr>
      <w:tr>
        <w:trPr>
          <w:trHeight w:val="21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0"/>
        </w:trPr>
        <w:tc>
          <w:tcPr>
            <w:tcW w:w="4140" w:type="dxa"/>
            <w:vAlign w:val="bottom"/>
          </w:tcPr>
          <w:p>
            <w:pPr>
              <w:ind w:left="14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8,119</w:t>
            </w:r>
          </w:p>
        </w:tc>
      </w:tr>
      <w:tr>
        <w:trPr>
          <w:trHeight w:val="209"/>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82,347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147,764</w:t>
            </w:r>
          </w:p>
        </w:tc>
      </w:tr>
      <w:tr>
        <w:trPr>
          <w:trHeight w:val="210"/>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68,831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a provision for credit losses of $22.8 million and $44.5 million for the three and six months ended June 30, 2023, compared to $5.60 million and $28.7 million for the same periods of 2022. The amount of provision recorded in each period was the amount required such that the total ACL reflected the appropriate balance as determined by management reflecting expected life of loan losses. The provision recorded for the first six months of 2023 included the initial provision for credit losses on Progress non-PCD loans and unfunded commitments of $8.80 million and $1.65 million, respectively. The provision for credit losses for the first six months of 2022 included the initial provision for credit losses on Reliant non-PCD loans and unfunded commitments of $15.2 million and $3.12 million, respectively. The increase in provision expense for the three and six months ended June 30, 2023 reflects organic loan growth, a weaker economic forecast and higher net charge-offs relative to the same periods of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8"/>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vMerge w:val="restart"/>
          </w:tcPr>
          <w:p>
            <w:pPr>
              <w:jc w:val="right"/>
              <w:ind w:right="5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vMerge w:val="restart"/>
          </w:tcPr>
          <w:p>
            <w:pPr>
              <w:jc w:val="right"/>
              <w:ind w:right="5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2,764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2,844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5,256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5,260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charges and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6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6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service charges and fees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(387)</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(12,018)</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Wealth management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(1,495)</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(2,777)</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Lending and loan servicing fees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Securities gains (losses),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 gains (losses)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BOLI</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management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w:t>
            </w:r>
          </w:p>
        </w:tc>
        <w:tc>
          <w:tcPr>
            <w:tcW w:w="106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106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0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Total noninterest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36,387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33,458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2,929</w:t>
            </w: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66,596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72,431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(5,835)</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Service charges and fees for the three and six months ended June 30, 2023 decreased compared to the same periods of 2022 as a result of the elimination of a returned item fee effective July 1, 2022, the impact of which is reflected in overdraft fees for the 2023 periods presented.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loan gains and related fees consist primarily of fees earned on originations, secondary market gains on sales, derivative hedging gains and losses and fair value adjustments to our mortgage loans held for sale and mortgage servicing rights asset. The change in mortgage income is strongly tied to the interest rate environment and industry conditions. We recognize the majority of income on mortgages when customers enter into mortgage rate lock commitments, making our rate lock volume a significant driver of mortgage gains in any given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mortgage loan gains and related fees in the first six months of 2023 was primarily a result of the decrease in mortgage refinance and mortgage rate lock demand compared to same period of 2022, as shown in the following table. In addition, during the first six months of 2023, we recorded an $836,000 negative fair value adjustment, including decay, to the mortgage servicing rights asset, compared to a $6.08 million positive fair value adjustment, including decay, during the first six months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b w:val="1"/>
          <w:bCs w:val="1"/>
          <w:color w:val="auto"/>
        </w:rPr>
        <w:t>Table 6 - Selected Mortgage Metrics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380" w:type="dxa"/>
            <w:vAlign w:val="bottom"/>
            <w:tcBorders>
              <w:top w:val="single" w:sz="8" w:color="auto"/>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gridSpan w:val="6"/>
          </w:tcPr>
          <w:p>
            <w:pPr>
              <w:ind w:left="620"/>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3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rate locks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597,305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3"/>
              </w:rPr>
              <w:t>(49)%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639,471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1,354,653</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w w:val="93"/>
              </w:rPr>
              <w:t>(53)%</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 of mortgage rate locks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1,486</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3,409</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(47)</w:t>
            </w:r>
          </w:p>
        </w:tc>
      </w:tr>
      <w:tr>
        <w:trPr>
          <w:trHeight w:val="219"/>
        </w:trPr>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Mortgage loans sold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141,745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159,897</w:t>
            </w: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(11)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221,024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367,049</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(40)</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mortgage loans sold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(46)</w:t>
            </w: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 originated: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86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232,735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394,307</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(41)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425,428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707,819</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(40)</w:t>
            </w:r>
          </w:p>
        </w:tc>
      </w:tr>
      <w:tr>
        <w:trPr>
          <w:trHeight w:val="216"/>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Refinances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104,150</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252,595</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(75)</w:t>
            </w:r>
          </w:p>
        </w:tc>
      </w:tr>
      <w:tr>
        <w:trPr>
          <w:trHeight w:val="212"/>
        </w:trPr>
        <w:tc>
          <w:tcPr>
            <w:tcW w:w="3860" w:type="dxa"/>
            <w:vAlign w:val="bottom"/>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263,362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498,457</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(47)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487,907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960,414</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(49)</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 of mortgage loans originated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w:t>
            </w: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2,402</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(44)</w:t>
            </w:r>
          </w:p>
        </w:tc>
      </w:tr>
    </w:tbl>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The following table presents loans sold and the corresponding gains or losses recognized on the sale for the periods indicated.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Other Loan Sales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3"/>
              </w:rPr>
              <w:t>Three Months Ended June 30,</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r>
      <w:tr>
        <w:trPr>
          <w:trHeight w:val="207"/>
        </w:trPr>
        <w:tc>
          <w:tcPr>
            <w:tcW w:w="3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r>
      <w:tr>
        <w:trPr>
          <w:trHeight w:val="209"/>
        </w:trPr>
        <w:tc>
          <w:tcPr>
            <w:tcW w:w="3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Loans Sold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Gain</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5"/>
              </w:rPr>
              <w:t>Loans Sold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Gain</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Loans Sold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Gain</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Loans Sold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Gain</w:t>
            </w: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w:t>
            </w:r>
          </w:p>
        </w:tc>
      </w:tr>
      <w:tr>
        <w:trPr>
          <w:trHeight w:val="21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r>
      <w:tr>
        <w:trPr>
          <w:trHeight w:val="233"/>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83,116</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Lending and loan servicing fees for the three and six months ended June 30, 2023 increased compared to the same periods of 2022 as result of more favorable fair market value adjustments on our SBA loan servicing asset. During the second quarter and first six months of 2023, we recorded negative fair value adjustments of $605,000 and $60,000, respectively, compared to $1.50 million and $1.64 million, respectively, for the same periods of 2022.</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2023 and 2022, we sold certain securities, which resulted in net securities losses. During 2023, proceeds from sales were used to fund loan growth and repay FHLB advances. During 2022, we strategically reinvested in higher-yielding securities.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other noninterest income for the three and six months ended June 30, 2023 compared to the same periods of 2022 was primarily driven by the following factors:</w:t>
      </w:r>
    </w:p>
    <w:p>
      <w:pPr>
        <w:spacing w:after="0" w:line="76" w:lineRule="exact"/>
        <w:rPr>
          <w:sz w:val="20"/>
          <w:szCs w:val="20"/>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recorded net unrealized gains on other investments, primarily driven by equity method income from limited partnership investments and unrealized gains on deferred compensation plan assets compared to net unrealized losses during the same periods of 2022. Other investment income for three and six months ended June 30, 2023 was partially offset by unrealized losses on equity securities.</w:t>
      </w:r>
    </w:p>
    <w:p>
      <w:pPr>
        <w:spacing w:after="0" w:line="7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other income was primarily driven by the gain on sale of a commercial insurance book of business of $1.59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Noninterest Expenses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8"/>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vMerge w:val="restart"/>
          </w:tcPr>
          <w:p>
            <w:pPr>
              <w:jc w:val="right"/>
              <w:ind w:right="61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vMerge w:val="restart"/>
          </w:tcPr>
          <w:p>
            <w:pPr>
              <w:jc w:val="right"/>
              <w:ind w:right="6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154,948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14,709</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w w:val="93"/>
              </w:rPr>
              <w:t>10 %</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1,069</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1,829</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875</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1,190</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2,815</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w:t>
            </w: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28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FDIC assessments and other regulatory</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1,685</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3,420</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46"/>
        </w:trPr>
        <w:tc>
          <w:tcPr>
            <w:tcW w:w="2800" w:type="dxa"/>
            <w:vAlign w:val="bottom"/>
          </w:tcPr>
          <w:p>
            <w:pPr>
              <w:ind w:left="140"/>
              <w:spacing w:after="0" w:line="146" w:lineRule="exact"/>
              <w:rPr>
                <w:sz w:val="20"/>
                <w:szCs w:val="20"/>
                <w:color w:val="auto"/>
              </w:rPr>
            </w:pPr>
            <w:r>
              <w:rPr>
                <w:rFonts w:ascii="Arial" w:cs="Arial" w:eastAsia="Arial" w:hAnsi="Arial"/>
                <w:sz w:val="16"/>
                <w:szCs w:val="16"/>
                <w:color w:val="auto"/>
              </w:rPr>
              <w:t>Total excluding merger-related and</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128,762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113,647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15,115</w:t>
            </w:r>
          </w:p>
        </w:tc>
        <w:tc>
          <w:tcPr>
            <w:tcW w:w="100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259,936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223,906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36,030</w:t>
            </w:r>
          </w:p>
        </w:tc>
        <w:tc>
          <w:tcPr>
            <w:tcW w:w="1000" w:type="dxa"/>
            <w:vAlign w:val="bottom"/>
            <w:gridSpan w:val="2"/>
            <w:vMerge w:val="restart"/>
          </w:tcPr>
          <w:p>
            <w:pPr>
              <w:ind w:left="6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800" w:type="dxa"/>
            <w:vAlign w:val="bottom"/>
          </w:tcPr>
          <w:p>
            <w:pPr>
              <w:ind w:left="140"/>
              <w:spacing w:after="0"/>
              <w:rPr>
                <w:sz w:val="20"/>
                <w:szCs w:val="20"/>
                <w:color w:val="auto"/>
              </w:rPr>
            </w:pPr>
            <w:r>
              <w:rPr>
                <w:rFonts w:ascii="Arial" w:cs="Arial" w:eastAsia="Arial" w:hAnsi="Arial"/>
                <w:sz w:val="16"/>
                <w:szCs w:val="16"/>
                <w:color w:val="auto"/>
              </w:rPr>
              <w:t>other charges</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Pr>
          <w:p>
            <w:pPr>
              <w:ind w:left="140"/>
              <w:spacing w:after="0"/>
              <w:rPr>
                <w:sz w:val="20"/>
                <w:szCs w:val="20"/>
                <w:color w:val="auto"/>
              </w:rPr>
            </w:pPr>
            <w:r>
              <w:rPr>
                <w:rFonts w:ascii="Arial" w:cs="Arial" w:eastAsia="Arial" w:hAnsi="Arial"/>
                <w:sz w:val="16"/>
                <w:szCs w:val="16"/>
                <w:color w:val="auto"/>
              </w:rPr>
              <w:t>Total noninterest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132,407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120,790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11,617</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272,212</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240,065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32,147</w:t>
            </w:r>
          </w:p>
        </w:tc>
        <w:tc>
          <w:tcPr>
            <w:tcW w:w="1000" w:type="dxa"/>
            <w:vAlign w:val="bottom"/>
            <w:gridSpan w:val="2"/>
          </w:tcPr>
          <w:p>
            <w:pPr>
              <w:ind w:left="6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salaries and employee benefits for the second quarter and first six months of 2023 compared to the same periods of 2022 was primarily driven by the addition of Progress employees. The increase also reflects our annual merit-based salary increases awarded at the beginning of the second quarter of 2023. These increases were partially offset by a reduction in commissions expense primarily due to reduced mortgage production volume. Full-time equivalent headcount totaled 3,064 at June 30, 2023, up from 2,822 at June 30, 2022, which represents a 9% increase.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Communications and equipment expense increased primarily due to incremental software contract costs and the growth in our network with the addition of recent acquisitions.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occupancy costs for the second quarter and first six months of 2023 compared to the same periods of 2022 was mostly attributable to the additional operating lease costs associated with Progress.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FDIC assessments and other regulatory charges was primarily attributable to the 2 basis point assessment rate increase that went into effect for all banks on January 1, 2023, as well as an increased assessment base driven by higher average total assets partly resulting from the Progress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increased with the additional customer deposit intangibles recorded as a result of the Progress acquisition.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in other noninterest expense were mostly attributable to higher professional services fees, internet banking charges, fraud losses and travel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Merger-related and other charges for the second quarter and first six months of 2023 were primarily related to the acquisition of Progress.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at June 30, 2023 and December 31, 2022 were $26.1 billion and $24.0 billion, respectively. Total liabilities at June 30, 2023 and December 31, 2022 were $23.0 billion and $21.3 billion, respectively. Shareholders’ equity totaled $3.11 billion and $2.70 billion at June 30, 2023 and December 31, 2022, respectively.</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portfolio is our largest category of interest-earning assets. The following table presents a summary of the loan portfolio by loan type as of June 30, 2023, of which approximately 74% was secured by real estate.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special mention and substandard performing and non-performing loans,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 xml:space="preserve"> section of MD&amp;A in our 2022 10-K for additional information on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Table 10 - Allocation of ACL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58"/>
        </w:trPr>
        <w:tc>
          <w:tcPr>
            <w:tcW w:w="5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loans in each</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loans in each</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ACL</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category to total</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ACL</w:t>
            </w:r>
          </w:p>
        </w:tc>
        <w:tc>
          <w:tcPr>
            <w:tcW w:w="10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category to total</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loans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loans</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38,775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32,082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29,856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22,276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20,120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28,604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23,395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5360" w:type="dxa"/>
            <w:vAlign w:val="bottom"/>
          </w:tcPr>
          <w:p>
            <w:pPr>
              <w:ind w:left="20"/>
              <w:spacing w:after="0"/>
              <w:rPr>
                <w:sz w:val="20"/>
                <w:szCs w:val="20"/>
                <w:color w:val="auto"/>
              </w:rPr>
            </w:pPr>
            <w:r>
              <w:rPr>
                <w:rFonts w:ascii="Arial" w:cs="Arial" w:eastAsia="Arial" w:hAnsi="Arial"/>
                <w:sz w:val="16"/>
                <w:szCs w:val="16"/>
                <w:color w:val="auto"/>
              </w:rPr>
              <w:t>Total commercial</w:t>
            </w:r>
          </w:p>
        </w:tc>
        <w:tc>
          <w:tcPr>
            <w:tcW w:w="3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141,299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118,935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20,809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HELOC</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10,609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8,707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Manufactured housing</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9,204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8,098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Total ACL - loans</w:t>
            </w: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190,705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159,357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0" w:lineRule="exact"/>
              <w:rPr>
                <w:sz w:val="20"/>
                <w:szCs w:val="20"/>
                <w:color w:val="auto"/>
              </w:rPr>
            </w:pPr>
            <w:r>
              <w:rPr>
                <w:rFonts w:ascii="Arial" w:cs="Arial" w:eastAsia="Arial" w:hAnsi="Arial"/>
                <w:sz w:val="16"/>
                <w:szCs w:val="16"/>
                <w:color w:val="auto"/>
              </w:rPr>
              <w:t>21,572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0" w:lineRule="exact"/>
              <w:rPr>
                <w:sz w:val="20"/>
                <w:szCs w:val="20"/>
                <w:color w:val="auto"/>
              </w:rPr>
            </w:pPr>
            <w:r>
              <w:rPr>
                <w:rFonts w:ascii="Arial" w:cs="Arial" w:eastAsia="Arial" w:hAnsi="Arial"/>
                <w:sz w:val="16"/>
                <w:szCs w:val="16"/>
                <w:color w:val="auto"/>
              </w:rPr>
              <w:t>21,163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20"/>
              <w:spacing w:after="0"/>
              <w:rPr>
                <w:sz w:val="20"/>
                <w:szCs w:val="20"/>
                <w:color w:val="auto"/>
              </w:rPr>
            </w:pPr>
            <w:r>
              <w:rPr>
                <w:rFonts w:ascii="Arial" w:cs="Arial" w:eastAsia="Arial" w:hAnsi="Arial"/>
                <w:sz w:val="16"/>
                <w:szCs w:val="16"/>
                <w:color w:val="auto"/>
              </w:rPr>
              <w:t>Total ACL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212,277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180,520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ACL - loans as a percentage of total loans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as a percentage of nonaccrual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increase in the ACL since December 31, 2022 was partially driven by the acquisition of Progress, which added $13.2 million to the ACL as of the acquisition date. Of this amount, $2.70 million was reclassified from the amortized cost basis of PCD loans, $8.80 million was recorded as provision for loan losses on acquired non-PCD loan balances and $1.65 million was recorded as provision for unfunded commitments on the acquired balance of unfunded commitments. See </w:t>
      </w:r>
      <w:r>
        <w:rPr>
          <w:rFonts w:ascii="Arial" w:cs="Arial" w:eastAsia="Arial" w:hAnsi="Arial"/>
          <w:sz w:val="17"/>
          <w:szCs w:val="17"/>
          <w:i w:val="1"/>
          <w:iCs w:val="1"/>
          <w:color w:val="auto"/>
        </w:rPr>
        <w:t>Provision for Credit Losses</w:t>
      </w:r>
      <w:r>
        <w:rPr>
          <w:rFonts w:ascii="Arial" w:cs="Arial" w:eastAsia="Arial" w:hAnsi="Arial"/>
          <w:sz w:val="17"/>
          <w:szCs w:val="17"/>
          <w:color w:val="auto"/>
        </w:rPr>
        <w:t xml:space="preserve"> discussion within this MD&amp;A for further information.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11 - Net Charge-offs to Average Loans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199"/>
        </w:trPr>
        <w:tc>
          <w:tcPr>
            <w:tcW w:w="5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09"/>
        </w:trPr>
        <w:tc>
          <w:tcPr>
            <w:tcW w:w="5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Net charge-offs (recoveries)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(1,541)</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(406)</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2,627</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1,174</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(148)</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r>
      <w:tr>
        <w:trPr>
          <w:trHeight w:val="213"/>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947</w:t>
            </w:r>
          </w:p>
        </w:tc>
      </w:tr>
      <w:tr>
        <w:trPr>
          <w:trHeight w:val="233"/>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net charge-offs (recoveries)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8,399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15,483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3,108,945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2,650,947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3,084,012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2,635,052</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3,620,809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3,290,217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3,599,464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3,300,737</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2,482,414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2,287,209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2,463,105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2,310,017</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1,762,984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1,493,351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1,767,437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1,476,983</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1,470,524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1,175,526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1,469,537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1,155,168</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2,814,980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1,905,131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2,738,090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1,862,223</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HELOC</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923,217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786,866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925,001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780,509</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475,225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373,333</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331,332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333,034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271,231</w:t>
            </w:r>
          </w:p>
        </w:tc>
      </w:tr>
      <w:tr>
        <w:trPr>
          <w:trHeight w:val="216"/>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175,699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142,427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171,889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143,332</w:t>
            </w:r>
          </w:p>
        </w:tc>
      </w:tr>
      <w:tr>
        <w:trPr>
          <w:trHeight w:val="212"/>
        </w:trPr>
        <w:tc>
          <w:tcPr>
            <w:tcW w:w="5540" w:type="dxa"/>
            <w:vAlign w:val="bottom"/>
          </w:tcPr>
          <w:p>
            <w:pPr>
              <w:ind w:left="220"/>
              <w:spacing w:after="0"/>
              <w:rPr>
                <w:sz w:val="20"/>
                <w:szCs w:val="20"/>
                <w:color w:val="auto"/>
              </w:rPr>
            </w:pPr>
            <w:r>
              <w:rPr>
                <w:rFonts w:ascii="Arial" w:cs="Arial" w:eastAsia="Arial" w:hAnsi="Arial"/>
                <w:sz w:val="16"/>
                <w:szCs w:val="16"/>
                <w:b w:val="1"/>
                <w:bCs w:val="1"/>
                <w:color w:val="auto"/>
              </w:rPr>
              <w:t>Total average loans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17,166,129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14,382,324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17,032,493</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14,308,585</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55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Net charge-offs to average loans </w:t>
            </w:r>
            <w:r>
              <w:rPr>
                <w:rFonts w:ascii="Arial" w:cs="Arial" w:eastAsia="Arial" w:hAnsi="Arial"/>
                <w:sz w:val="21"/>
                <w:szCs w:val="21"/>
                <w:b w:val="1"/>
                <w:bCs w:val="1"/>
                <w:color w:val="auto"/>
                <w:vertAlign w:val="superscript"/>
              </w:rPr>
              <w:t>(1)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Arial" w:cs="Arial" w:eastAsia="Arial" w:hAnsi="Arial"/>
                <w:sz w:val="16"/>
                <w:szCs w:val="16"/>
                <w:color w:val="auto"/>
                <w:w w:val="89"/>
              </w:rPr>
              <w:t>0.13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89"/>
              </w:rPr>
              <w:t>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(0.02)</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0.44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5"/>
              </w:rPr>
              <w:t>(0.05)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0.23</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1060" w:type="dxa"/>
            <w:vAlign w:val="bottom"/>
          </w:tcPr>
          <w:p>
            <w:pPr>
              <w:jc w:val="center"/>
              <w:ind w:left="239"/>
              <w:spacing w:after="0"/>
              <w:rPr>
                <w:sz w:val="20"/>
                <w:szCs w:val="20"/>
                <w:color w:val="auto"/>
              </w:rPr>
            </w:pPr>
            <w:r>
              <w:rPr>
                <w:rFonts w:ascii="Arial" w:cs="Arial" w:eastAsia="Arial" w:hAnsi="Arial"/>
                <w:sz w:val="16"/>
                <w:szCs w:val="16"/>
                <w:color w:val="auto"/>
                <w:w w:val="90"/>
              </w:rPr>
              <w:t>(0.02)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95"/>
              </w:rPr>
              <w:t>(0.02)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(0.07)</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0.69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0.20</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18"/>
                <w:szCs w:val="18"/>
                <w:color w:val="auto"/>
              </w:rPr>
            </w:pPr>
          </w:p>
        </w:tc>
        <w:tc>
          <w:tcPr>
            <w:tcW w:w="1060" w:type="dxa"/>
            <w:vAlign w:val="bottom"/>
          </w:tcPr>
          <w:p>
            <w:pPr>
              <w:jc w:val="center"/>
              <w:ind w:left="239"/>
              <w:spacing w:after="0"/>
              <w:rPr>
                <w:sz w:val="20"/>
                <w:szCs w:val="20"/>
                <w:color w:val="auto"/>
              </w:rPr>
            </w:pPr>
            <w:r>
              <w:rPr>
                <w:rFonts w:ascii="Arial" w:cs="Arial" w:eastAsia="Arial" w:hAnsi="Arial"/>
                <w:sz w:val="16"/>
                <w:szCs w:val="16"/>
                <w:color w:val="auto"/>
                <w:w w:val="90"/>
              </w:rPr>
              <w:t>(0.01)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95"/>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(0.02)</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0"/>
              </w:rPr>
              <w:t>(0.03)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5"/>
              </w:rPr>
              <w:t>(0.18)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5"/>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0"/>
              </w:rPr>
              <w:t>(0.11)</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Arial" w:cs="Arial" w:eastAsia="Arial" w:hAnsi="Arial"/>
                <w:sz w:val="16"/>
                <w:szCs w:val="16"/>
                <w:color w:val="auto"/>
                <w:w w:val="89"/>
              </w:rPr>
              <w:t>0.53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89"/>
              </w:rPr>
              <w:t>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color w:val="auto"/>
                <w:w w:val="95"/>
              </w:rPr>
              <w:t>(0.05)</w:t>
            </w:r>
          </w:p>
        </w:tc>
      </w:tr>
      <w:tr>
        <w:trPr>
          <w:trHeight w:val="219"/>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0.75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0.22</w:t>
            </w: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18"/>
                <w:szCs w:val="18"/>
                <w:color w:val="auto"/>
              </w:rPr>
            </w:pPr>
          </w:p>
        </w:tc>
        <w:tc>
          <w:tcPr>
            <w:tcW w:w="1060" w:type="dxa"/>
            <w:vAlign w:val="bottom"/>
          </w:tcPr>
          <w:p>
            <w:pPr>
              <w:jc w:val="center"/>
              <w:ind w:left="259"/>
              <w:spacing w:after="0"/>
              <w:rPr>
                <w:sz w:val="20"/>
                <w:szCs w:val="20"/>
                <w:color w:val="auto"/>
              </w:rPr>
            </w:pPr>
            <w:r>
              <w:rPr>
                <w:rFonts w:ascii="Arial" w:cs="Arial" w:eastAsia="Arial" w:hAnsi="Arial"/>
                <w:sz w:val="16"/>
                <w:szCs w:val="16"/>
                <w:color w:val="auto"/>
                <w:w w:val="89"/>
              </w:rPr>
              <w:t>2.51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219"/>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left="279"/>
              <w:spacing w:after="0"/>
              <w:rPr>
                <w:sz w:val="20"/>
                <w:szCs w:val="20"/>
                <w:color w:val="auto"/>
              </w:rPr>
            </w:pPr>
            <w:r>
              <w:rPr>
                <w:rFonts w:ascii="Arial" w:cs="Arial" w:eastAsia="Arial" w:hAnsi="Arial"/>
                <w:sz w:val="16"/>
                <w:szCs w:val="16"/>
                <w:color w:val="auto"/>
                <w:w w:val="89"/>
              </w:rPr>
              <w:t>1.96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center"/>
              <w:ind w:left="219"/>
              <w:spacing w:after="0"/>
              <w:rPr>
                <w:sz w:val="20"/>
                <w:szCs w:val="20"/>
                <w:color w:val="auto"/>
              </w:rPr>
            </w:pPr>
            <w:r>
              <w:rPr>
                <w:rFonts w:ascii="Arial" w:cs="Arial" w:eastAsia="Arial" w:hAnsi="Arial"/>
                <w:sz w:val="16"/>
                <w:szCs w:val="16"/>
                <w:color w:val="auto"/>
                <w:w w:val="89"/>
              </w:rPr>
              <w:t>1.33</w:t>
            </w:r>
          </w:p>
        </w:tc>
      </w:tr>
      <w:tr>
        <w:trPr>
          <w:trHeight w:val="219"/>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89"/>
              </w:rPr>
              <w:t>0.20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5"/>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89"/>
              </w:rPr>
              <w:t>0.03</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Annualized.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summarizes NPAs for the periods indicated. NPAs include nonaccrual loans, OREO and repossessed assets. The increase in nonaccrual loans since December 31, 2022 is primarily driven by a small number of large commercial loans that moved to nonaccrual status and an increase in nonaccrual manufactured housing loans during the first half of 2023, which contributed to $59.0 million and $6.62 million of the increase, respectively. These additions were partially offset by reductions in nonaccrual loans resulting from repayments, payoffs, charge-offs as well as loans returning to accrual status.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12 -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340" w:type="dxa"/>
            <w:vAlign w:val="bottom"/>
            <w:tcBorders>
              <w:bottom w:val="single" w:sz="8" w:color="CCEEFF"/>
            </w:tcBorders>
          </w:tcPr>
          <w:p>
            <w:pPr>
              <w:spacing w:after="0"/>
              <w:rPr>
                <w:sz w:val="18"/>
                <w:szCs w:val="18"/>
                <w:color w:val="auto"/>
              </w:rPr>
            </w:pPr>
          </w:p>
        </w:tc>
      </w:tr>
      <w:tr>
        <w:trPr>
          <w:trHeight w:val="212"/>
        </w:trPr>
        <w:tc>
          <w:tcPr>
            <w:tcW w:w="668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Nonaccrual loans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102,619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44,232</w:t>
            </w:r>
          </w:p>
        </w:tc>
        <w:tc>
          <w:tcPr>
            <w:tcW w:w="1340" w:type="dxa"/>
            <w:vAlign w:val="bottom"/>
            <w:shd w:val="clear" w:color="auto" w:fill="CCEEFF"/>
          </w:tcPr>
          <w:p>
            <w:pPr>
              <w:spacing w:after="0"/>
              <w:rPr>
                <w:sz w:val="18"/>
                <w:szCs w:val="18"/>
                <w:color w:val="auto"/>
              </w:rPr>
            </w:pPr>
          </w:p>
        </w:tc>
      </w:tr>
      <w:tr>
        <w:trPr>
          <w:trHeight w:val="213"/>
        </w:trPr>
        <w:tc>
          <w:tcPr>
            <w:tcW w:w="6680" w:type="dxa"/>
            <w:vAlign w:val="bottom"/>
            <w:tcBorders>
              <w:bottom w:val="single" w:sz="8" w:color="CCEEFF"/>
            </w:tcBorders>
          </w:tcPr>
          <w:p>
            <w:pPr>
              <w:ind w:left="1360"/>
              <w:spacing w:after="0"/>
              <w:rPr>
                <w:sz w:val="20"/>
                <w:szCs w:val="20"/>
                <w:color w:val="auto"/>
              </w:rPr>
            </w:pPr>
            <w:r>
              <w:rPr>
                <w:rFonts w:ascii="Arial" w:cs="Arial" w:eastAsia="Arial" w:hAnsi="Arial"/>
                <w:sz w:val="16"/>
                <w:szCs w:val="16"/>
                <w:color w:val="auto"/>
              </w:rPr>
              <w:t>OREO and repossessed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1340" w:type="dxa"/>
            <w:vAlign w:val="bottom"/>
            <w:tcBorders>
              <w:bottom w:val="single" w:sz="8" w:color="CCEEFF"/>
            </w:tcBorders>
          </w:tcPr>
          <w:p>
            <w:pPr>
              <w:spacing w:after="0"/>
              <w:rPr>
                <w:sz w:val="18"/>
                <w:szCs w:val="18"/>
                <w:color w:val="auto"/>
              </w:rPr>
            </w:pPr>
          </w:p>
        </w:tc>
      </w:tr>
      <w:tr>
        <w:trPr>
          <w:trHeight w:val="233"/>
        </w:trPr>
        <w:tc>
          <w:tcPr>
            <w:tcW w:w="6680" w:type="dxa"/>
            <w:vAlign w:val="bottom"/>
            <w:shd w:val="clear" w:color="auto" w:fill="CCEEFF"/>
          </w:tcPr>
          <w:p>
            <w:pPr>
              <w:ind w:left="1560"/>
              <w:spacing w:after="0"/>
              <w:rPr>
                <w:sz w:val="20"/>
                <w:szCs w:val="20"/>
                <w:color w:val="auto"/>
              </w:rPr>
            </w:pPr>
            <w:r>
              <w:rPr>
                <w:rFonts w:ascii="Arial" w:cs="Arial" w:eastAsia="Arial" w:hAnsi="Arial"/>
                <w:sz w:val="16"/>
                <w:szCs w:val="16"/>
                <w:color w:val="auto"/>
              </w:rPr>
              <w:t>Total NPAs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103,737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44,281</w:t>
            </w:r>
          </w:p>
        </w:tc>
        <w:tc>
          <w:tcPr>
            <w:tcW w:w="1340" w:type="dxa"/>
            <w:vAlign w:val="bottom"/>
            <w:shd w:val="clear" w:color="auto" w:fill="CCEEFF"/>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3"/>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668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Nonaccrual loans as a percentage of total loans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0.29 %</w:t>
            </w:r>
          </w:p>
        </w:tc>
        <w:tc>
          <w:tcPr>
            <w:tcW w:w="1340" w:type="dxa"/>
            <w:vAlign w:val="bottom"/>
            <w:shd w:val="clear" w:color="auto" w:fill="CCEEFF"/>
          </w:tcPr>
          <w:p>
            <w:pPr>
              <w:spacing w:after="0"/>
              <w:rPr>
                <w:sz w:val="18"/>
                <w:szCs w:val="18"/>
                <w:color w:val="auto"/>
              </w:rPr>
            </w:pPr>
          </w:p>
        </w:tc>
      </w:tr>
      <w:tr>
        <w:trPr>
          <w:trHeight w:val="210"/>
        </w:trPr>
        <w:tc>
          <w:tcPr>
            <w:tcW w:w="6680" w:type="dxa"/>
            <w:vAlign w:val="bottom"/>
          </w:tcPr>
          <w:p>
            <w:pPr>
              <w:ind w:left="1360"/>
              <w:spacing w:after="0"/>
              <w:rPr>
                <w:sz w:val="20"/>
                <w:szCs w:val="20"/>
                <w:color w:val="auto"/>
              </w:rPr>
            </w:pPr>
            <w:r>
              <w:rPr>
                <w:rFonts w:ascii="Arial" w:cs="Arial" w:eastAsia="Arial" w:hAnsi="Arial"/>
                <w:sz w:val="16"/>
                <w:szCs w:val="16"/>
                <w:color w:val="auto"/>
              </w:rPr>
              <w:t>NPAs as a percentage of total assets</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0.18</w:t>
            </w:r>
          </w:p>
        </w:tc>
        <w:tc>
          <w:tcPr>
            <w:tcW w:w="134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policy is to place loans on nonaccrual status when, in the opinion of management, the full principal and interest on a loan is not likely to be collected or when the loan becomes 90 days past due. A loan may continue on accrual after 90 days with senior management approval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Investment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3"/>
              </w:rPr>
              <w:t>Carrying Value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 of portfolio</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3"/>
              </w:rPr>
              <w:t>Carrying Value</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8"/>
              </w:rPr>
              <w:t>% of portfolio</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8"/>
              </w:rPr>
              <w:t>Change</w:t>
            </w:r>
          </w:p>
        </w:tc>
        <w:tc>
          <w:tcPr>
            <w:tcW w:w="1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AFS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3,359,989</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w w:val="93"/>
              </w:rPr>
              <w:t>57 %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3,614,333</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3"/>
              </w:rPr>
              <w:t>58 %</w:t>
            </w:r>
          </w:p>
        </w:tc>
        <w:tc>
          <w:tcPr>
            <w:tcW w:w="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(254,344)</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2,553,835</w:t>
            </w:r>
          </w:p>
        </w:tc>
        <w:tc>
          <w:tcPr>
            <w:tcW w:w="1220" w:type="dxa"/>
            <w:vAlign w:val="bottom"/>
            <w:tcBorders>
              <w:bottom w:val="single" w:sz="8" w:color="CCEEFF"/>
            </w:tcBorders>
            <w:gridSpan w:val="2"/>
          </w:tcPr>
          <w:p>
            <w:pPr>
              <w:ind w:left="86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2,613,648</w:t>
            </w:r>
          </w:p>
        </w:tc>
        <w:tc>
          <w:tcPr>
            <w:tcW w:w="124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(59,813)</w:t>
            </w: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Total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5,913,824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6,227,981</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(314,157)</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shd w:val="clear" w:color="auto" w:fill="CCEEFF"/>
          </w:tcPr>
          <w:p>
            <w:pPr>
              <w:ind w:left="1220"/>
              <w:spacing w:after="0" w:line="166" w:lineRule="exact"/>
              <w:rPr>
                <w:sz w:val="20"/>
                <w:szCs w:val="20"/>
                <w:color w:val="auto"/>
              </w:rPr>
            </w:pPr>
            <w:r>
              <w:rPr>
                <w:rFonts w:ascii="Arial" w:cs="Arial" w:eastAsia="Arial" w:hAnsi="Arial"/>
                <w:sz w:val="16"/>
                <w:szCs w:val="16"/>
                <w:color w:val="auto"/>
              </w:rPr>
              <w:t>Investment securities as a % of</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Table 14 - Investment Securities Portfolio Composition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2023, we sold $381 million in AFS securities, including approximately $111 million in securities received through the Progress acquisition, primarily for the purpose of providing liquidity to fund loan growth.</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2023, we entered into a fair value hedge on a portion of our AFS securities portfolio in order to mitigate the impact of any potential future unrealized losses on our tangible common equity. The notional value of the securities hedged totaled $677 million as of June 30, 2023. Gains and losses related to the hedge and hedged item are reflected in investment securities income. During the second quarter of 2023, we recorded net gains on the hedge and hedged item of $910,000. See Note 7 to the financial statements for further detail.</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HTM debt securities had a fair value of $2.13 billion, indicating net unrealized losses of $421 million. Additional unrealized losses on HTM debt securities of $72.9 million (pre-tax) were included in AOCI as a result of the transfer of AFS debt securities to HTM in 2022. Unrealized losses were primarily attributable to changes in interest rates.</w:t>
      </w:r>
    </w:p>
    <w:p>
      <w:pPr>
        <w:spacing w:after="0" w:line="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June 30, 2023 and December 31, 2022,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June 30, 2023 and December 31, 2022, there was no ACL related to the AFS debt securities portfolio. Unrealized losses at June 30, 2023 and December 31, 2022 primarily reflected the effect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June 30, 2023 and December 31, 2022, the net carrying amount of goodwill was $897 million and $751 million,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of Progress in the first quarter of 2023, we recorded goodwill and a core deposit intangible of $146 million and $40.0 million, respectively. See Note 4 to the financial statements for further information about the Progress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increase in deposits since December 31, 2022 was mostly driven by the deposits assumed in the Progress transaction, although we also generated organic growth by increasing the rates offered on deposits to remain competitive in the market in the midst of the rising rate environment. As of June 30, 2023, we had approximately $8.21 billion of uninsured deposits, of which $2.29 billion was collateralized by investment securities.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15 - Deposits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2022</w:t>
            </w:r>
          </w:p>
        </w:tc>
        <w:tc>
          <w:tcPr>
            <w:tcW w:w="1480" w:type="dxa"/>
            <w:vAlign w:val="bottom"/>
            <w:tcBorders>
              <w:bottom w:val="single" w:sz="8" w:color="CCEEFF"/>
            </w:tcBorders>
          </w:tcPr>
          <w:p>
            <w:pPr>
              <w:spacing w:after="0"/>
              <w:rPr>
                <w:sz w:val="18"/>
                <w:szCs w:val="18"/>
                <w:color w:val="auto"/>
              </w:rPr>
            </w:pPr>
          </w:p>
        </w:tc>
      </w:tr>
      <w:tr>
        <w:trPr>
          <w:trHeight w:val="212"/>
        </w:trPr>
        <w:tc>
          <w:tcPr>
            <w:tcW w:w="556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6,970,668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7,643,081</w:t>
            </w:r>
          </w:p>
        </w:tc>
        <w:tc>
          <w:tcPr>
            <w:tcW w:w="1480" w:type="dxa"/>
            <w:vAlign w:val="bottom"/>
            <w:shd w:val="clear" w:color="auto" w:fill="CCEEFF"/>
          </w:tcPr>
          <w:p>
            <w:pPr>
              <w:spacing w:after="0"/>
              <w:rPr>
                <w:sz w:val="18"/>
                <w:szCs w:val="18"/>
                <w:color w:val="auto"/>
              </w:rPr>
            </w:pPr>
          </w:p>
        </w:tc>
      </w:tr>
      <w:tr>
        <w:trPr>
          <w:trHeight w:val="213"/>
        </w:trPr>
        <w:tc>
          <w:tcPr>
            <w:tcW w:w="556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5,076,371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4,350,878</w:t>
            </w:r>
          </w:p>
        </w:tc>
        <w:tc>
          <w:tcPr>
            <w:tcW w:w="1480" w:type="dxa"/>
            <w:vAlign w:val="bottom"/>
          </w:tcPr>
          <w:p>
            <w:pPr>
              <w:spacing w:after="0"/>
              <w:rPr>
                <w:sz w:val="18"/>
                <w:szCs w:val="18"/>
                <w:color w:val="auto"/>
              </w:rPr>
            </w:pPr>
          </w:p>
        </w:tc>
      </w:tr>
      <w:tr>
        <w:trPr>
          <w:trHeight w:val="219"/>
        </w:trPr>
        <w:tc>
          <w:tcPr>
            <w:tcW w:w="556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6,297,803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5,967,017</w:t>
            </w:r>
          </w:p>
        </w:tc>
        <w:tc>
          <w:tcPr>
            <w:tcW w:w="1480" w:type="dxa"/>
            <w:vAlign w:val="bottom"/>
            <w:shd w:val="clear" w:color="auto" w:fill="CCEEFF"/>
          </w:tcPr>
          <w:p>
            <w:pPr>
              <w:spacing w:after="0"/>
              <w:rPr>
                <w:sz w:val="19"/>
                <w:szCs w:val="19"/>
                <w:color w:val="auto"/>
              </w:rPr>
            </w:pPr>
          </w:p>
        </w:tc>
      </w:tr>
      <w:tr>
        <w:trPr>
          <w:trHeight w:val="213"/>
        </w:trPr>
        <w:tc>
          <w:tcPr>
            <w:tcW w:w="556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Time</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3,265,230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1,781,482</w:t>
            </w:r>
          </w:p>
        </w:tc>
        <w:tc>
          <w:tcPr>
            <w:tcW w:w="1480" w:type="dxa"/>
            <w:vAlign w:val="bottom"/>
            <w:tcBorders>
              <w:bottom w:val="single" w:sz="8" w:color="CCEEFF"/>
            </w:tcBorders>
          </w:tcPr>
          <w:p>
            <w:pPr>
              <w:spacing w:after="0"/>
              <w:rPr>
                <w:sz w:val="18"/>
                <w:szCs w:val="18"/>
                <w:color w:val="auto"/>
              </w:rPr>
            </w:pPr>
          </w:p>
        </w:tc>
      </w:tr>
      <w:tr>
        <w:trPr>
          <w:trHeight w:val="212"/>
        </w:trPr>
        <w:tc>
          <w:tcPr>
            <w:tcW w:w="556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21,610,072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19,742,458</w:t>
            </w:r>
          </w:p>
        </w:tc>
        <w:tc>
          <w:tcPr>
            <w:tcW w:w="1480" w:type="dxa"/>
            <w:vAlign w:val="bottom"/>
            <w:shd w:val="clear" w:color="auto" w:fill="CCEEFF"/>
          </w:tcPr>
          <w:p>
            <w:pPr>
              <w:spacing w:after="0"/>
              <w:rPr>
                <w:sz w:val="18"/>
                <w:szCs w:val="18"/>
                <w:color w:val="auto"/>
              </w:rPr>
            </w:pPr>
          </w:p>
        </w:tc>
      </w:tr>
      <w:tr>
        <w:trPr>
          <w:trHeight w:val="213"/>
        </w:trPr>
        <w:tc>
          <w:tcPr>
            <w:tcW w:w="556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Brokered deposits</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134,049</w:t>
            </w:r>
          </w:p>
        </w:tc>
        <w:tc>
          <w:tcPr>
            <w:tcW w:w="1480" w:type="dxa"/>
            <w:vAlign w:val="bottom"/>
            <w:tcBorders>
              <w:bottom w:val="single" w:sz="8" w:color="CCEEFF"/>
            </w:tcBorders>
          </w:tcPr>
          <w:p>
            <w:pPr>
              <w:spacing w:after="0"/>
              <w:rPr>
                <w:sz w:val="18"/>
                <w:szCs w:val="18"/>
                <w:color w:val="auto"/>
              </w:rPr>
            </w:pPr>
          </w:p>
        </w:tc>
      </w:tr>
      <w:tr>
        <w:trPr>
          <w:trHeight w:val="233"/>
        </w:trPr>
        <w:tc>
          <w:tcPr>
            <w:tcW w:w="556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22,251,988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19,876,507</w:t>
            </w:r>
          </w:p>
        </w:tc>
        <w:tc>
          <w:tcPr>
            <w:tcW w:w="1480" w:type="dxa"/>
            <w:vAlign w:val="bottom"/>
            <w:shd w:val="clear" w:color="auto" w:fill="CCEEFF"/>
          </w:tcPr>
          <w:p>
            <w:pPr>
              <w:spacing w:after="0"/>
              <w:rPr>
                <w:sz w:val="20"/>
                <w:szCs w:val="20"/>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both June 30, 2023 and December 31, 2022, we had long-term debt outstanding of $325 million, which includes senior debentures, subordinated debentures, and trust preferred securities. Also at December 31, 2022, we had short-term borrowings outstanding of $159 million, which was mostly comprised of repurchase agreements, and we had $550 million of FHLB advances outstanding. There were no short-term borrowings or FHLB advances outstanding at June 30, 2023. We began using these short-term funding sources in mid 2022 due to balance attrition in our deposit accounts and our need to fund loan growth. The decrease since December 31, 2022 is a result of the sale of investment securities noted above and growth in customer and brokered deposits which allowed us to fund loan growth and repay short-term borrowings.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color w:val="auto"/>
        </w:rPr>
        <w:t>and have essentially the same credit risk as extending loan facilities to customers. Those commitments are primarily issued to local businesses.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23 to the consolidated financial statements included in our 2022 10-K and Note 15 to the consolidated financial statements in this Report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8"/>
          <w:szCs w:val="18"/>
          <w:b w:val="1"/>
          <w:bCs w:val="1"/>
          <w:color w:val="auto"/>
        </w:rPr>
        <w:t>Table 16 - Interest Sensitivity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60" w:type="dxa"/>
            <w:vAlign w:val="bottom"/>
            <w:gridSpan w:val="9"/>
          </w:tcPr>
          <w:p>
            <w:pPr>
              <w:ind w:left="40"/>
              <w:spacing w:after="0"/>
              <w:rPr>
                <w:sz w:val="20"/>
                <w:szCs w:val="20"/>
                <w:color w:val="auto"/>
              </w:rPr>
            </w:pPr>
            <w:r>
              <w:rPr>
                <w:rFonts w:ascii="Arial" w:cs="Arial" w:eastAsia="Arial" w:hAnsi="Arial"/>
                <w:sz w:val="16"/>
                <w:szCs w:val="16"/>
                <w:b w:val="1"/>
                <w:bCs w:val="1"/>
                <w:color w:val="auto"/>
              </w:rPr>
              <w:t>Increase (Decrease) in Net Interest Revenue from Base Scenario</w:t>
            </w:r>
          </w:p>
        </w:tc>
      </w:tr>
      <w:tr>
        <w:trPr>
          <w:trHeight w:val="213"/>
        </w:trPr>
        <w:tc>
          <w:tcPr>
            <w:tcW w:w="1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84"/>
              </w:rPr>
              <w:t>at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7"/>
        </w:trPr>
        <w:tc>
          <w:tcPr>
            <w:tcW w:w="1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2022</w:t>
            </w:r>
          </w:p>
        </w:tc>
        <w:tc>
          <w:tcPr>
            <w:tcW w:w="1560" w:type="dxa"/>
            <w:vAlign w:val="bottom"/>
          </w:tcPr>
          <w:p>
            <w:pPr>
              <w:spacing w:after="0"/>
              <w:rPr>
                <w:sz w:val="17"/>
                <w:szCs w:val="17"/>
                <w:color w:val="auto"/>
              </w:rPr>
            </w:pPr>
          </w:p>
        </w:tc>
      </w:tr>
      <w:tr>
        <w:trPr>
          <w:trHeight w:val="212"/>
        </w:trPr>
        <w:tc>
          <w:tcPr>
            <w:tcW w:w="156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Change in Rates</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Ramp</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6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basis point increase</w:t>
            </w:r>
          </w:p>
        </w:tc>
        <w:tc>
          <w:tcPr>
            <w:tcW w:w="10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2"/>
              </w:rPr>
              <w:t>1.56 %</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2"/>
              </w:rPr>
              <w:t>(0.30)%</w:t>
            </w:r>
          </w:p>
        </w:tc>
        <w:tc>
          <w:tcPr>
            <w:tcW w:w="116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w w:val="92"/>
              </w:rPr>
              <w:t>6.97 %</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92"/>
              </w:rPr>
              <w:t>4.33 %</w:t>
            </w:r>
          </w:p>
        </w:tc>
        <w:tc>
          <w:tcPr>
            <w:tcW w:w="1560" w:type="dxa"/>
            <w:vAlign w:val="bottom"/>
            <w:shd w:val="clear" w:color="auto" w:fill="CCEEFF"/>
          </w:tcPr>
          <w:p>
            <w:pPr>
              <w:spacing w:after="0"/>
              <w:rPr>
                <w:sz w:val="18"/>
                <w:szCs w:val="18"/>
                <w:color w:val="auto"/>
              </w:rPr>
            </w:pPr>
          </w:p>
        </w:tc>
      </w:tr>
      <w:tr>
        <w:trPr>
          <w:trHeight w:val="213"/>
        </w:trPr>
        <w:tc>
          <w:tcPr>
            <w:tcW w:w="156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100 basis point increase</w:t>
            </w:r>
          </w:p>
        </w:tc>
        <w:tc>
          <w:tcPr>
            <w:tcW w:w="1040" w:type="dxa"/>
            <w:vAlign w:val="bottom"/>
          </w:tcPr>
          <w:p>
            <w:pPr>
              <w:ind w:left="560"/>
              <w:spacing w:after="0"/>
              <w:rPr>
                <w:sz w:val="20"/>
                <w:szCs w:val="20"/>
                <w:color w:val="auto"/>
              </w:rPr>
            </w:pPr>
            <w:r>
              <w:rPr>
                <w:rFonts w:ascii="Arial" w:cs="Arial" w:eastAsia="Arial" w:hAnsi="Arial"/>
                <w:sz w:val="16"/>
                <w:szCs w:val="16"/>
                <w:color w:val="auto"/>
              </w:rPr>
              <w:t>0.82</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color w:val="auto"/>
              </w:rPr>
              <w:t>0.02</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3.53</w:t>
            </w:r>
          </w:p>
        </w:tc>
        <w:tc>
          <w:tcPr>
            <w:tcW w:w="1160" w:type="dxa"/>
            <w:vAlign w:val="bottom"/>
            <w:gridSpan w:val="2"/>
          </w:tcPr>
          <w:p>
            <w:pPr>
              <w:ind w:left="680"/>
              <w:spacing w:after="0"/>
              <w:rPr>
                <w:sz w:val="20"/>
                <w:szCs w:val="20"/>
                <w:color w:val="auto"/>
              </w:rPr>
            </w:pPr>
            <w:r>
              <w:rPr>
                <w:rFonts w:ascii="Arial" w:cs="Arial" w:eastAsia="Arial" w:hAnsi="Arial"/>
                <w:sz w:val="16"/>
                <w:szCs w:val="16"/>
                <w:color w:val="auto"/>
              </w:rPr>
              <w:t>2.85</w:t>
            </w:r>
          </w:p>
        </w:tc>
        <w:tc>
          <w:tcPr>
            <w:tcW w:w="1560" w:type="dxa"/>
            <w:vAlign w:val="bottom"/>
          </w:tcPr>
          <w:p>
            <w:pPr>
              <w:spacing w:after="0"/>
              <w:rPr>
                <w:sz w:val="18"/>
                <w:szCs w:val="18"/>
                <w:color w:val="auto"/>
              </w:rPr>
            </w:pPr>
          </w:p>
        </w:tc>
      </w:tr>
      <w:tr>
        <w:trPr>
          <w:trHeight w:val="219"/>
        </w:trPr>
        <w:tc>
          <w:tcPr>
            <w:tcW w:w="156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decrease</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(0.43)</w:t>
            </w:r>
          </w:p>
        </w:tc>
        <w:tc>
          <w:tcPr>
            <w:tcW w:w="116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(3.78)</w:t>
            </w: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1560" w:type="dxa"/>
            <w:vAlign w:val="bottom"/>
            <w:shd w:val="clear" w:color="auto" w:fill="CCEEFF"/>
          </w:tcPr>
          <w:p>
            <w:pPr>
              <w:spacing w:after="0"/>
              <w:rPr>
                <w:sz w:val="19"/>
                <w:szCs w:val="19"/>
                <w:color w:val="auto"/>
              </w:rPr>
            </w:pPr>
          </w:p>
        </w:tc>
      </w:tr>
      <w:tr>
        <w:trPr>
          <w:trHeight w:val="210"/>
        </w:trPr>
        <w:tc>
          <w:tcPr>
            <w:tcW w:w="156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200 basis point decrease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(3.79)</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(0.77)</w:t>
            </w:r>
          </w:p>
        </w:tc>
        <w:tc>
          <w:tcPr>
            <w:tcW w:w="1160" w:type="dxa"/>
            <w:vAlign w:val="bottom"/>
            <w:gridSpan w:val="3"/>
          </w:tcPr>
          <w:p>
            <w:pPr>
              <w:jc w:val="right"/>
              <w:ind w:right="59"/>
              <w:spacing w:after="0"/>
              <w:rPr>
                <w:sz w:val="20"/>
                <w:szCs w:val="20"/>
                <w:color w:val="auto"/>
              </w:rPr>
            </w:pPr>
            <w:r>
              <w:rPr>
                <w:rFonts w:ascii="Arial" w:cs="Arial" w:eastAsia="Arial" w:hAnsi="Arial"/>
                <w:sz w:val="16"/>
                <w:szCs w:val="16"/>
                <w:color w:val="auto"/>
              </w:rPr>
              <w:t>(8.39)</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(5.07)</w:t>
            </w:r>
          </w:p>
        </w:tc>
        <w:tc>
          <w:tcPr>
            <w:tcW w:w="1560" w:type="dxa"/>
            <w:vAlign w:val="bottom"/>
          </w:tcPr>
          <w:p>
            <w:pPr>
              <w:spacing w:after="0"/>
              <w:rPr>
                <w:sz w:val="18"/>
                <w:szCs w:val="18"/>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environment is marked by the most rapid rate increases in decades, which, in part, is making non-bank products, such as U.S. Treasuries and institutional money market funds, more attractive to our deposit customers. For this and other reasons, the banking industry’s deposit base has been shrinking since the first half of 2022. This industry-wide outflow of deposits has increased price competition for bank deposits. As such, industry deposit betas, including ours, have been increasing at a faster pace relative to the last rising rate cycle. Our cumulative total deposit beta for the current rising rate cycle increased to 32% in the second quarter of 2023. Our cumulative total deposit beta in the last upward rate cycle from November 2015 to July 2019 was 22%.</w:t>
      </w:r>
    </w:p>
    <w:p>
      <w:pPr>
        <w:spacing w:after="0" w:line="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interest sensitivity model includes significant key assumptions which may change over time. Although our model generally assumes no change in deposit portfolio size or composition, we have included an assumption for the runoff of surge deposits since 2021. In the second quarter of 2023, in response to the rapid rate increases mentioned above, we increased the beta assumption in our model. The modeled total deposit beta, which is measured as the change in our overall deposit rate as a percentage of the change in the targeted federal funds rate, was 37%. A higher total deposit beta assumption generally indicates a less asset sensitive balance sheet and lowers the expected increase in net interest revenue in the increasing rate scenarios.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In response to recent bank failures, we have focused on maximizing the amount of securities and loans available as collateral for contingent liquidity sources as well as reevaluated the assumptions in our liquidity stress test, particularly as it relates to deposit duration.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we had sufficient qualifying collateral to provide borrowing capacity for FHLB advances of $1.75 billion, Federal Reserve discount window borrowing capacity of $2.70 billion and Federal Reserve bank term funding program capacity of $2.26 billion. We also had unpledged investment securities of $1.49 billion that could be used as collateral for additional borrowings. In addition, we believe we have the ability to attract retail deposits by competing more aggressively on pricing.</w:t>
      </w:r>
    </w:p>
    <w:p>
      <w:pPr>
        <w:spacing w:after="0" w:line="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A South Carolina state-chartered bank is permitted to pay a dividend of up to 100% of its current year earnings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7" w:name="page58"/>
    <w:bookmarkEnd w:id="57"/>
    <w:p>
      <w:pPr>
        <w:spacing w:after="0" w:line="261" w:lineRule="auto"/>
        <w:rPr>
          <w:sz w:val="20"/>
          <w:szCs w:val="20"/>
          <w:color w:val="auto"/>
        </w:rPr>
      </w:pPr>
      <w:r>
        <w:rPr>
          <w:rFonts w:ascii="Arial" w:cs="Arial" w:eastAsia="Arial" w:hAnsi="Arial"/>
          <w:sz w:val="18"/>
          <w:szCs w:val="18"/>
          <w:color w:val="auto"/>
        </w:rPr>
        <w:t>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Significant uses and sources of cash during the six months ended June 30, 2023 are as follows. See the consolidated statement of cash flows for further detail.</w:t>
      </w:r>
    </w:p>
    <w:p>
      <w:pPr>
        <w:spacing w:after="0" w:line="76" w:lineRule="exact"/>
        <w:rPr>
          <w:sz w:val="20"/>
          <w:szCs w:val="20"/>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of $185 million reflects net income of $126 million adjusted for non-cash transactions, partly offset by changes in loans held for sale and other assets and liabilities. Significant non-cash transactions for the period included a $44.5 million provision for credit losses and net depreciation, amortization, and accretion of $23.6 million.</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used in investing activities of $163 million primarily consisted of a net increase in loans of $618 million and purchases of AFS securities and equity investments totaling $310 million. These uses of cash were partially offset by proceeds from securities sales, maturities and calls of $624 million and equity investment inflows of $123 million.</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financing activities of $42.3 million was driven by a net increase in deposits of $1.04 billion, partially offset by net repayments of FHLB advances of $645 million, a net decrease in short-term borrowings of $300 million, and dividends on common and preferred stock of $53.9 million.</w:t>
      </w:r>
    </w:p>
    <w:p>
      <w:pPr>
        <w:spacing w:after="0" w:line="103" w:lineRule="exact"/>
        <w:rPr>
          <w:sz w:val="20"/>
          <w:szCs w:val="20"/>
          <w:color w:val="auto"/>
        </w:rPr>
      </w:pPr>
    </w:p>
    <w:p>
      <w:pPr>
        <w:spacing w:after="0" w:line="418" w:lineRule="auto"/>
        <w:rPr>
          <w:sz w:val="20"/>
          <w:szCs w:val="20"/>
          <w:color w:val="auto"/>
        </w:rPr>
      </w:pPr>
      <w:r>
        <w:rPr>
          <w:rFonts w:ascii="Arial" w:cs="Arial" w:eastAsia="Arial" w:hAnsi="Arial"/>
          <w:sz w:val="18"/>
          <w:szCs w:val="18"/>
          <w:color w:val="auto"/>
        </w:rPr>
        <w:t xml:space="preserve">In the opinion of management, our liquidity position at June 30, 2023 was sufficient to meet our expected cash flow requirements for the foreseeable future. </w:t>
      </w:r>
      <w:r>
        <w:rPr>
          <w:rFonts w:ascii="Arial" w:cs="Arial" w:eastAsia="Arial" w:hAnsi="Arial"/>
          <w:sz w:val="18"/>
          <w:szCs w:val="18"/>
          <w:b w:val="1"/>
          <w:bCs w:val="1"/>
          <w:color w:val="auto"/>
        </w:rPr>
        <w:t>Capital Resources and Dividends</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Shareholders’ equity at June 30, 2023 was $3.11 billion, an increase of $405 million from December 31, 2022 primarily due to equity issued in the Progress acquisition, year-to-date earnings and unrealized gains on AFS securities, partially offset by dividends declared on common and preferred stock.</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capital ratios, as calculated under applicable regulatory guidelines, at June 30, 2023 and December 31, 2022. As of June 30, 2023, capital levels remained characterized as “well-capitalized” under regulatory requirements in effect at the time. Additional information related to capital ratios is provided in Note 14 to the consolidated financial statements.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17 - Capital Ratios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United Community Banks, Inc.</w:t>
            </w:r>
          </w:p>
        </w:tc>
        <w:tc>
          <w:tcPr>
            <w:tcW w:w="100" w:type="dxa"/>
            <w:vAlign w:val="bottom"/>
          </w:tcPr>
          <w:p>
            <w:pPr>
              <w:spacing w:after="0"/>
              <w:rPr>
                <w:sz w:val="16"/>
                <w:szCs w:val="16"/>
                <w:color w:val="auto"/>
              </w:rPr>
            </w:pPr>
          </w:p>
        </w:tc>
        <w:tc>
          <w:tcPr>
            <w:tcW w:w="2640" w:type="dxa"/>
            <w:vAlign w:val="bottom"/>
            <w:gridSpan w:val="3"/>
            <w:vMerge w:val="restart"/>
          </w:tcPr>
          <w:p>
            <w:pPr>
              <w:jc w:val="right"/>
              <w:ind w:right="35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6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Well-</w:t>
            </w:r>
          </w:p>
        </w:tc>
        <w:tc>
          <w:tcPr>
            <w:tcW w:w="12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Minimum Capital Plus</w:t>
            </w:r>
          </w:p>
        </w:tc>
        <w:tc>
          <w:tcPr>
            <w:tcW w:w="100" w:type="dxa"/>
            <w:vAlign w:val="bottom"/>
          </w:tcPr>
          <w:p>
            <w:pPr>
              <w:spacing w:after="0"/>
              <w:rPr>
                <w:sz w:val="13"/>
                <w:szCs w:val="13"/>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3"/>
                <w:szCs w:val="13"/>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1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Minimum</w:t>
            </w: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Capitalized</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7"/>
              </w:rPr>
              <w:t>Buffer</w:t>
            </w:r>
          </w:p>
        </w:tc>
        <w:tc>
          <w:tcPr>
            <w:tcW w:w="13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4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3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4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4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20" w:type="dxa"/>
            <w:vAlign w:val="bottom"/>
          </w:tcPr>
          <w:p>
            <w:pPr>
              <w:ind w:left="720"/>
              <w:spacing w:after="0"/>
              <w:rPr>
                <w:sz w:val="20"/>
                <w:szCs w:val="20"/>
                <w:color w:val="auto"/>
              </w:rPr>
            </w:pPr>
            <w:r>
              <w:rPr>
                <w:rFonts w:ascii="Arial" w:cs="Arial" w:eastAsia="Arial" w:hAnsi="Arial"/>
                <w:sz w:val="16"/>
                <w:szCs w:val="16"/>
                <w:color w:val="auto"/>
                <w:w w:val="92"/>
              </w:rPr>
              <w:t>4.5 %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12.19 %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12.26 %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12.42 %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12.83 %</w:t>
            </w: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6.0</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3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12.69</w:t>
            </w: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12.81</w:t>
            </w:r>
          </w:p>
        </w:tc>
        <w:tc>
          <w:tcPr>
            <w:tcW w:w="13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12.42</w:t>
            </w: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164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20" w:type="dxa"/>
            <w:vAlign w:val="bottom"/>
          </w:tcPr>
          <w:p>
            <w:pPr>
              <w:ind w:left="720"/>
              <w:spacing w:after="0"/>
              <w:rPr>
                <w:sz w:val="20"/>
                <w:szCs w:val="20"/>
                <w:color w:val="auto"/>
              </w:rPr>
            </w:pPr>
            <w:r>
              <w:rPr>
                <w:rFonts w:ascii="Arial" w:cs="Arial" w:eastAsia="Arial" w:hAnsi="Arial"/>
                <w:sz w:val="16"/>
                <w:szCs w:val="16"/>
                <w:color w:val="auto"/>
              </w:rPr>
              <w:t>8.0</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10.0</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10.5</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14.57</w:t>
            </w:r>
          </w:p>
        </w:tc>
        <w:tc>
          <w:tcPr>
            <w:tcW w:w="1400" w:type="dxa"/>
            <w:vAlign w:val="bottom"/>
            <w:gridSpan w:val="2"/>
          </w:tcPr>
          <w:p>
            <w:pPr>
              <w:jc w:val="right"/>
              <w:ind w:right="119"/>
              <w:spacing w:after="0"/>
              <w:rPr>
                <w:sz w:val="20"/>
                <w:szCs w:val="20"/>
                <w:color w:val="auto"/>
              </w:rPr>
            </w:pPr>
            <w:r>
              <w:rPr>
                <w:rFonts w:ascii="Arial" w:cs="Arial" w:eastAsia="Arial" w:hAnsi="Arial"/>
                <w:sz w:val="16"/>
                <w:szCs w:val="16"/>
                <w:color w:val="auto"/>
              </w:rPr>
              <w:t>14.79</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13.39</w:t>
            </w:r>
          </w:p>
        </w:tc>
        <w:tc>
          <w:tcPr>
            <w:tcW w:w="1400" w:type="dxa"/>
            <w:vAlign w:val="bottom"/>
            <w:gridSpan w:val="2"/>
          </w:tcPr>
          <w:p>
            <w:pPr>
              <w:jc w:val="right"/>
              <w:ind w:right="1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4.0</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N/A</w:t>
            </w:r>
          </w:p>
        </w:tc>
        <w:tc>
          <w:tcPr>
            <w:tcW w:w="13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9.79</w:t>
            </w: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13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9.56</w:t>
            </w:r>
          </w:p>
        </w:tc>
        <w:tc>
          <w:tcPr>
            <w:tcW w:w="1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8" w:name="page59"/>
    <w:bookmarkEnd w:id="58"/>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as of June 30, 2023 from that presented in our 2022 10-K. Our interest rate sensitivity position at June 30, 2023 is set forth in Table 16 in MD&amp;A of this Report and incorporated herein by this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20"/>
        <w:spacing w:after="0" w:line="259" w:lineRule="auto"/>
        <w:tabs>
          <w:tab w:leader="none" w:pos="46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June 30, 2023.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293"/>
        <w:spacing w:after="0" w:line="263" w:lineRule="auto"/>
        <w:tabs>
          <w:tab w:leader="none" w:pos="56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June 30, 2023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4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Except with respect to the additional risk factors related to the First Miami acquisition, which are set forth on pages 22 through 24 of the prospectus filed with the SEC on April 24, 2023 pursuant to Securities Act Rule 424(b)(3) (and incorporated herein by this reference), there have been no material changes to the risk factors previously disclosed in the 2022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contains information regarding purchases of our preferred stock made during the quarter ended June 30, 2023 by or on behalf of United or any “affiliated purchaser,” as defined by Rule 10b-18(a)(3) of the Exchange Act: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4"/>
              </w:rPr>
              <w:t>Total Number of</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4"/>
                <w:szCs w:val="14"/>
                <w:color w:val="auto"/>
              </w:rPr>
            </w:pPr>
          </w:p>
        </w:tc>
        <w:tc>
          <w:tcPr>
            <w:tcW w:w="2320" w:type="dxa"/>
            <w:vAlign w:val="bottom"/>
            <w:gridSpan w:val="3"/>
          </w:tcPr>
          <w:p>
            <w:pPr>
              <w:jc w:val="center"/>
              <w:ind w:right="400"/>
              <w:spacing w:after="0" w:line="162" w:lineRule="exact"/>
              <w:rPr>
                <w:sz w:val="20"/>
                <w:szCs w:val="20"/>
                <w:color w:val="auto"/>
              </w:rPr>
            </w:pPr>
            <w:r>
              <w:rPr>
                <w:rFonts w:ascii="Arial" w:cs="Arial" w:eastAsia="Arial" w:hAnsi="Arial"/>
                <w:sz w:val="16"/>
                <w:szCs w:val="16"/>
                <w:b w:val="1"/>
                <w:bCs w:val="1"/>
                <w:color w:val="auto"/>
                <w:w w:val="91"/>
              </w:rPr>
              <w:t>Depositary Shares</w:t>
            </w:r>
          </w:p>
        </w:tc>
        <w:tc>
          <w:tcPr>
            <w:tcW w:w="246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4"/>
              </w:rPr>
              <w:t>Approximate Dollar</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tcPr>
          <w:p>
            <w:pPr>
              <w:jc w:val="center"/>
              <w:ind w:right="400"/>
              <w:spacing w:after="0" w:line="162" w:lineRule="exact"/>
              <w:rPr>
                <w:sz w:val="20"/>
                <w:szCs w:val="20"/>
                <w:color w:val="auto"/>
              </w:rPr>
            </w:pPr>
            <w:r>
              <w:rPr>
                <w:rFonts w:ascii="Arial" w:cs="Arial" w:eastAsia="Arial" w:hAnsi="Arial"/>
                <w:sz w:val="16"/>
                <w:szCs w:val="16"/>
                <w:b w:val="1"/>
                <w:bCs w:val="1"/>
                <w:color w:val="auto"/>
                <w:w w:val="87"/>
              </w:rPr>
              <w:t>Purchased</w:t>
            </w: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of Depositary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Price Paid</w:t>
            </w:r>
          </w:p>
        </w:tc>
        <w:tc>
          <w:tcPr>
            <w:tcW w:w="100" w:type="dxa"/>
            <w:vAlign w:val="bottom"/>
          </w:tcPr>
          <w:p>
            <w:pPr>
              <w:spacing w:after="0"/>
              <w:rPr>
                <w:sz w:val="14"/>
                <w:szCs w:val="14"/>
                <w:color w:val="auto"/>
              </w:rPr>
            </w:pPr>
          </w:p>
        </w:tc>
        <w:tc>
          <w:tcPr>
            <w:tcW w:w="2320" w:type="dxa"/>
            <w:vAlign w:val="bottom"/>
            <w:gridSpan w:val="3"/>
          </w:tcPr>
          <w:p>
            <w:pPr>
              <w:jc w:val="center"/>
              <w:ind w:right="400"/>
              <w:spacing w:after="0" w:line="162" w:lineRule="exact"/>
              <w:rPr>
                <w:sz w:val="20"/>
                <w:szCs w:val="20"/>
                <w:color w:val="auto"/>
              </w:rPr>
            </w:pPr>
            <w:r>
              <w:rPr>
                <w:rFonts w:ascii="Arial" w:cs="Arial" w:eastAsia="Arial" w:hAnsi="Arial"/>
                <w:sz w:val="16"/>
                <w:szCs w:val="16"/>
                <w:b w:val="1"/>
                <w:bCs w:val="1"/>
                <w:color w:val="auto"/>
                <w:w w:val="92"/>
              </w:rPr>
              <w:t>as Part of Publicly</w:t>
            </w:r>
          </w:p>
        </w:tc>
        <w:tc>
          <w:tcPr>
            <w:tcW w:w="24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for per share amounts)</w:t>
            </w:r>
          </w:p>
        </w:tc>
        <w:tc>
          <w:tcPr>
            <w:tcW w:w="10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per Depositary</w:t>
            </w:r>
          </w:p>
        </w:tc>
        <w:tc>
          <w:tcPr>
            <w:tcW w:w="100" w:type="dxa"/>
            <w:vAlign w:val="bottom"/>
          </w:tcPr>
          <w:p>
            <w:pPr>
              <w:spacing w:after="0"/>
              <w:rPr>
                <w:sz w:val="14"/>
                <w:szCs w:val="14"/>
                <w:color w:val="auto"/>
              </w:rPr>
            </w:pPr>
          </w:p>
        </w:tc>
        <w:tc>
          <w:tcPr>
            <w:tcW w:w="2320" w:type="dxa"/>
            <w:vAlign w:val="bottom"/>
            <w:gridSpan w:val="3"/>
          </w:tcPr>
          <w:p>
            <w:pPr>
              <w:jc w:val="center"/>
              <w:ind w:right="400"/>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24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 Programs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219"/>
              <w:spacing w:after="0" w:line="216" w:lineRule="exact"/>
              <w:rPr>
                <w:sz w:val="20"/>
                <w:szCs w:val="20"/>
                <w:color w:val="auto"/>
              </w:rPr>
            </w:pPr>
            <w:r>
              <w:rPr>
                <w:rFonts w:ascii="Arial" w:cs="Arial" w:eastAsia="Arial" w:hAnsi="Arial"/>
                <w:sz w:val="16"/>
                <w:szCs w:val="16"/>
                <w:b w:val="1"/>
                <w:bCs w:val="1"/>
                <w:color w:val="auto"/>
                <w:w w:val="89"/>
              </w:rPr>
              <w:t xml:space="preserve">the Plans or Programs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 April 30, 2023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rPr>
              <w:t>—   $</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May 1, 2023 - May 31, 2023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32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2023 - June 30, 2023</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24,778</w:t>
            </w: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20.85</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10,668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8"/>
        <w:spacing w:after="0" w:line="265" w:lineRule="auto"/>
        <w:tabs>
          <w:tab w:leader="none" w:pos="171"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In May 2023, United’s Board authorized a preferred stock repurchase program to permit the repurchase of up to $25 million of its preferred stock. The program is scheduled to expire on the earlier of the repurchase of our preferred stock having an aggregate purchase price of $25 million or December 31, 2023. Under the program, shares may be repurchased in open market transactions or in privately negotiated transactions, from time to time, subject to market conditions, including transactions outside the safe harbor provided by Exchange Act Rule 10b-18 (but nevertheless adhering to Rule 10-b-18’s requirements). The preferred stock repurchase program may be modified, suspended or discontinued at any time at the Company’s discretion without prior notice, and does not commit the Company to repurchase shares of its preferred stock or depositary shares. The actual number and value of the shares to be purchased will be determined by the Company at its discretion, and will depend on a number of factors including the performance of the price of the depositary shares, market conditions, the availability of alternative investment opportunities and other factors the Company deems appropriate.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60"/>
        <w:spacing w:after="0"/>
        <w:tabs>
          <w:tab w:leader="none" w:pos="59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ind w:left="1640" w:hanging="524"/>
        <w:spacing w:after="0" w:line="224" w:lineRule="auto"/>
        <w:tabs>
          <w:tab w:leader="none" w:pos="1620" w:val="left"/>
        </w:tabs>
        <w:rPr>
          <w:rFonts w:ascii="Arial" w:cs="Arial" w:eastAsia="Arial" w:hAnsi="Arial"/>
          <w:sz w:val="18"/>
          <w:szCs w:val="18"/>
          <w:color w:val="0000FF"/>
        </w:rPr>
      </w:pPr>
      <w:hyperlink r:id="rId115">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15">
        <w:r>
          <w:rPr>
            <w:rFonts w:ascii="Arial" w:cs="Arial" w:eastAsia="Arial" w:hAnsi="Arial"/>
            <w:sz w:val="18"/>
            <w:szCs w:val="18"/>
            <w:u w:val="single" w:color="auto"/>
            <w:color w:val="0000FF"/>
          </w:rPr>
          <w:t>Agreement and Plan of Merger by and between United Community Banks, Inc. and First Miami Bancorp, Inc. dated as of February</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13, 2023 (incorporated herein by reference from Exhibit 2.1 to the Current Report on Form 8-K of United Community Banks, Inc.</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filed with the SEC on February 15, 2023)</w:t>
        </w:r>
        <w:r>
          <w:rPr>
            <w:rFonts w:ascii="Arial" w:cs="Arial" w:eastAsia="Arial" w:hAnsi="Arial"/>
            <w:sz w:val="18"/>
            <w:szCs w:val="18"/>
            <w:color w:val="000000"/>
          </w:rPr>
          <w:t>.</w:t>
        </w:r>
      </w:hyperlink>
    </w:p>
    <w:p>
      <w:pPr>
        <w:spacing w:after="0" w:line="176" w:lineRule="exact"/>
        <w:rPr>
          <w:rFonts w:ascii="Arial" w:cs="Arial" w:eastAsia="Arial" w:hAnsi="Arial"/>
          <w:sz w:val="18"/>
          <w:szCs w:val="18"/>
          <w:u w:val="single" w:color="auto"/>
          <w:color w:val="0000FF"/>
        </w:rPr>
      </w:pPr>
    </w:p>
    <w:p>
      <w:pPr>
        <w:jc w:val="both"/>
        <w:ind w:left="1640" w:hanging="524"/>
        <w:spacing w:after="0" w:line="224" w:lineRule="auto"/>
        <w:tabs>
          <w:tab w:leader="none" w:pos="162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Restated Articles of Incorporation of United Community Banks, Inc. as amended through August 13, 2021 (incorporated herein by</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reference to Exhibit 3.1 to United Community Bank Inc.'s Quarterly Report on Form 10-Q for the period ended September 30, 2021,</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filed on November 5, 2021).</w:t>
        </w:r>
      </w:hyperlink>
    </w:p>
    <w:p>
      <w:pPr>
        <w:spacing w:after="0" w:line="176" w:lineRule="exact"/>
        <w:rPr>
          <w:rFonts w:ascii="Arial" w:cs="Arial" w:eastAsia="Arial" w:hAnsi="Arial"/>
          <w:sz w:val="18"/>
          <w:szCs w:val="18"/>
          <w:u w:val="single" w:color="auto"/>
          <w:color w:val="0000FF"/>
        </w:rPr>
      </w:pPr>
    </w:p>
    <w:p>
      <w:pPr>
        <w:jc w:val="both"/>
        <w:ind w:left="1640" w:hanging="524"/>
        <w:spacing w:after="0" w:line="224" w:lineRule="auto"/>
        <w:tabs>
          <w:tab w:leader="none" w:pos="1620" w:val="left"/>
        </w:tabs>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17">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United Community Banks, Inc.’s Quarterly Report on Form 10-Q for the period ended March 31, 2015, filed with the SEC on May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11, 2015).</w:t>
        </w:r>
      </w:hyperlink>
    </w:p>
    <w:p>
      <w:pPr>
        <w:spacing w:after="0" w:line="176" w:lineRule="exact"/>
        <w:rPr>
          <w:rFonts w:ascii="Arial" w:cs="Arial" w:eastAsia="Arial" w:hAnsi="Arial"/>
          <w:sz w:val="18"/>
          <w:szCs w:val="18"/>
          <w:u w:val="single" w:color="auto"/>
          <w:color w:val="0000FF"/>
        </w:rPr>
      </w:pPr>
    </w:p>
    <w:p>
      <w:pPr>
        <w:ind w:left="1640" w:hanging="614"/>
        <w:spacing w:after="0" w:line="235" w:lineRule="auto"/>
        <w:tabs>
          <w:tab w:leader="none" w:pos="162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by H. Lynn Harton, President and Chief Executive Officer of United Community Banks, Inc., pursuant to Exchange Act Rule 13a-14(a).</w:t>
      </w:r>
    </w:p>
    <w:p>
      <w:pPr>
        <w:spacing w:after="0" w:line="162" w:lineRule="exact"/>
        <w:rPr>
          <w:rFonts w:ascii="Arial" w:cs="Arial" w:eastAsia="Arial" w:hAnsi="Arial"/>
          <w:sz w:val="18"/>
          <w:szCs w:val="18"/>
          <w:u w:val="single" w:color="auto"/>
          <w:color w:val="0000FF"/>
        </w:rPr>
      </w:pPr>
    </w:p>
    <w:p>
      <w:pPr>
        <w:ind w:left="1640" w:hanging="614"/>
        <w:spacing w:after="0" w:line="246" w:lineRule="auto"/>
        <w:tabs>
          <w:tab w:leader="none" w:pos="162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u w:val="single" w:color="auto"/>
          <w:color w:val="0000FF"/>
        </w:rPr>
        <w:t>Certification by Jefferson L. Harralson, Executive Vice President and Chief Financial Officer of United Community Banks, Inc., pursuant to Exchange Act Rule 13a-14(a).</w:t>
      </w:r>
    </w:p>
    <w:p>
      <w:pPr>
        <w:spacing w:after="0" w:line="156" w:lineRule="exact"/>
        <w:rPr>
          <w:rFonts w:ascii="Arial" w:cs="Arial" w:eastAsia="Arial" w:hAnsi="Arial"/>
          <w:sz w:val="18"/>
          <w:szCs w:val="18"/>
          <w:u w:val="single" w:color="auto"/>
          <w:color w:val="0000FF"/>
        </w:rPr>
      </w:pPr>
    </w:p>
    <w:p>
      <w:pPr>
        <w:ind w:left="1160"/>
        <w:spacing w:after="0"/>
        <w:tabs>
          <w:tab w:leader="none" w:pos="1620" w:val="left"/>
        </w:tabs>
        <w:rPr>
          <w:sz w:val="20"/>
          <w:szCs w:val="20"/>
          <w:color w:val="auto"/>
        </w:rPr>
      </w:pPr>
      <w:r>
        <w:rPr>
          <w:rFonts w:ascii="Arial" w:cs="Arial" w:eastAsia="Arial" w:hAnsi="Arial"/>
          <w:sz w:val="18"/>
          <w:szCs w:val="18"/>
          <w:u w:val="single" w:color="auto"/>
          <w:color w:val="0000FF"/>
        </w:rPr>
        <w:t>32</w:t>
      </w:r>
      <w:r>
        <w:rPr>
          <w:sz w:val="20"/>
          <w:szCs w:val="20"/>
          <w:color w:val="auto"/>
        </w:rPr>
        <w:tab/>
      </w:r>
      <w:r>
        <w:rPr>
          <w:rFonts w:ascii="Arial" w:cs="Arial" w:eastAsia="Arial" w:hAnsi="Arial"/>
          <w:sz w:val="18"/>
          <w:szCs w:val="18"/>
          <w:u w:val="single" w:color="auto"/>
          <w:color w:val="0000FF"/>
        </w:rPr>
        <w:t>Certification of CEO and CFO pursuant to 18 U.S.C. Section 1350.</w:t>
      </w:r>
    </w:p>
    <w:p>
      <w:pPr>
        <w:spacing w:after="0" w:line="185" w:lineRule="exact"/>
        <w:rPr>
          <w:rFonts w:ascii="Arial" w:cs="Arial" w:eastAsia="Arial" w:hAnsi="Arial"/>
          <w:sz w:val="18"/>
          <w:szCs w:val="18"/>
          <w:u w:val="single" w:color="auto"/>
          <w:color w:val="0000FF"/>
        </w:rPr>
      </w:pPr>
    </w:p>
    <w:p>
      <w:pPr>
        <w:jc w:val="both"/>
        <w:ind w:left="1640" w:hanging="579"/>
        <w:spacing w:after="0" w:line="248"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Interactive data files for United Community Bank, Inc.’s Quarterly Report on Form 10-Q for the quarter ended June 30, 2023, formatted in Inline XBRL: </w:t>
      </w:r>
      <w:r>
        <w:rPr>
          <w:rFonts w:ascii="Arial" w:cs="Arial" w:eastAsia="Arial" w:hAnsi="Arial"/>
          <w:sz w:val="16"/>
          <w:szCs w:val="16"/>
          <w:color w:val="212529"/>
        </w:rPr>
        <w:t>(i) the Consolidated Balance Sheets (unaudited); (ii) the Consolidated Statements of Income (unaudited);</w:t>
      </w:r>
    </w:p>
    <w:p>
      <w:pPr>
        <w:jc w:val="both"/>
        <w:ind w:left="1640" w:hanging="10"/>
        <w:spacing w:after="0" w:line="223" w:lineRule="auto"/>
        <w:tabs>
          <w:tab w:leader="none" w:pos="2019" w:val="left"/>
        </w:tabs>
        <w:numPr>
          <w:ilvl w:val="1"/>
          <w:numId w:val="20"/>
        </w:numPr>
        <w:rPr>
          <w:rFonts w:ascii="Arial" w:cs="Arial" w:eastAsia="Arial" w:hAnsi="Arial"/>
          <w:sz w:val="18"/>
          <w:szCs w:val="18"/>
          <w:color w:val="212529"/>
        </w:rPr>
      </w:pPr>
      <w:r>
        <w:rPr>
          <w:rFonts w:ascii="Arial" w:cs="Arial" w:eastAsia="Arial" w:hAnsi="Arial"/>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3" w:lineRule="exact"/>
        <w:rPr>
          <w:rFonts w:ascii="Arial" w:cs="Arial" w:eastAsia="Arial" w:hAnsi="Arial"/>
          <w:sz w:val="18"/>
          <w:szCs w:val="18"/>
          <w:u w:val="single" w:color="auto"/>
          <w:color w:val="0000FF"/>
        </w:rPr>
      </w:pPr>
    </w:p>
    <w:p>
      <w:pPr>
        <w:ind w:left="1640" w:hanging="579"/>
        <w:spacing w:after="0" w:line="235"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June 30, 2023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931"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87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87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Jefferson L. Harralson</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2023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 Lynn Harton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H. Lynn Harton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0"/>
                <w:szCs w:val="20"/>
                <w:color w:val="auto"/>
              </w:rPr>
            </w:pPr>
            <w:r>
              <w:rPr>
                <w:rFonts w:ascii="Arial" w:cs="Arial" w:eastAsia="Arial" w:hAnsi="Arial"/>
                <w:sz w:val="18"/>
                <w:szCs w:val="18"/>
                <w:color w:val="auto"/>
              </w:rPr>
              <w:t>August 4, 2023</w:t>
            </w:r>
          </w:p>
        </w:tc>
      </w:tr>
      <w:tr>
        <w:trPr>
          <w:trHeight w:val="466"/>
        </w:trPr>
        <w:tc>
          <w:tcPr>
            <w:tcW w:w="80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Jefferson L. Harralson</w:t>
            </w: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Jefferson L. Harralson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0"/>
                <w:szCs w:val="20"/>
                <w:color w:val="auto"/>
              </w:rPr>
            </w:pPr>
            <w:r>
              <w:rPr>
                <w:rFonts w:ascii="Arial" w:cs="Arial" w:eastAsia="Arial" w:hAnsi="Arial"/>
                <w:sz w:val="18"/>
                <w:szCs w:val="18"/>
                <w:color w:val="auto"/>
              </w:rPr>
              <w:t>August 4, 2023</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lvl w:ilvl="1">
      <w:lvlJc w:val="left"/>
      <w:lvlText w:val="(%2)"/>
      <w:numFmt w:val="lowerLetter"/>
      <w:start w:val="2"/>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1"/>
      <w:numFmt w:val="decimal"/>
      <w:start w:val="101"/>
    </w:lvl>
    <w:lvl w:ilvl="1">
      <w:lvlJc w:val="left"/>
      <w:lvlText w:val="(%2)"/>
      <w:numFmt w:val="lowerRoman"/>
      <w:start w:val="3"/>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15" Type="http://schemas.openxmlformats.org/officeDocument/2006/relationships/hyperlink" Target="http://www.sec.gov/Archives/edgar/data/857855/000110465923022325/tm236951d1_ex2-1.htm" TargetMode="External"/><Relationship Id="rId116" Type="http://schemas.openxmlformats.org/officeDocument/2006/relationships/hyperlink" Target="http://www.sec.gov/Archives/edgar/data/857855/000085785521000109/ucbi93021ex31restatedartic.htm" TargetMode="External"/><Relationship Id="rId117"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2023-08-04T13:03:28Z</dcterms:created>
  <dcterms:modified xsi:type="dcterms:W3CDTF">2023-08-04T13:03:28Z</dcterms:modified>
</cp:coreProperties>
</file>