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w:t>
      </w:r>
    </w:p>
    <w:p>
      <w:pPr>
        <w:spacing w:after="0" w:line="14" w:lineRule="exact"/>
        <w:rPr>
          <w:rFonts w:ascii="MS PGothic" w:cs="MS PGothic" w:eastAsia="MS PGothic" w:hAnsi="MS PGothic"/>
          <w:sz w:val="22"/>
          <w:szCs w:val="22"/>
          <w:color w:val="auto"/>
        </w:rPr>
      </w:pPr>
    </w:p>
    <w:p>
      <w:pPr>
        <w:ind w:left="13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8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hanging="1021"/>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w:t>
      </w:r>
    </w:p>
    <w:p>
      <w:pPr>
        <w:spacing w:after="0" w:line="14" w:lineRule="exact"/>
        <w:rPr>
          <w:rFonts w:ascii="Arial" w:cs="Arial" w:eastAsia="Arial" w:hAnsi="Arial"/>
          <w:sz w:val="22"/>
          <w:szCs w:val="22"/>
          <w:color w:val="auto"/>
        </w:rPr>
      </w:pPr>
    </w:p>
    <w:p>
      <w:pPr>
        <w:ind w:left="1380"/>
        <w:spacing w:after="0"/>
        <w:rPr>
          <w:rFonts w:ascii="Arial" w:cs="Arial" w:eastAsia="Arial" w:hAnsi="Arial"/>
          <w:sz w:val="22"/>
          <w:szCs w:val="22"/>
          <w:color w:val="auto"/>
        </w:rPr>
      </w:pPr>
      <w:r>
        <w:rPr>
          <w:rFonts w:ascii="Arial" w:cs="Arial" w:eastAsia="Arial" w:hAnsi="Arial"/>
          <w:sz w:val="22"/>
          <w:szCs w:val="22"/>
          <w:b w:val="1"/>
          <w:bCs w:val="1"/>
          <w:color w:val="auto"/>
        </w:rPr>
        <w:t>OF THE SECURITIES EXCHANGE ACT OF 1934</w:t>
      </w:r>
    </w:p>
    <w:p>
      <w:pPr>
        <w:spacing w:after="0" w:line="83" w:lineRule="exact"/>
        <w:rPr>
          <w:sz w:val="20"/>
          <w:szCs w:val="20"/>
          <w:color w:val="auto"/>
        </w:rPr>
      </w:pPr>
    </w:p>
    <w:p>
      <w:pPr>
        <w:ind w:left="138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0-21656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UNITED COMMUNITY BANKS,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39370</wp:posOffset>
            </wp:positionV>
            <wp:extent cx="5360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2"/>
              </w:rPr>
              <w:t>63 Highway 515</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30512</w:t>
            </w:r>
          </w:p>
        </w:tc>
      </w:tr>
      <w:tr>
        <w:trPr>
          <w:trHeight w:val="205"/>
        </w:trPr>
        <w:tc>
          <w:tcPr>
            <w:tcW w:w="5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Address of Principal</w:t>
            </w:r>
          </w:p>
        </w:tc>
        <w:tc>
          <w:tcPr>
            <w:tcW w:w="580" w:type="dxa"/>
            <w:vAlign w:val="bottom"/>
          </w:tcPr>
          <w:p>
            <w:pPr>
              <w:spacing w:after="0"/>
              <w:rPr>
                <w:sz w:val="17"/>
                <w:szCs w:val="17"/>
                <w:color w:val="auto"/>
              </w:rPr>
            </w:pPr>
          </w:p>
        </w:tc>
        <w:tc>
          <w:tcPr>
            <w:tcW w:w="5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Executive Offices</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(706 ) 781-2265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Number)</w:t>
      </w:r>
    </w:p>
    <w:p>
      <w:pPr>
        <w:spacing w:after="0" w:line="99"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9" w:lineRule="exact"/>
        <w:rPr>
          <w:sz w:val="20"/>
          <w:szCs w:val="20"/>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Arial" w:cs="Arial" w:eastAsia="Arial" w:hAnsi="Arial"/>
          <w:sz w:val="17"/>
          <w:szCs w:val="17"/>
          <w:color w:val="auto"/>
        </w:rPr>
        <w:t>o</w:t>
      </w:r>
    </w:p>
    <w:p>
      <w:pPr>
        <w:spacing w:after="0" w:line="146"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 w:lineRule="exact"/>
        <w:rPr>
          <w:sz w:val="20"/>
          <w:szCs w:val="20"/>
          <w:color w:val="auto"/>
        </w:rPr>
      </w:pPr>
    </w:p>
    <w:p>
      <w:pPr>
        <w:ind w:left="2900"/>
        <w:spacing w:after="0" w:line="207" w:lineRule="exact"/>
        <w:tabs>
          <w:tab w:leader="none" w:pos="5080" w:val="left"/>
          <w:tab w:leader="none" w:pos="676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Non-accelerated filer </w:t>
      </w:r>
      <w:r>
        <w:rPr>
          <w:rFonts w:ascii="Arial" w:cs="Arial" w:eastAsia="Arial" w:hAnsi="Arial"/>
          <w:sz w:val="16"/>
          <w:szCs w:val="16"/>
          <w:color w:val="auto"/>
        </w:rPr>
        <w: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88" w:lineRule="exact"/>
        <w:rPr>
          <w:sz w:val="20"/>
          <w:szCs w:val="20"/>
          <w:color w:val="auto"/>
        </w:rPr>
      </w:pPr>
    </w:p>
    <w:p>
      <w:pPr>
        <w:ind w:left="5120"/>
        <w:spacing w:after="0" w:line="207" w:lineRule="exact"/>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Arial" w:cs="Arial" w:eastAsia="Arial" w:hAnsi="Arial"/>
          <w:sz w:val="17"/>
          <w:szCs w:val="17"/>
          <w:color w:val="auto"/>
        </w:rPr>
        <w:t>o</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 per share: 48,781,351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as of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80" w:type="dxa"/>
            <w:vAlign w:val="bottom"/>
            <w:gridSpan w:val="21"/>
          </w:tcPr>
          <w:p>
            <w:pPr>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0"/>
                <w:szCs w:val="20"/>
                <w:color w:val="auto"/>
              </w:rPr>
            </w:pPr>
          </w:p>
        </w:tc>
      </w:tr>
      <w:tr>
        <w:trPr>
          <w:trHeight w:val="392"/>
        </w:trPr>
        <w:tc>
          <w:tcPr>
            <w:tcW w:w="1048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40" w:type="dxa"/>
            <w:vAlign w:val="bottom"/>
          </w:tcPr>
          <w:p>
            <w:pPr>
              <w:spacing w:after="0"/>
              <w:rPr>
                <w:sz w:val="24"/>
                <w:szCs w:val="2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22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Item 1. Financial Statements.</w:t>
              </w:r>
            </w:hyperlink>
          </w:p>
        </w:tc>
        <w:tc>
          <w:tcPr>
            <w:tcW w:w="100" w:type="dxa"/>
            <w:vAlign w:val="bottom"/>
            <w:tcBorders>
              <w:top w:val="single" w:sz="8" w:color="0000EE"/>
            </w:tcBorders>
          </w:tcPr>
          <w:p>
            <w:pPr>
              <w:spacing w:after="0"/>
              <w:rPr>
                <w:sz w:val="24"/>
                <w:szCs w:val="24"/>
                <w:color w:val="auto"/>
              </w:rPr>
            </w:pPr>
          </w:p>
        </w:tc>
        <w:tc>
          <w:tcPr>
            <w:tcW w:w="792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80" w:type="dxa"/>
            <w:vAlign w:val="bottom"/>
            <w:tcBorders>
              <w:bottom w:val="single" w:sz="8" w:color="0000EE"/>
            </w:tcBorders>
            <w:gridSpan w:val="16"/>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Income (unaudited) for the Three and Six Months Ended June 30, 2007 and 2006</w:t>
              </w:r>
            </w:hyperlink>
          </w:p>
        </w:tc>
        <w:tc>
          <w:tcPr>
            <w:tcW w:w="178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20" w:type="dxa"/>
            <w:vAlign w:val="bottom"/>
            <w:tcBorders>
              <w:bottom w:val="single" w:sz="8" w:color="0000EE"/>
            </w:tcBorders>
            <w:gridSpan w:val="17"/>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Balance Sheet at June 30, 2007 (unaudited), December 31, 2006 (audited) and June 30, 2006 (unaudited)</w:t>
              </w:r>
            </w:hyperlink>
          </w:p>
        </w:tc>
        <w:tc>
          <w:tcPr>
            <w:tcW w:w="10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b w:val="1"/>
                <w:bCs w:val="1"/>
                <w:color w:val="0000EE"/>
                <w:w w:val="90"/>
              </w:rPr>
            </w:pPr>
            <w:hyperlink w:anchor="page7">
              <w:r>
                <w:rPr>
                  <w:rFonts w:ascii="Arial" w:cs="Arial" w:eastAsia="Arial" w:hAnsi="Arial"/>
                  <w:sz w:val="18"/>
                  <w:szCs w:val="18"/>
                  <w:b w:val="1"/>
                  <w:bCs w:val="1"/>
                  <w:color w:val="0000EE"/>
                  <w:w w:val="90"/>
                </w:rPr>
                <w:t>Consolidated Statement of Changes in Shareholders’ Equity (unaudited) for the Six Months Ended June 30, 2007 and 2006</w:t>
              </w:r>
            </w:hyperlink>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6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Consolidated Statement of Cash Flows (unaudited) for the Six Months Ended June 30, 2007 and 2006</w:t>
              </w:r>
            </w:hyperlink>
          </w:p>
        </w:tc>
        <w:tc>
          <w:tcPr>
            <w:tcW w:w="230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0"/>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Notes to Consolidated Financial Statements</w:t>
              </w:r>
            </w:hyperlink>
          </w:p>
        </w:tc>
        <w:tc>
          <w:tcPr>
            <w:tcW w:w="672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22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15">
              <w:r>
                <w:rPr>
                  <w:rFonts w:ascii="Arial" w:cs="Arial" w:eastAsia="Arial" w:hAnsi="Arial"/>
                  <w:sz w:val="18"/>
                  <w:szCs w:val="18"/>
                  <w:b w:val="1"/>
                  <w:bCs w:val="1"/>
                  <w:color w:val="0000EE"/>
                  <w:w w:val="89"/>
                </w:rPr>
                <w:t>Item 2. Management’s Discussion and Analysis of Financial Condition and Results of Operations.</w:t>
              </w:r>
            </w:hyperlink>
          </w:p>
        </w:tc>
        <w:tc>
          <w:tcPr>
            <w:tcW w:w="280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2"/>
        </w:trPr>
        <w:tc>
          <w:tcPr>
            <w:tcW w:w="2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 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12"/>
        </w:trPr>
        <w:tc>
          <w:tcPr>
            <w:tcW w:w="22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9"/>
              </w:rPr>
            </w:pPr>
            <w:hyperlink w:anchor="page33">
              <w:r>
                <w:rPr>
                  <w:rFonts w:ascii="Arial" w:cs="Arial" w:eastAsia="Arial" w:hAnsi="Arial"/>
                  <w:sz w:val="18"/>
                  <w:szCs w:val="18"/>
                  <w:b w:val="1"/>
                  <w:bCs w:val="1"/>
                  <w:color w:val="0000EE"/>
                  <w:w w:val="89"/>
                </w:rPr>
                <w:t>Item 4. Controls and Procedures.</w:t>
              </w:r>
            </w:hyperlink>
          </w:p>
        </w:tc>
        <w:tc>
          <w:tcPr>
            <w:tcW w:w="2740" w:type="dxa"/>
            <w:vAlign w:val="bottom"/>
            <w:tcBorders>
              <w:top w:val="single" w:sz="8" w:color="0000EE"/>
            </w:tcBorders>
            <w:gridSpan w:val="5"/>
          </w:tcPr>
          <w:p>
            <w:pPr>
              <w:spacing w:after="0"/>
              <w:rPr>
                <w:sz w:val="24"/>
                <w:szCs w:val="24"/>
                <w:color w:val="auto"/>
              </w:rPr>
            </w:pPr>
          </w:p>
        </w:tc>
        <w:tc>
          <w:tcPr>
            <w:tcW w:w="498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12"/>
        </w:trPr>
        <w:tc>
          <w:tcPr>
            <w:tcW w:w="238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PART II — Other Information</w:t>
              </w:r>
            </w:hyperlink>
          </w:p>
        </w:tc>
        <w:tc>
          <w:tcPr>
            <w:tcW w:w="8100" w:type="dxa"/>
            <w:vAlign w:val="bottom"/>
            <w:gridSpan w:val="14"/>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 Legal Proceedings.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220" w:type="dxa"/>
            <w:vAlign w:val="bottom"/>
          </w:tcPr>
          <w:p>
            <w:pPr>
              <w:spacing w:after="0"/>
              <w:rPr>
                <w:sz w:val="24"/>
                <w:szCs w:val="24"/>
                <w:color w:val="auto"/>
              </w:rPr>
            </w:pPr>
          </w:p>
        </w:tc>
        <w:tc>
          <w:tcPr>
            <w:tcW w:w="202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1A. Risk Factors.</w:t>
              </w:r>
            </w:hyperlink>
          </w:p>
        </w:tc>
        <w:tc>
          <w:tcPr>
            <w:tcW w:w="824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2. 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220" w:type="dxa"/>
            <w:vAlign w:val="bottom"/>
          </w:tcPr>
          <w:p>
            <w:pPr>
              <w:spacing w:after="0"/>
              <w:rPr>
                <w:sz w:val="24"/>
                <w:szCs w:val="24"/>
                <w:color w:val="auto"/>
              </w:rPr>
            </w:pPr>
          </w:p>
        </w:tc>
        <w:tc>
          <w:tcPr>
            <w:tcW w:w="518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3. Defaults Upon Senior Securities.</w:t>
              </w:r>
            </w:hyperlink>
          </w:p>
        </w:tc>
        <w:tc>
          <w:tcPr>
            <w:tcW w:w="50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4. Submission of Matters to a Vote of Security Holders.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220" w:type="dxa"/>
            <w:vAlign w:val="bottom"/>
          </w:tcPr>
          <w:p>
            <w:pPr>
              <w:spacing w:after="0"/>
              <w:rPr>
                <w:sz w:val="24"/>
                <w:szCs w:val="24"/>
                <w:color w:val="auto"/>
              </w:rPr>
            </w:pPr>
          </w:p>
        </w:tc>
        <w:tc>
          <w:tcPr>
            <w:tcW w:w="460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5. Other Information.</w:t>
              </w:r>
            </w:hyperlink>
          </w:p>
        </w:tc>
        <w:tc>
          <w:tcPr>
            <w:tcW w:w="56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220" w:type="dxa"/>
            <w:vAlign w:val="bottom"/>
          </w:tcPr>
          <w:p>
            <w:pPr>
              <w:spacing w:after="0"/>
              <w:rPr>
                <w:sz w:val="24"/>
                <w:szCs w:val="24"/>
                <w:color w:val="auto"/>
              </w:rPr>
            </w:pPr>
          </w:p>
        </w:tc>
        <w:tc>
          <w:tcPr>
            <w:tcW w:w="206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6. Exhibits.</w:t>
              </w:r>
            </w:hyperlink>
          </w:p>
        </w:tc>
        <w:tc>
          <w:tcPr>
            <w:tcW w:w="820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CERTIFICATION OF THE CEO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SECTION 302 CERTIFICATION OF THE CFO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SECTION 906 CERTIFICATIONS OF THE CEO/CFO</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8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gridSpan w:val="6"/>
          </w:tcPr>
          <w:p>
            <w:pPr>
              <w:jc w:val="right"/>
              <w:ind w:right="1060"/>
              <w:spacing w:after="0" w:line="153"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6"/>
          </w:tcPr>
          <w:p>
            <w:pPr>
              <w:jc w:val="right"/>
              <w:ind w:right="580"/>
              <w:spacing w:after="0" w:line="15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0"/>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Loans, including fees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119,799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95,242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233,872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0"/>
              <w:spacing w:after="0"/>
              <w:rPr>
                <w:sz w:val="20"/>
                <w:szCs w:val="20"/>
                <w:color w:val="auto"/>
              </w:rPr>
            </w:pPr>
            <w:r>
              <w:rPr>
                <w:rFonts w:ascii="Arial" w:cs="Arial" w:eastAsia="Arial" w:hAnsi="Arial"/>
                <w:sz w:val="18"/>
                <w:szCs w:val="18"/>
                <w:color w:val="auto"/>
              </w:rPr>
              <w:t>Taxable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15,476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11,521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29,444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exempt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Federal funds sold and deposits in banks</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135,793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107,434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264,339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206,030</w:t>
            </w:r>
          </w:p>
        </w:tc>
        <w:tc>
          <w:tcPr>
            <w:tcW w:w="0" w:type="dxa"/>
            <w:vAlign w:val="bottom"/>
          </w:tcPr>
          <w:p>
            <w:pPr>
              <w:spacing w:after="0"/>
              <w:rPr>
                <w:sz w:val="1"/>
                <w:szCs w:val="1"/>
                <w:color w:val="auto"/>
              </w:rPr>
            </w:pPr>
          </w:p>
        </w:tc>
      </w:tr>
      <w:tr>
        <w:trPr>
          <w:trHeight w:val="439"/>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0"/>
              <w:spacing w:after="0"/>
              <w:rPr>
                <w:sz w:val="20"/>
                <w:szCs w:val="20"/>
                <w:color w:val="auto"/>
              </w:rPr>
            </w:pPr>
            <w:r>
              <w:rPr>
                <w:rFonts w:ascii="Arial" w:cs="Arial" w:eastAsia="Arial" w:hAnsi="Arial"/>
                <w:sz w:val="18"/>
                <w:szCs w:val="18"/>
                <w:color w:val="auto"/>
              </w:rPr>
              <w:t>NOW</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11,470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22,097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0"/>
              <w:spacing w:after="0"/>
              <w:rPr>
                <w:sz w:val="20"/>
                <w:szCs w:val="20"/>
                <w:color w:val="auto"/>
              </w:rPr>
            </w:pPr>
            <w:r>
              <w:rPr>
                <w:rFonts w:ascii="Arial" w:cs="Arial" w:eastAsia="Arial" w:hAnsi="Arial"/>
                <w:sz w:val="18"/>
                <w:szCs w:val="18"/>
                <w:color w:val="auto"/>
              </w:rPr>
              <w:t>Savings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683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29,599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83,604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600"/>
              <w:spacing w:after="0"/>
              <w:rPr>
                <w:sz w:val="20"/>
                <w:szCs w:val="20"/>
                <w:color w:val="auto"/>
              </w:rPr>
            </w:pPr>
            <w:r>
              <w:rPr>
                <w:rFonts w:ascii="Arial" w:cs="Arial" w:eastAsia="Arial" w:hAnsi="Arial"/>
                <w:sz w:val="18"/>
                <w:szCs w:val="18"/>
                <w:color w:val="auto"/>
              </w:rPr>
              <w:t>Total deposit interest expense</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57,363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38,781</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112,464</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Federal funds purchased, repurchase agreements, &amp; other short-term</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3,671</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5,488</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Federal Home Loan Bank advances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5,035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9,836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400"/>
              <w:spacing w:after="0"/>
              <w:rPr>
                <w:sz w:val="20"/>
                <w:szCs w:val="20"/>
                <w:color w:val="auto"/>
              </w:rPr>
            </w:pPr>
            <w:r>
              <w:rPr>
                <w:rFonts w:ascii="Arial" w:cs="Arial" w:eastAsia="Arial" w:hAnsi="Arial"/>
                <w:sz w:val="18"/>
                <w:szCs w:val="18"/>
                <w:color w:val="auto"/>
              </w:rPr>
              <w:t>Total interest expense</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68,270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49,407</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132,193</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58,027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132,146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interest revenue after provision for loan losses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54,327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109,746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106,358</w:t>
            </w:r>
          </w:p>
        </w:tc>
        <w:tc>
          <w:tcPr>
            <w:tcW w:w="0" w:type="dxa"/>
            <w:vAlign w:val="bottom"/>
          </w:tcPr>
          <w:p>
            <w:pPr>
              <w:spacing w:after="0"/>
              <w:rPr>
                <w:sz w:val="1"/>
                <w:szCs w:val="1"/>
                <w:color w:val="auto"/>
              </w:rPr>
            </w:pPr>
          </w:p>
        </w:tc>
      </w:tr>
      <w:tr>
        <w:trPr>
          <w:trHeight w:val="439"/>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Fee revenue:</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15,228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Mortgage loan and other related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2,476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4,699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Consulting fees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Brokerage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1,192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2,136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gains (losses),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Losses on prepayment of borrowings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(1,164)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400"/>
              <w:spacing w:after="0"/>
              <w:rPr>
                <w:sz w:val="20"/>
                <w:szCs w:val="20"/>
                <w:color w:val="auto"/>
              </w:rPr>
            </w:pPr>
            <w:r>
              <w:rPr>
                <w:rFonts w:ascii="Arial" w:cs="Arial" w:eastAsia="Arial" w:hAnsi="Arial"/>
                <w:sz w:val="18"/>
                <w:szCs w:val="18"/>
                <w:color w:val="auto"/>
              </w:rPr>
              <w:t>Total fee revenue</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30,936</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65,377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66,303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140,682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130,092</w:t>
            </w:r>
          </w:p>
        </w:tc>
        <w:tc>
          <w:tcPr>
            <w:tcW w:w="0" w:type="dxa"/>
            <w:vAlign w:val="bottom"/>
          </w:tcPr>
          <w:p>
            <w:pPr>
              <w:spacing w:after="0"/>
              <w:rPr>
                <w:sz w:val="1"/>
                <w:szCs w:val="1"/>
                <w:color w:val="auto"/>
              </w:rPr>
            </w:pPr>
          </w:p>
        </w:tc>
      </w:tr>
      <w:tr>
        <w:trPr>
          <w:trHeight w:val="439"/>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employee benefits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30,022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24,469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58,339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Communications and equipment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3,845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7,657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Occupancy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Advertising and public relations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2,098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4,114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Postage, printing and supplies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3,489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47,702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39,645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92,543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26,658</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48,139</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9,729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16,883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00"/>
              <w:spacing w:after="0"/>
              <w:rPr>
                <w:sz w:val="20"/>
                <w:szCs w:val="20"/>
                <w:color w:val="auto"/>
              </w:rPr>
            </w:pPr>
            <w:r>
              <w:rPr>
                <w:rFonts w:ascii="Arial" w:cs="Arial" w:eastAsia="Arial" w:hAnsi="Arial"/>
                <w:sz w:val="18"/>
                <w:szCs w:val="18"/>
                <w:b w:val="1"/>
                <w:bCs w:val="1"/>
                <w:color w:val="auto"/>
              </w:rPr>
              <w:t>Net income</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31,256</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available to common shareholders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16,924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32,958</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44,949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40,156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43,980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45,761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41,328</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44,842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41,259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19" w:right="239" w:bottom="0" w:gutter="0" w:footer="0" w:header="0"/>
          <w:type w:val="continuous"/>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4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tcPr>
          <w:p>
            <w:pPr>
              <w:jc w:val="center"/>
              <w:ind w:right="360"/>
              <w:spacing w:after="0" w:line="155" w:lineRule="exact"/>
              <w:rPr>
                <w:sz w:val="20"/>
                <w:szCs w:val="20"/>
                <w:color w:val="auto"/>
              </w:rPr>
            </w:pPr>
            <w:r>
              <w:rPr>
                <w:rFonts w:ascii="Arial" w:cs="Arial" w:eastAsia="Arial" w:hAnsi="Arial"/>
                <w:sz w:val="14"/>
                <w:szCs w:val="14"/>
                <w:i w:val="1"/>
                <w:iCs w:val="1"/>
                <w:color w:val="auto"/>
                <w:w w:val="95"/>
              </w:rPr>
              <w:t>(unaudited)</w:t>
            </w: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820"/>
              <w:spacing w:after="0" w:line="155" w:lineRule="exact"/>
              <w:rPr>
                <w:sz w:val="20"/>
                <w:szCs w:val="20"/>
                <w:color w:val="auto"/>
              </w:rPr>
            </w:pPr>
            <w:r>
              <w:rPr>
                <w:rFonts w:ascii="Arial" w:cs="Arial" w:eastAsia="Arial" w:hAnsi="Arial"/>
                <w:sz w:val="14"/>
                <w:szCs w:val="14"/>
                <w:i w:val="1"/>
                <w:iCs w:val="1"/>
                <w:color w:val="auto"/>
              </w:rPr>
              <w:t>(audited)</w:t>
            </w:r>
          </w:p>
        </w:tc>
        <w:tc>
          <w:tcPr>
            <w:tcW w:w="94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i w:val="1"/>
                <w:iCs w:val="1"/>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171,095</w:t>
            </w:r>
          </w:p>
        </w:tc>
        <w:tc>
          <w:tcPr>
            <w:tcW w:w="320" w:type="dxa"/>
            <w:vAlign w:val="bottom"/>
          </w:tcPr>
          <w:p>
            <w:pPr>
              <w:spacing w:after="0"/>
              <w:rPr>
                <w:sz w:val="24"/>
                <w:szCs w:val="24"/>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158,348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23,146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194,241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171,284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1,213,659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1,107,153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Mortgage loans held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30,615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35,325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net of unearned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5,999,093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5,376,538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4,810,277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00"/>
              <w:spacing w:after="0"/>
              <w:rPr>
                <w:sz w:val="20"/>
                <w:szCs w:val="20"/>
                <w:color w:val="auto"/>
              </w:rPr>
            </w:pPr>
            <w:r>
              <w:rPr>
                <w:rFonts w:ascii="Arial" w:cs="Arial" w:eastAsia="Arial" w:hAnsi="Arial"/>
                <w:sz w:val="18"/>
                <w:szCs w:val="18"/>
                <w:color w:val="auto"/>
              </w:rPr>
              <w:t>Less allowance for loan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92,471</w:t>
            </w:r>
          </w:p>
        </w:tc>
        <w:tc>
          <w:tcPr>
            <w:tcW w:w="3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66,566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Loans,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5,906,622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5,309,972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4,751,769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Premises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171,327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139,716</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64,538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58,291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326,467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167,058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180,198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112,450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8,087,667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7,101,249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6,331,136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00"/>
              <w:spacing w:after="0"/>
              <w:rPr>
                <w:sz w:val="20"/>
                <w:szCs w:val="20"/>
                <w:color w:val="auto"/>
              </w:rPr>
            </w:pPr>
            <w:r>
              <w:rPr>
                <w:rFonts w:ascii="Arial" w:cs="Arial" w:eastAsia="Arial" w:hAnsi="Arial"/>
                <w:sz w:val="18"/>
                <w:szCs w:val="18"/>
                <w:color w:val="auto"/>
              </w:rPr>
              <w:t>Demand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773,435</w:t>
            </w:r>
          </w:p>
        </w:tc>
        <w:tc>
          <w:tcPr>
            <w:tcW w:w="32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659,892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1,447,789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1,307,654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00"/>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504,730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255,862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207,468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175,631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0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 than $100,000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1,651,486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1,650,906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Greater than $100,000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1,428,841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1,397,245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1,106,359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Brokered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347,520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325,696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340,355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tcPr>
          <w:p>
            <w:pPr>
              <w:ind w:left="800"/>
              <w:spacing w:after="0"/>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6,361,269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5,772,886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4,976,650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Federal Home Loan Bank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499,060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489,084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113,151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113,151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47,027</w:t>
            </w:r>
          </w:p>
        </w:tc>
        <w:tc>
          <w:tcPr>
            <w:tcW w:w="3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43,477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7,258,936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6,484,482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5,834,839</w:t>
            </w:r>
          </w:p>
        </w:tc>
        <w:tc>
          <w:tcPr>
            <w:tcW w:w="0" w:type="dxa"/>
            <w:vAlign w:val="bottom"/>
          </w:tcPr>
          <w:p>
            <w:pPr>
              <w:spacing w:after="0"/>
              <w:rPr>
                <w:sz w:val="1"/>
                <w:szCs w:val="1"/>
                <w:color w:val="auto"/>
              </w:rPr>
            </w:pPr>
          </w:p>
        </w:tc>
      </w:tr>
      <w:tr>
        <w:trPr>
          <w:trHeight w:val="439"/>
        </w:trPr>
        <w:tc>
          <w:tcPr>
            <w:tcW w:w="74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stock, $1 par value; $10 stated value; 10,000,000 shares authorized; 32,200, 32,200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32,200 shares issued and outstanding</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tcPr>
          <w:p>
            <w:pPr>
              <w:ind w:left="200"/>
              <w:spacing w:after="0" w:line="201" w:lineRule="exact"/>
              <w:rPr>
                <w:sz w:val="20"/>
                <w:szCs w:val="20"/>
                <w:color w:val="auto"/>
              </w:rPr>
            </w:pPr>
            <w:r>
              <w:rPr>
                <w:rFonts w:ascii="Arial" w:cs="Arial" w:eastAsia="Arial" w:hAnsi="Arial"/>
                <w:sz w:val="18"/>
                <w:szCs w:val="18"/>
                <w:color w:val="auto"/>
              </w:rPr>
              <w:t>Common stock, $1 par value; 100,000,000 shares authorized; 48,781,351, 42,890,863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400"/>
              <w:spacing w:after="0"/>
              <w:rPr>
                <w:sz w:val="20"/>
                <w:szCs w:val="20"/>
                <w:color w:val="auto"/>
              </w:rPr>
            </w:pPr>
            <w:r>
              <w:rPr>
                <w:rFonts w:ascii="Arial" w:cs="Arial" w:eastAsia="Arial" w:hAnsi="Arial"/>
                <w:sz w:val="18"/>
                <w:szCs w:val="18"/>
                <w:color w:val="auto"/>
              </w:rPr>
              <w:t>40,178,533 shares issued and 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48,781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42,891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issuable; 60,761, 29,821 and 19,712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Capital surplus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461,226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270,383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329,229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306,261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(12,643)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828,731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616,767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8,087,667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7,101,249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6,331,136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6"/>
              </w:rPr>
              <w:t>Preferred</w:t>
            </w: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140" w:type="dxa"/>
            <w:vAlign w:val="bottom"/>
          </w:tcPr>
          <w:p>
            <w:pPr>
              <w:spacing w:after="0"/>
              <w:rPr>
                <w:sz w:val="14"/>
                <w:szCs w:val="14"/>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Stock</w:t>
            </w:r>
          </w:p>
        </w:tc>
        <w:tc>
          <w:tcPr>
            <w:tcW w:w="26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Surplus</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Earnings</w:t>
            </w: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40,020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$ 193,355</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$ 250,563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$ 472,686</w:t>
            </w: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32,968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holding losses on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available for sale securities,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of deferred tax benefit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reclassification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(7,238)</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 derivative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financial instruments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qualifying as cash flow</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hedges, net of deferred tax</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32,968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Cash dividends declared on common</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stock ($.16 per share)</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(6,435)</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(57,020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450</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Common stock issued to Dividend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Reinvestment Plan and employee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benefit plans (79,178 shares)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2,116</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stock option and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awards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1,336</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Vesting of restricted stock (22,482</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compensation plan, net,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dividend equivalents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Dividends declared on preferred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stock ($.30 per share)</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40,179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544</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$ 197,235</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$ 277,086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(19,069)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$ 496,297</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2006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322</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42,891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$ 270,383</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$ 306,261</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$ 616,767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31,256</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400"/>
              <w:spacing w:after="0" w:line="201" w:lineRule="exact"/>
              <w:rPr>
                <w:sz w:val="20"/>
                <w:szCs w:val="20"/>
                <w:color w:val="auto"/>
              </w:rPr>
            </w:pPr>
            <w:r>
              <w:rPr>
                <w:rFonts w:ascii="Arial" w:cs="Arial" w:eastAsia="Arial" w:hAnsi="Arial"/>
                <w:sz w:val="18"/>
                <w:szCs w:val="18"/>
                <w:color w:val="auto"/>
              </w:rPr>
              <w:t>Unrealized holding losses on</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available for sale securities,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net of deferred tax benefit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and reclassification</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(5,517)</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losses on derivative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financial instruments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qualifying as cash flow</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hedges, net of deferred tax</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benefit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vMerge w:val="restart"/>
          </w:tcPr>
          <w:p>
            <w:pPr>
              <w:ind w:left="6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31,256</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 on common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($.18 per share)</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(8,278)</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Common stock issued for</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acquisitions (5,691,948 shares)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5,692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185,649</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191,341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 options (78,228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722</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Common stock issued to Dividend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Reinvestment Plan and employee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benefit plans (90,002 shares)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2,791</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stock options and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1,630</w:t>
            </w: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Vesting of restricted stock (30,310</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shares issued, 2,750 shares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deferred)</w:t>
            </w: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81</w:t>
            </w:r>
          </w:p>
        </w:tc>
        <w:tc>
          <w:tcPr>
            <w:tcW w:w="1480" w:type="dxa"/>
            <w:vAlign w:val="bottom"/>
            <w:tcBorders>
              <w:bottom w:val="single" w:sz="8" w:color="CCEEFF"/>
            </w:tcBorders>
            <w:gridSpan w:val="3"/>
          </w:tcPr>
          <w:p>
            <w:pPr>
              <w:jc w:val="right"/>
              <w:ind w:right="460"/>
              <w:spacing w:after="0"/>
              <w:rPr>
                <w:sz w:val="20"/>
                <w:szCs w:val="20"/>
                <w:color w:val="auto"/>
              </w:rPr>
            </w:pPr>
            <w:r>
              <w:rPr>
                <w:rFonts w:ascii="Arial" w:cs="Arial" w:eastAsia="Arial" w:hAnsi="Arial"/>
                <w:sz w:val="18"/>
                <w:szCs w:val="18"/>
                <w:color w:val="auto"/>
              </w:rPr>
              <w:t>(111)</w:t>
            </w:r>
          </w:p>
        </w:tc>
        <w:tc>
          <w:tcPr>
            <w:tcW w:w="7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net,</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including dividend equivalents</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Tax benefit from options exercised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162</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on preferred</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($.30 per share)</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Balance, June 30, 2007</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120" w:type="dxa"/>
            <w:vAlign w:val="bottom"/>
            <w:vMerge w:val="continue"/>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322</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$ 48,781</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  1,816</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$ 461,226</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$ 329,229</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   (12,643)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$ 828,731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120" w:type="dxa"/>
            <w:vAlign w:val="bottom"/>
          </w:tcPr>
          <w:p>
            <w:pPr>
              <w:spacing w:after="0"/>
              <w:rPr>
                <w:sz w:val="24"/>
                <w:szCs w:val="24"/>
                <w:color w:val="auto"/>
              </w:rPr>
            </w:pPr>
          </w:p>
        </w:tc>
        <w:tc>
          <w:tcPr>
            <w:tcW w:w="6020" w:type="dxa"/>
            <w:vAlign w:val="bottom"/>
            <w:gridSpan w:val="13"/>
          </w:tcPr>
          <w:p>
            <w:pPr>
              <w:jc w:val="right"/>
              <w:ind w:right="1000"/>
              <w:spacing w:after="0"/>
              <w:rPr>
                <w:sz w:val="20"/>
                <w:szCs w:val="20"/>
                <w:color w:val="auto"/>
              </w:rPr>
            </w:pPr>
            <w:r>
              <w:rPr>
                <w:rFonts w:ascii="Arial" w:cs="Arial" w:eastAsia="Arial" w:hAnsi="Arial"/>
                <w:sz w:val="18"/>
                <w:szCs w:val="18"/>
                <w:color w:val="auto"/>
                <w:w w:val="98"/>
              </w:rPr>
              <w:t>SEE NOTES TO CONSOLIDATED FINANCIAL STATEMENTS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7"/>
          </w:tcPr>
          <w:p>
            <w:pPr>
              <w:jc w:val="right"/>
              <w:ind w:right="640"/>
              <w:spacing w:after="0" w:line="15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91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 net of effect of business combinations: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31,256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6,728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1,630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loss on sale of securities available for sale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Gain on sale of other assets</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prepayment of borrowings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(13,319)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Mortgage loans held for sale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 net of effect of business combinations: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44,150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187,556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Purchases of securities available for sale</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(300,857)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loans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(113,609)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(417,495)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 of Bank Owned Life Insurance (BOLI)</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(50,000)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Purchases of premises and equipment</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(20,357)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paid for acquisitions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(249,002)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(428,051)</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 net of effect of business combinations: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deposits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20,538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change in federal funds purchased, repurchase agreements, and other short-term borrowings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209,200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FHLB advances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750,000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Repayments of FHLB advances</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(751,164)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2,881</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on common stock</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Cash dividends on preferred stock</w:t>
            </w: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224,925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445,099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22,957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171,284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194,241</w:t>
            </w:r>
          </w:p>
        </w:tc>
        <w:tc>
          <w:tcPr>
            <w:tcW w:w="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181,902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and general banking industry practices. The accompanying interim consolidated financial statements have not been audited. All material intercompany balances and transactions have been eliminated. A more detailed description of United’s accounting policies is included in the 2006 annual report filed on Form 10-K.</w:t>
      </w:r>
    </w:p>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June 30, 2007, approximately 1,863,000 additional awards could be granted under the plan. Through June 30, 2007, only incentive stock options, nonqualified stock options and restricted stock awards and units had been granted under the plan.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six months of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2"/>
                <w:szCs w:val="12"/>
                <w:color w:val="auto"/>
              </w:rPr>
            </w:pPr>
          </w:p>
        </w:tc>
        <w:tc>
          <w:tcPr>
            <w:tcW w:w="168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Shares</w:t>
            </w:r>
          </w:p>
        </w:tc>
        <w:tc>
          <w:tcPr>
            <w:tcW w:w="19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Intrinisic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Term (Years)</w:t>
            </w: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Value ($000)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2,549,823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19.05</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2100" w:type="dxa"/>
            <w:vAlign w:val="bottom"/>
            <w:gridSpan w:val="3"/>
          </w:tcPr>
          <w:p>
            <w:pPr>
              <w:jc w:val="right"/>
              <w:ind w:right="700"/>
              <w:spacing w:after="0"/>
              <w:rPr>
                <w:sz w:val="20"/>
                <w:szCs w:val="20"/>
                <w:color w:val="auto"/>
              </w:rPr>
            </w:pPr>
            <w:r>
              <w:rPr>
                <w:rFonts w:ascii="Arial" w:cs="Arial" w:eastAsia="Arial" w:hAnsi="Arial"/>
                <w:sz w:val="18"/>
                <w:szCs w:val="18"/>
                <w:color w:val="auto"/>
              </w:rPr>
              <w:t>595,700</w:t>
            </w:r>
          </w:p>
        </w:tc>
        <w:tc>
          <w:tcPr>
            <w:tcW w:w="20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30.70</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(78,228)</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10.24</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Forfeited</w:t>
            </w:r>
          </w:p>
        </w:tc>
        <w:tc>
          <w:tcPr>
            <w:tcW w:w="2100" w:type="dxa"/>
            <w:vAlign w:val="bottom"/>
            <w:gridSpan w:val="3"/>
          </w:tcPr>
          <w:p>
            <w:pPr>
              <w:jc w:val="right"/>
              <w:ind w:right="640"/>
              <w:spacing w:after="0"/>
              <w:rPr>
                <w:sz w:val="20"/>
                <w:szCs w:val="20"/>
                <w:color w:val="auto"/>
              </w:rPr>
            </w:pPr>
            <w:r>
              <w:rPr>
                <w:rFonts w:ascii="Arial" w:cs="Arial" w:eastAsia="Arial" w:hAnsi="Arial"/>
                <w:sz w:val="18"/>
                <w:szCs w:val="18"/>
                <w:color w:val="auto"/>
              </w:rPr>
              <w:t>(28,775)</w:t>
            </w:r>
          </w:p>
        </w:tc>
        <w:tc>
          <w:tcPr>
            <w:tcW w:w="20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26.38</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28.02</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Outstanding at June 30, 2007</w:t>
            </w:r>
          </w:p>
        </w:tc>
        <w:tc>
          <w:tcPr>
            <w:tcW w:w="4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3,037,270</w:t>
            </w:r>
          </w:p>
        </w:tc>
        <w:tc>
          <w:tcPr>
            <w:tcW w:w="7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21.49</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1,792,627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16.66</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weighted average fair value of stock options granted in the second quarter of 2007 and 2006 was $8.30 and $8.63, respectively. The fair value of each option granted was estimated on the date of grant using the Black-Scholes model. The key assumptions used to determine the fair value of stock options are presented in the table below.</w:t>
      </w:r>
    </w:p>
    <w:p>
      <w:pPr>
        <w:spacing w:after="0" w:line="173"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Six Months Ended</w:t>
      </w:r>
    </w:p>
    <w:p>
      <w:pPr>
        <w:jc w:val="center"/>
        <w:ind w:left="78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2007</w:t>
            </w:r>
          </w:p>
        </w:tc>
        <w:tc>
          <w:tcPr>
            <w:tcW w:w="104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4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20%</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100" w:type="dxa"/>
            <w:vAlign w:val="bottom"/>
          </w:tcPr>
          <w:p>
            <w:pPr>
              <w:spacing w:after="0"/>
              <w:rPr>
                <w:sz w:val="18"/>
                <w:szCs w:val="18"/>
                <w:color w:val="auto"/>
              </w:rPr>
            </w:pPr>
          </w:p>
        </w:tc>
        <w:tc>
          <w:tcPr>
            <w:tcW w:w="2340" w:type="dxa"/>
            <w:vAlign w:val="bottom"/>
            <w:gridSpan w:val="2"/>
          </w:tcPr>
          <w:p>
            <w:pPr>
              <w:jc w:val="right"/>
              <w:ind w:right="900"/>
              <w:spacing w:after="0"/>
              <w:rPr>
                <w:sz w:val="20"/>
                <w:szCs w:val="20"/>
                <w:color w:val="auto"/>
              </w:rPr>
            </w:pPr>
            <w:r>
              <w:rPr>
                <w:rFonts w:ascii="Arial" w:cs="Arial" w:eastAsia="Arial" w:hAnsi="Arial"/>
                <w:sz w:val="18"/>
                <w:szCs w:val="18"/>
                <w:color w:val="auto"/>
              </w:rPr>
              <w:t>1.1% to 1.2%</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w w:val="98"/>
              </w:rPr>
              <w:t>1.1% to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6.25 to 6.50</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Risk-free rate</w:t>
            </w:r>
          </w:p>
        </w:tc>
        <w:tc>
          <w:tcPr>
            <w:tcW w:w="4100" w:type="dxa"/>
            <w:vAlign w:val="bottom"/>
          </w:tcPr>
          <w:p>
            <w:pPr>
              <w:spacing w:after="0"/>
              <w:rPr>
                <w:sz w:val="20"/>
                <w:szCs w:val="20"/>
                <w:color w:val="auto"/>
              </w:rPr>
            </w:pPr>
          </w:p>
        </w:tc>
        <w:tc>
          <w:tcPr>
            <w:tcW w:w="2340" w:type="dxa"/>
            <w:vAlign w:val="bottom"/>
            <w:gridSpan w:val="2"/>
          </w:tcPr>
          <w:p>
            <w:pPr>
              <w:jc w:val="right"/>
              <w:ind w:right="900"/>
              <w:spacing w:after="0"/>
              <w:rPr>
                <w:sz w:val="20"/>
                <w:szCs w:val="20"/>
                <w:color w:val="auto"/>
              </w:rPr>
            </w:pPr>
            <w:r>
              <w:rPr>
                <w:rFonts w:ascii="Arial" w:cs="Arial" w:eastAsia="Arial" w:hAnsi="Arial"/>
                <w:sz w:val="18"/>
                <w:szCs w:val="18"/>
                <w:color w:val="auto"/>
              </w:rPr>
              <w:t>4.6% to 4.9%</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w w:val="98"/>
              </w:rPr>
              <w:t>4.3% to 5.1%</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100" w:type="dxa"/>
            <w:vAlign w:val="bottom"/>
          </w:tcPr>
          <w:p>
            <w:pPr>
              <w:jc w:val="right"/>
              <w:ind w:right="1970"/>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United’s stock trading history began in March of 2002 when United listed on the Nasdaq National Market. For 2007 and 2006, expected volatility was determined using United’s historical monthly volatility over the period beginning in March of 2002 through the end of the last completed year. Compensation expense for stock options was $1,013,000 and $873,000 for the six months ended June 30, 2007 and 2006, respectively, which was net of deferred tax benefits of $293,000 and $111,000, respectively. The amount of compensation expense for both periods was determined based on the fair value of the options at the time of grant, multiplied by the number of options granted that were expected to vest, which was then amortized, net of any applicable tax benefit, over the vesting period. The forfeiture rate for options is estimated to be approximately 3% per year. The total intrinsic value of options exercised during the first six months of 2007 and 2006 was $1,761,000 and $1,108,000, respectively.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the activity in restricted stock for the first six months of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vMerge w:val="restart"/>
          </w:tcPr>
          <w:p>
            <w:pPr>
              <w:ind w:left="3360"/>
              <w:spacing w:after="0"/>
              <w:rPr>
                <w:sz w:val="20"/>
                <w:szCs w:val="20"/>
                <w:color w:val="auto"/>
              </w:rPr>
            </w:pPr>
            <w:r>
              <w:rPr>
                <w:rFonts w:ascii="Arial" w:cs="Arial" w:eastAsia="Arial" w:hAnsi="Arial"/>
                <w:sz w:val="14"/>
                <w:szCs w:val="14"/>
                <w:b w:val="1"/>
                <w:bCs w:val="1"/>
                <w:color w:val="auto"/>
              </w:rPr>
              <w:t>Restricted Stock</w:t>
            </w:r>
          </w:p>
        </w:tc>
        <w:tc>
          <w:tcPr>
            <w:tcW w:w="520" w:type="dxa"/>
            <w:vAlign w:val="bottom"/>
          </w:tcPr>
          <w:p>
            <w:pPr>
              <w:spacing w:after="0"/>
              <w:rPr>
                <w:sz w:val="12"/>
                <w:szCs w:val="12"/>
                <w:color w:val="auto"/>
              </w:rPr>
            </w:pPr>
          </w:p>
        </w:tc>
        <w:tc>
          <w:tcPr>
            <w:tcW w:w="132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2"/>
                <w:szCs w:val="12"/>
                <w:color w:val="auto"/>
              </w:rPr>
            </w:pPr>
          </w:p>
        </w:tc>
        <w:tc>
          <w:tcPr>
            <w:tcW w:w="14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78,440</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48,400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(33,060)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Outstanding at June 30, 2007</w:t>
            </w:r>
          </w:p>
        </w:tc>
        <w:tc>
          <w:tcPr>
            <w:tcW w:w="5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93,780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Compensation expense for restricted stock is based on the fair value of United’s common stock on the date of grant. The value of restricted stock grants that are expected to vest is amortized into expense over the vesting period. For the six months ended June 30, 2007 and 2006, compensation expense of $324,000 and $352,000, respectively, was recognized related to restricted stock awards. The total intrinsic value of the restricted stock was $2,428,000 at June 30, 2007.</w:t>
      </w:r>
    </w:p>
    <w:p>
      <w:pPr>
        <w:spacing w:after="0" w:line="79"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As of June 30, 2007, there was $10,626,000 of unrecognized compensation cost related to nonvested stock options and restricted stock awards granted under the plan. That cost is amortized into expense over the vesting period, which is usually 48 months and is expected to be recognized over a weighted-average period of 1.7 years. The aggregate grant date fair value of options and restricted stock awards that vested during the six months ended June 30, 2007, was $3,171,000.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Common Stock Issued / Common Stock Issuable</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United provides a Dividend Reinvestment and Share Purchase Plan (DRIP) to its shareholders. Under the plan, shareholders of record can voluntarily reinvest all or a portion of their cash dividends into shares of United’s common stock, as well as purchase additional stock through the plan for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six months ended June 30, 2007 and June 30, 2006, United issued 90,002 shares and 79,178 shares, respectively, and increased capital by $2.9 million and $2.2 million, respectively, through these programs.</w:t>
      </w:r>
    </w:p>
    <w:p>
      <w:pPr>
        <w:spacing w:after="0" w:line="85"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June 30, 2007 and June 30, 2006, 60,761 shares and 19,712 shares, respectively, were issuable under the deferred compensation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4"/>
                <w:szCs w:val="14"/>
                <w:b w:val="1"/>
                <w:bCs w:val="1"/>
                <w:color w:val="auto"/>
                <w:w w:val="99"/>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44,949</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40,156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43,980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40,122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31,246</w:t>
            </w:r>
          </w:p>
        </w:tc>
        <w:tc>
          <w:tcPr>
            <w:tcW w:w="9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32,958</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44,949</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40,156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43,980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40,122</w:t>
            </w: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Net effect of the assumed exercise of stock options based on the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treasury stock method using average market price for the period</w:t>
            </w:r>
          </w:p>
        </w:tc>
        <w:tc>
          <w:tcPr>
            <w:tcW w:w="1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781</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w:t>
            </w: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Common stock issuable under deferred compensation plan</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conversion of subordinated debt</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9"/>
        </w:trPr>
        <w:tc>
          <w:tcPr>
            <w:tcW w:w="5520" w:type="dxa"/>
            <w:vAlign w:val="bottom"/>
          </w:tcPr>
          <w:p>
            <w:pPr>
              <w:ind w:left="420"/>
              <w:spacing w:after="0"/>
              <w:rPr>
                <w:sz w:val="20"/>
                <w:szCs w:val="20"/>
                <w:color w:val="auto"/>
              </w:rPr>
            </w:pPr>
            <w:r>
              <w:rPr>
                <w:rFonts w:ascii="Arial" w:cs="Arial" w:eastAsia="Arial" w:hAnsi="Arial"/>
                <w:sz w:val="18"/>
                <w:szCs w:val="18"/>
                <w:color w:val="auto"/>
              </w:rPr>
              <w:t>Total weighted average shares and common stock equivalents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62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45,761</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41,328</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44,842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41,259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31,246</w:t>
            </w:r>
          </w:p>
        </w:tc>
        <w:tc>
          <w:tcPr>
            <w:tcW w:w="9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32,958</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8"/>
                <w:szCs w:val="18"/>
                <w:color w:val="auto"/>
              </w:rPr>
              <w:t>Income effect of conversion of subordinated debt, net of tax</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Net income, adjusted for effect of conversion of subordinated debt,</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of tax</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w:t>
            </w: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31,246</w:t>
            </w:r>
          </w:p>
        </w:tc>
        <w:tc>
          <w:tcPr>
            <w:tcW w:w="9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33,037</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22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Mergers and Acquisitions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On June 1, 2007, United acquired 100 percent of the outstanding common shares of Gwinnett Commercial Group, Inc. (Gwinnett), a community bank holding company headquartered in Lawrenceville, Georgia. Gwinnett’s results of operations are included in consolidated financial results from the acquisition date. Gwinnett was the parent company of First Bank of the South, a community bank with five full service banking offices serving the north metro Atlanta counties of Gwinnett, DeKalb and north Fulton and a commercial loan office in Walton County. United has continued to expand its presence in metropolitan Atlanta and the acquisition of Gwinnett accomplishes a long standing strategic goal of encircling metro Atlanta. The aggregate purchase price was approximately $222.9 million, including 5,691,948 shares of United’s common stock and $31.5 million in cash that was exchanged for all of the outstanding common shares and options to purchase common shares of Gwinnett. The value of the common stock issued of $33.62 per share was determined based on the average of the closing market price of United’s common shares over the period beginning two days before and ending two days after the terms of the acquisition were agreed to and announced.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estimated fair values of assets acquired and liabilities assumed on the acquisition date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Gwinnett</w:t>
            </w:r>
          </w:p>
        </w:tc>
      </w:tr>
      <w:tr>
        <w:trPr>
          <w:trHeight w:val="149"/>
        </w:trPr>
        <w:tc>
          <w:tcPr>
            <w:tcW w:w="20" w:type="dxa"/>
            <w:vAlign w:val="bottom"/>
          </w:tcPr>
          <w:p>
            <w:pPr>
              <w:spacing w:after="0"/>
              <w:rPr>
                <w:sz w:val="12"/>
                <w:szCs w:val="12"/>
                <w:color w:val="auto"/>
              </w:rPr>
            </w:pPr>
          </w:p>
        </w:tc>
        <w:tc>
          <w:tcPr>
            <w:tcW w:w="1054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Commercial</w:t>
            </w:r>
          </w:p>
        </w:tc>
      </w:tr>
      <w:tr>
        <w:trPr>
          <w:trHeight w:val="171"/>
        </w:trPr>
        <w:tc>
          <w:tcPr>
            <w:tcW w:w="20" w:type="dxa"/>
            <w:vAlign w:val="bottom"/>
          </w:tcPr>
          <w:p>
            <w:pPr>
              <w:spacing w:after="0"/>
              <w:rPr>
                <w:sz w:val="14"/>
                <w:szCs w:val="14"/>
                <w:color w:val="auto"/>
              </w:rPr>
            </w:pPr>
          </w:p>
        </w:tc>
        <w:tc>
          <w:tcPr>
            <w:tcW w:w="10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Group</w:t>
            </w:r>
          </w:p>
        </w:tc>
      </w:tr>
      <w:tr>
        <w:trPr>
          <w:trHeight w:val="210"/>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16,472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sold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36,655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48,157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526,629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16,690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Core deposit intangible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154,076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567,845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borrowed funds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586,119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The financial information below presents the pro forma earnings of United assuming that the results of operations of Gwinnett and Southern Bancorp, Inc., acquired on December 1, 2006, were included in consolidated earnings as of the beginning of the earliest reported period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8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4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2007</w:t>
            </w:r>
          </w:p>
        </w:tc>
        <w:tc>
          <w:tcPr>
            <w:tcW w:w="172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104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2007</w:t>
            </w:r>
          </w:p>
        </w:tc>
        <w:tc>
          <w:tcPr>
            <w:tcW w:w="18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$69,221</w:t>
            </w:r>
          </w:p>
        </w:tc>
        <w:tc>
          <w:tcPr>
            <w:tcW w:w="1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$77,553</w:t>
            </w:r>
          </w:p>
        </w:tc>
        <w:tc>
          <w:tcPr>
            <w:tcW w:w="15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$151,930</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$151,078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13,016</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21,054</w:t>
            </w:r>
          </w:p>
        </w:tc>
        <w:tc>
          <w:tcPr>
            <w:tcW w:w="1520" w:type="dxa"/>
            <w:vAlign w:val="bottom"/>
            <w:gridSpan w:val="2"/>
          </w:tcPr>
          <w:p>
            <w:pPr>
              <w:jc w:val="right"/>
              <w:ind w:right="88"/>
              <w:spacing w:after="0"/>
              <w:rPr>
                <w:sz w:val="20"/>
                <w:szCs w:val="20"/>
                <w:color w:val="auto"/>
              </w:rPr>
            </w:pPr>
            <w:r>
              <w:rPr>
                <w:rFonts w:ascii="Arial" w:cs="Arial" w:eastAsia="Arial" w:hAnsi="Arial"/>
                <w:sz w:val="18"/>
                <w:szCs w:val="18"/>
                <w:color w:val="auto"/>
              </w:rPr>
              <w:t>35,514</w:t>
            </w:r>
          </w:p>
        </w:tc>
        <w:tc>
          <w:tcPr>
            <w:tcW w:w="1820" w:type="dxa"/>
            <w:vAlign w:val="bottom"/>
            <w:gridSpan w:val="3"/>
          </w:tcPr>
          <w:p>
            <w:pPr>
              <w:jc w:val="right"/>
              <w:ind w:right="300"/>
              <w:spacing w:after="0"/>
              <w:rPr>
                <w:sz w:val="20"/>
                <w:szCs w:val="20"/>
                <w:color w:val="auto"/>
              </w:rPr>
            </w:pPr>
            <w:r>
              <w:rPr>
                <w:rFonts w:ascii="Arial" w:cs="Arial" w:eastAsia="Arial" w:hAnsi="Arial"/>
                <w:sz w:val="18"/>
                <w:szCs w:val="18"/>
                <w:color w:val="auto"/>
              </w:rPr>
              <w:t>40,357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.26</w:t>
            </w:r>
          </w:p>
        </w:tc>
        <w:tc>
          <w:tcPr>
            <w:tcW w:w="1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5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.72</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At June 30, 2007, accrued merger costs of $3,223,000 remained unpaid relating to acquisitions closed in 2007, 2006 and 2004. The severance and related costs include change in control payments for which payment had been deferred, the majority of which will be paid in January of 2008. Professional fees include legal fees, investment banker fees, and fees for other professional services related to the business combinations. Contract termination costs include amounts claimed by service providers as a result of early termination of service contracts related to the acquisitions. During the first quarter, the one contract termination charge that was in dispute was resolved, and goodwill was reduced accordingly. A reconciliation of the activities in 2007 related to accrued merger costs is below (in thousands):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Activity with accrued merger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4"/>
                <w:szCs w:val="14"/>
                <w:color w:val="auto"/>
              </w:rPr>
            </w:pPr>
          </w:p>
        </w:tc>
        <w:tc>
          <w:tcPr>
            <w:tcW w:w="13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8"/>
              </w:rPr>
              <w:t>Purchase</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Amounts</w:t>
            </w:r>
          </w:p>
        </w:tc>
        <w:tc>
          <w:tcPr>
            <w:tcW w:w="10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8"/>
              </w:rPr>
              <w:t>Amounts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Balance</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2,261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Professional fees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 costs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color w:val="auto"/>
              </w:rPr>
              <w:t>Totals</w:t>
            </w:r>
          </w:p>
        </w:tc>
        <w:tc>
          <w:tcPr>
            <w:tcW w:w="1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6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Reclassification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amounts for the comparative periods of 2006 have been reclassified to conform to the 2007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Recent Accounting Pronouncements</w:t>
      </w:r>
    </w:p>
    <w:p>
      <w:pPr>
        <w:spacing w:after="0" w:line="12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In February 2007, the Financial Accounting Standards Board (“FASB”) issued Statement of Financial Accounting Standards No. 159 (SFAS No. 159),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for Financial Assets and Financial Liabilities—including an amendment of FASB Statement No. 115</w:t>
      </w:r>
      <w:r>
        <w:rPr>
          <w:rFonts w:ascii="Arial" w:cs="Arial" w:eastAsia="Arial" w:hAnsi="Arial"/>
          <w:sz w:val="16"/>
          <w:szCs w:val="16"/>
          <w:color w:val="auto"/>
        </w:rPr>
        <w:t>. This statement permits entities to choose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is expected to expand the use of fair value measurement, which is consistent with the FASB’s long-term measurement objective for accounting for financial instruments. This statement is effective as of the beginning of an entity’s first fiscal year that begins after November 15, 2007. Early adoption is permitted as of the beginning of a fiscal year that begins on or before November 15, 2007, provided the entity also elects to apply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United expects to adopt this standard beginning January 1, 2008. The financial statement impact is being evaluated; however, it is not expected to be material to United’s financial position, results of operations or disclosures.</w:t>
      </w:r>
    </w:p>
    <w:p>
      <w:pPr>
        <w:spacing w:after="0" w:line="59"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 xml:space="preserve">United adopted Financial Interpretation No. (“FIN”)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on January 1, 2007. The adoption of FIN 48 had no affect on United’s financial statements. The amount of unrecognized tax benefits as of January 1, 2007 totaled $2.0 million. All of this amount would increase income from continuing operations, and thus impact United’s effective tax rate, if ultimately recognized into income. Unrecognized state income tax benefits are reported net of their related deferred federal income tax benefit.</w:t>
      </w:r>
    </w:p>
    <w:p>
      <w:pPr>
        <w:spacing w:after="0" w:line="63"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It is United’s policy to recognize interest and penalties accrued relative to unrecognized tax benefits in their respective federal or state income taxes accounts. As of January 1, 2007, $403,000 in interest and penalties had been accrued.</w:t>
      </w:r>
    </w:p>
    <w:p>
      <w:pPr>
        <w:spacing w:after="0" w:line="62"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United and its subsidiaries file a consolidated U.S. federal income tax return, as well as filing various returns in the states where its banking offices are located. The Company’s filed income tax returns are no longer subject to examination by taxing authorities for years before 2003.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Special Fraud Related Loan Loss Provision</w:t>
      </w:r>
    </w:p>
    <w:p>
      <w:pPr>
        <w:spacing w:after="0" w:line="121"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The second quarter 2007 provision for loan losses included a special $15 million provision for fraud related loan losses in two real estate developments located near Spruce Pine, North Carolina. During the second quarter of 2007, the North Carolina Attorney General obtained a receiver to take custody the developers’ assets citing possible fraud on the part of the developers. United has loans outstanding to 83 individual borrowers that total $23.6 million secured by undeveloped lots in these developments. United was one of twelve banks that had loaned money to borrowers to finance the purchase of lots. The loans were made to appropriately qualified borrowers in accordance with United’s standard underwriting procedures. At the time the loans were made, we were not aware that most of the borrowers were simultaneously obtaining loans for additional lots at other banks and thereby taking on debt possibly beyond their repayment ability. We were also unaware that the borrowers’ down payments were not paid in cash as indicated on the closing statements but were financed by a second mortgage from the developer and that the developer agreed to service the borrowers’ debts. We have also subsequently learned that the appraisals relied upon in the underwriting process had been inflated by using comparable sales that were not at arms length to persons related to the developer and that many of the lots were subdivided into parcels that are too small to be used for their intended purpose. Based on our findings and our internal estimate of expected losses, we recorded a $15 million special provision for loan losses. We are working with the receiver, the other banks involved, the borrowers and our insurance carrier in order to minimize our losses. None of the loans have been charged off, but all were placed on non-accrual status as of June 30, 2007 and included in nonperforming assets.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222"/>
        <w:spacing w:after="0" w:line="293" w:lineRule="auto"/>
        <w:rPr>
          <w:sz w:val="20"/>
          <w:szCs w:val="20"/>
          <w:color w:val="auto"/>
        </w:rPr>
      </w:pPr>
      <w:r>
        <w:rPr>
          <w:rFonts w:ascii="Arial" w:cs="Arial" w:eastAsia="Arial" w:hAnsi="Arial"/>
          <w:sz w:val="16"/>
          <w:szCs w:val="16"/>
          <w:color w:val="auto"/>
        </w:rPr>
        <w:t>This Form 10-Q contains forward-looking statements regarding United Community Banks, Inc.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5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recent operating results may not be indicative of future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business is subject to the success of the local economies in which we operate;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face risks with respect to future expansion and acquisitions or mergers;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 our earnings would decrease;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competition from financial institutions and other financial service providers may adversely affect our profitability;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competitive pressures among financial services companies increase significantly;</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strength of the United States economy in general and/or the strength of the local economies of the states in which United conducts operations changes;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trade, monetary and fiscal policies and laws, including interest rate policies of the Board of Governors of the Federal Reserve System, change;</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inflation or market conditions fluctuate;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technology changes and United fails to adapt to those changes;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consumer spending and saving habits 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occur;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United is unsuccessful at managing the risks involved in the foregoing.</w:t>
      </w:r>
    </w:p>
    <w:p>
      <w:pPr>
        <w:spacing w:after="0" w:line="117" w:lineRule="exact"/>
        <w:rPr>
          <w:sz w:val="20"/>
          <w:szCs w:val="20"/>
          <w:color w:val="auto"/>
        </w:rPr>
      </w:pPr>
    </w:p>
    <w:p>
      <w:pPr>
        <w:ind w:right="240" w:firstLine="215"/>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June 30, 2007, United had total consolidated assets of $8.1 billion, total loans of $6.0 billion, total deposits of $6.4 billion and stockholders’ equity of $828.7 million.</w:t>
      </w:r>
    </w:p>
    <w:p>
      <w:pPr>
        <w:spacing w:after="0" w:line="73"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United’s activities are primarily conducted by its wholly owned Georgia and North Carolina banking subsidiaries (which are collectively referred to as the “Banks” in this discussion) and Brintech, Inc., a consulting firm providing professional services to the financial services industry.</w:t>
      </w:r>
    </w:p>
    <w:p>
      <w:pPr>
        <w:spacing w:after="0" w:line="38"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Reported earnings of $11.9 million during the quarter ended June 30, 2007 included a special $15.0 million provision for fraud related loan losses involving two halted real estate developments near Spruce Pine, North Carolina. The after-tax impact of this provision was $9.2 million, or $.20 per diluted share. Because management believes these losses are an isolated and non-recurring event we will highlight operating earnings information, which excludes the special provision to provide a better understanding of our ongoing earnings and credit trends.</w:t>
      </w:r>
    </w:p>
    <w:p>
      <w:pPr>
        <w:spacing w:after="0" w:line="63"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Net operating income was $21.1 million during the second quarter of 2007, an increase of 24% from the $16.9 million earned during the second quarter of 2006. Diluted operating earnings per common share was $.46 for the second quarter of 2007, compared to $.41 for the second quarter of 2006, an increase of 12%. Operating return on tangible equity for the second quarter of 2007 was 17.54%, compared to 17.68% for the second quarter of 2006. Operating return on assets for the second quarter of 2007 was 1.12% as compared to 1.10% for the second quarter of 2006.</w:t>
      </w:r>
    </w:p>
    <w:p>
      <w:pPr>
        <w:spacing w:after="0" w:line="6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For the first six months of 2007, net operating income was $40.4 million compared to $33.0 million for the same period in 2006, an increase of 23%. Diluted operating earnings per share was $.90 for the six months ended June 30, 2007, compared with $.80 for 2006, an increase of 13%. Operating return on tangible equity for the first six months of 2007 was 17.36% compared to 17.67% for 2006. Operating return on assets for the six months of 2007 was 1.12% compared to 1.10% for 2006.</w:t>
      </w:r>
    </w:p>
    <w:p>
      <w:pPr>
        <w:spacing w:after="0" w:line="79"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Operating earnings were driven by strong revenue growth over the past twelve months. During the first half of 2007, United saw a slow down in loan growth, particularly construction loans for acquisition and development projects. During 2007, competitive pressures drove pricing on certificates of deposit above rates for similar structured wholesale borrowings leading to a shift in funding toward lower priced wholesale borrowed funds.</w:t>
      </w:r>
    </w:p>
    <w:p>
      <w:pPr>
        <w:spacing w:after="0" w:line="57" w:lineRule="exact"/>
        <w:rPr>
          <w:sz w:val="20"/>
          <w:szCs w:val="20"/>
          <w:color w:val="auto"/>
        </w:rPr>
      </w:pPr>
    </w:p>
    <w:p>
      <w:pPr>
        <w:ind w:right="140" w:firstLine="215"/>
        <w:spacing w:after="0" w:line="276" w:lineRule="auto"/>
        <w:rPr>
          <w:sz w:val="20"/>
          <w:szCs w:val="20"/>
          <w:color w:val="auto"/>
        </w:rPr>
      </w:pPr>
      <w:r>
        <w:rPr>
          <w:rFonts w:ascii="Arial" w:cs="Arial" w:eastAsia="Arial" w:hAnsi="Arial"/>
          <w:sz w:val="17"/>
          <w:szCs w:val="17"/>
          <w:color w:val="auto"/>
        </w:rPr>
        <w:t>Although both net charge offs and nonperforming assets increased from a year ago and last quarter, credit quality remains solid with net charge offs as a percentage of average loans of 15 basis points remaining low by historical measures. Nonperforming assets as a percentage of total assets rose to 54 basis points from 14 basis points a year ago and 20 basis points at the end of the first quarter. Included in nonperforming assets are $23.6 million in loans in the halted real estate developments near Spruce Pine, North Carolina. Excluding the Spruce Pine lot loans, the ratio of nonperforming assets to total assets of 25 basis points is more in line with our long-term trend of 20-35 basis points.</w:t>
      </w:r>
    </w:p>
    <w:p>
      <w:pPr>
        <w:spacing w:after="0" w:line="64"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Fee revenue rose a strong 38% reflecting increases in every category compared to the second quarter of 2006. For the first six months of 2007, fee revenue increased 30% versus 2006. Operating expenses were up 20% from the second quarter of 2006 and up 18% for the first six months of 2007 as compared with the same period a year ago. The increase in operating expenses reflects the added operating expenses of recently acquired banks and the significant de novo expansion activity over the last 18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accounting and reporting policies of United Community Banks and its subsidiaries are in accordance with accounting principles generally accepted in the United States and conform to general practices within the banking industry. The more critical accounting and reporting policies include United’s accounting for the allowance for loan losses. In particular, United’s accounting policies relating to the allowance for loan losses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Earnings Measures</w:t>
      </w:r>
    </w:p>
    <w:p>
      <w:pPr>
        <w:spacing w:after="0" w:line="12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presentation of United’s financial results herein highlight net operating income, which is a measure of performance determined by methods other than in accordance with accounting principles generally accepted in the United States, or GAAP. Management included non-GAAP net operating income because it believes it is useful for evaluating United’s operations and performance over periods of time, and uses net operating income in managing and evaluating United’s business and intends to use it in discussions about United’s operations and performance.</w:t>
      </w:r>
    </w:p>
    <w:p>
      <w:pPr>
        <w:spacing w:after="0" w:line="63"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Net operating income excludes the pre-tax effect of the special $15 million fraud related provision for loan losses recorded in the second quarter of 2007 involving lot loans near Spruce Pine, North Carolina because management feels that the circumstances leading to the taking of the special provision were isolated, non-recurring events and do not reflect overall trends in the Registrant’s earnings. Management believes this non-GAAP net operating income provides users of the Registrant’s financial information with a meaningful measure for assessing the Registrant’s financial results and credit trends and comparing financial results to prior periods.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operating earnings measures to reported earnings measures using GAAP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Operating Earnings to GAAP Earnings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Second</w:t>
            </w:r>
          </w:p>
        </w:tc>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Special provision for fraud related loan losses</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15,000</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Income tax effect of special provision</w:t>
            </w:r>
          </w:p>
        </w:tc>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After-tax effect of special provision</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9,165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Net Income Reconciliation</w:t>
            </w: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vMerge w:val="continue"/>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net income</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21,076</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After-tax effect of special provision</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(9,165)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(GAAP)</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 Reconciliation</w:t>
            </w: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vMerge w:val="continue"/>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operating earnings per share</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Per share effect of special provision</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 (GAAP)</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 Reconciliation</w:t>
            </w: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vMerge w:val="continue"/>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Diluted operating earnings per share</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Per share effect of special provision</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 (GAAP)</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380" w:type="dxa"/>
            <w:vAlign w:val="bottom"/>
            <w:vMerge w:val="restart"/>
          </w:tcPr>
          <w:p>
            <w:pPr>
              <w:jc w:val="right"/>
              <w:ind w:right="295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line="1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2007</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center"/>
              <w:ind w:right="40"/>
              <w:spacing w:after="0"/>
              <w:rPr>
                <w:sz w:val="20"/>
                <w:szCs w:val="20"/>
                <w:color w:val="auto"/>
              </w:rPr>
            </w:pPr>
            <w:r>
              <w:rPr>
                <w:rFonts w:ascii="Arial" w:cs="Arial" w:eastAsia="Arial" w:hAnsi="Arial"/>
                <w:sz w:val="13"/>
                <w:szCs w:val="13"/>
                <w:b w:val="1"/>
                <w:bCs w:val="1"/>
                <w:color w:val="auto"/>
                <w:w w:val="89"/>
              </w:rPr>
              <w:t>2006</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80"/>
              </w:rPr>
              <w:t>Second</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380"/>
              <w:spacing w:after="0" w:line="140" w:lineRule="exact"/>
              <w:rPr>
                <w:sz w:val="20"/>
                <w:szCs w:val="20"/>
                <w:color w:val="auto"/>
              </w:rPr>
            </w:pPr>
            <w:r>
              <w:rPr>
                <w:rFonts w:ascii="Arial" w:cs="Arial" w:eastAsia="Arial" w:hAnsi="Arial"/>
                <w:sz w:val="13"/>
                <w:szCs w:val="13"/>
                <w:b w:val="1"/>
                <w:bCs w:val="1"/>
                <w:color w:val="auto"/>
                <w:w w:val="93"/>
              </w:rPr>
              <w:t>Quarter</w:t>
            </w:r>
          </w:p>
        </w:tc>
        <w:tc>
          <w:tcPr>
            <w:tcW w:w="100" w:type="dxa"/>
            <w:vAlign w:val="bottom"/>
          </w:tcPr>
          <w:p>
            <w:pPr>
              <w:spacing w:after="0"/>
              <w:rPr>
                <w:sz w:val="12"/>
                <w:szCs w:val="12"/>
                <w:color w:val="auto"/>
              </w:rPr>
            </w:pPr>
          </w:p>
        </w:tc>
        <w:tc>
          <w:tcPr>
            <w:tcW w:w="2120" w:type="dxa"/>
            <w:vAlign w:val="bottom"/>
            <w:gridSpan w:val="5"/>
          </w:tcPr>
          <w:p>
            <w:pPr>
              <w:jc w:val="right"/>
              <w:ind w:right="1000"/>
              <w:spacing w:after="0" w:line="140" w:lineRule="exact"/>
              <w:rPr>
                <w:sz w:val="20"/>
                <w:szCs w:val="20"/>
                <w:color w:val="auto"/>
              </w:rPr>
            </w:pPr>
            <w:r>
              <w:rPr>
                <w:rFonts w:ascii="Arial" w:cs="Arial" w:eastAsia="Arial" w:hAnsi="Arial"/>
                <w:sz w:val="13"/>
                <w:szCs w:val="13"/>
                <w:b w:val="1"/>
                <w:bCs w:val="1"/>
                <w:color w:val="auto"/>
              </w:rPr>
              <w:t>For the Six</w:t>
            </w:r>
          </w:p>
        </w:tc>
        <w:tc>
          <w:tcPr>
            <w:tcW w:w="680" w:type="dxa"/>
            <w:vAlign w:val="bottom"/>
          </w:tcPr>
          <w:p>
            <w:pPr>
              <w:jc w:val="right"/>
              <w:ind w:right="201"/>
              <w:spacing w:after="0" w:line="140" w:lineRule="exact"/>
              <w:rPr>
                <w:sz w:val="20"/>
                <w:szCs w:val="20"/>
                <w:color w:val="auto"/>
              </w:rPr>
            </w:pPr>
            <w:r>
              <w:rPr>
                <w:rFonts w:ascii="Arial" w:cs="Arial" w:eastAsia="Arial" w:hAnsi="Arial"/>
                <w:sz w:val="13"/>
                <w:szCs w:val="13"/>
                <w:b w:val="1"/>
                <w:bCs w:val="1"/>
                <w:color w:val="auto"/>
              </w:rPr>
              <w:t>YTD</w:t>
            </w:r>
          </w:p>
        </w:tc>
        <w:tc>
          <w:tcPr>
            <w:tcW w:w="0" w:type="dxa"/>
            <w:vAlign w:val="bottom"/>
          </w:tcPr>
          <w:p>
            <w:pPr>
              <w:spacing w:after="0"/>
              <w:rPr>
                <w:sz w:val="1"/>
                <w:szCs w:val="1"/>
                <w:color w:val="auto"/>
              </w:rPr>
            </w:pPr>
          </w:p>
        </w:tc>
      </w:tr>
      <w:tr>
        <w:trPr>
          <w:trHeight w:val="129"/>
        </w:trPr>
        <w:tc>
          <w:tcPr>
            <w:tcW w:w="210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(in thousands, except per share</w:t>
            </w:r>
          </w:p>
        </w:tc>
        <w:tc>
          <w:tcPr>
            <w:tcW w:w="100" w:type="dxa"/>
            <w:vAlign w:val="bottom"/>
          </w:tcPr>
          <w:p>
            <w:pPr>
              <w:spacing w:after="0"/>
              <w:rPr>
                <w:sz w:val="11"/>
                <w:szCs w:val="11"/>
                <w:color w:val="auto"/>
              </w:rPr>
            </w:pPr>
          </w:p>
        </w:tc>
        <w:tc>
          <w:tcPr>
            <w:tcW w:w="980" w:type="dxa"/>
            <w:vAlign w:val="bottom"/>
            <w:gridSpan w:val="2"/>
          </w:tcPr>
          <w:p>
            <w:pPr>
              <w:jc w:val="right"/>
              <w:ind w:right="500"/>
              <w:spacing w:after="0" w:line="129" w:lineRule="exact"/>
              <w:rPr>
                <w:sz w:val="20"/>
                <w:szCs w:val="20"/>
                <w:color w:val="auto"/>
              </w:rPr>
            </w:pPr>
            <w:r>
              <w:rPr>
                <w:rFonts w:ascii="Arial" w:cs="Arial" w:eastAsia="Arial" w:hAnsi="Arial"/>
                <w:sz w:val="13"/>
                <w:szCs w:val="13"/>
                <w:b w:val="1"/>
                <w:bCs w:val="1"/>
                <w:color w:val="auto"/>
                <w:w w:val="97"/>
              </w:rPr>
              <w:t>Second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80"/>
              <w:spacing w:after="0" w:line="129" w:lineRule="exact"/>
              <w:rPr>
                <w:sz w:val="20"/>
                <w:szCs w:val="20"/>
                <w:color w:val="auto"/>
              </w:rPr>
            </w:pPr>
            <w:r>
              <w:rPr>
                <w:rFonts w:ascii="Arial" w:cs="Arial" w:eastAsia="Arial" w:hAnsi="Arial"/>
                <w:sz w:val="13"/>
                <w:szCs w:val="13"/>
                <w:b w:val="1"/>
                <w:bCs w:val="1"/>
                <w:color w:val="auto"/>
              </w:rPr>
              <w:t>First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Fourth</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w w:val="98"/>
              </w:rPr>
              <w:t>Third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00"/>
              <w:spacing w:after="0" w:line="129" w:lineRule="exact"/>
              <w:rPr>
                <w:sz w:val="20"/>
                <w:szCs w:val="20"/>
                <w:color w:val="auto"/>
              </w:rPr>
            </w:pPr>
            <w:r>
              <w:rPr>
                <w:rFonts w:ascii="Arial" w:cs="Arial" w:eastAsia="Arial" w:hAnsi="Arial"/>
                <w:sz w:val="13"/>
                <w:szCs w:val="13"/>
                <w:b w:val="1"/>
                <w:bCs w:val="1"/>
                <w:color w:val="auto"/>
                <w:w w:val="97"/>
              </w:rPr>
              <w:t>Second</w:t>
            </w:r>
          </w:p>
        </w:tc>
        <w:tc>
          <w:tcPr>
            <w:tcW w:w="3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3"/>
              </w:rPr>
              <w:t>2007-2006</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5"/>
          </w:tcPr>
          <w:p>
            <w:pPr>
              <w:jc w:val="right"/>
              <w:ind w:right="900"/>
              <w:spacing w:after="0" w:line="129" w:lineRule="exact"/>
              <w:rPr>
                <w:sz w:val="20"/>
                <w:szCs w:val="20"/>
                <w:color w:val="auto"/>
              </w:rPr>
            </w:pPr>
            <w:r>
              <w:rPr>
                <w:rFonts w:ascii="Arial" w:cs="Arial" w:eastAsia="Arial" w:hAnsi="Arial"/>
                <w:sz w:val="13"/>
                <w:szCs w:val="13"/>
                <w:b w:val="1"/>
                <w:bCs w:val="1"/>
                <w:color w:val="auto"/>
              </w:rPr>
              <w:t>Months Ended</w:t>
            </w:r>
          </w:p>
        </w:tc>
        <w:tc>
          <w:tcPr>
            <w:tcW w:w="680" w:type="dxa"/>
            <w:vAlign w:val="bottom"/>
          </w:tcPr>
          <w:p>
            <w:pPr>
              <w:jc w:val="right"/>
              <w:ind w:right="61"/>
              <w:spacing w:after="0" w:line="129" w:lineRule="exact"/>
              <w:rPr>
                <w:sz w:val="20"/>
                <w:szCs w:val="20"/>
                <w:color w:val="auto"/>
              </w:rPr>
            </w:pPr>
            <w:r>
              <w:rPr>
                <w:rFonts w:ascii="Arial" w:cs="Arial" w:eastAsia="Arial" w:hAnsi="Arial"/>
                <w:sz w:val="13"/>
                <w:szCs w:val="13"/>
                <w:b w:val="1"/>
                <w:bCs w:val="1"/>
                <w:color w:val="auto"/>
                <w:w w:val="83"/>
              </w:rPr>
              <w:t>2007-2006</w:t>
            </w:r>
          </w:p>
        </w:tc>
        <w:tc>
          <w:tcPr>
            <w:tcW w:w="0" w:type="dxa"/>
            <w:vAlign w:val="bottom"/>
          </w:tcPr>
          <w:p>
            <w:pPr>
              <w:spacing w:after="0"/>
              <w:rPr>
                <w:sz w:val="1"/>
                <w:szCs w:val="1"/>
                <w:color w:val="auto"/>
              </w:rPr>
            </w:pPr>
          </w:p>
        </w:tc>
      </w:tr>
      <w:tr>
        <w:trPr>
          <w:trHeight w:val="129"/>
        </w:trPr>
        <w:tc>
          <w:tcPr>
            <w:tcW w:w="210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data; taxable equivalent)</w:t>
            </w:r>
          </w:p>
        </w:tc>
        <w:tc>
          <w:tcPr>
            <w:tcW w:w="100" w:type="dxa"/>
            <w:vAlign w:val="bottom"/>
          </w:tcPr>
          <w:p>
            <w:pPr>
              <w:spacing w:after="0"/>
              <w:rPr>
                <w:sz w:val="11"/>
                <w:szCs w:val="11"/>
                <w:color w:val="auto"/>
              </w:rPr>
            </w:pPr>
          </w:p>
        </w:tc>
        <w:tc>
          <w:tcPr>
            <w:tcW w:w="980" w:type="dxa"/>
            <w:vAlign w:val="bottom"/>
            <w:gridSpan w:val="2"/>
          </w:tcPr>
          <w:p>
            <w:pPr>
              <w:jc w:val="right"/>
              <w:ind w:right="480"/>
              <w:spacing w:after="0" w:line="129" w:lineRule="exact"/>
              <w:rPr>
                <w:sz w:val="20"/>
                <w:szCs w:val="20"/>
                <w:color w:val="auto"/>
              </w:rPr>
            </w:pPr>
            <w:r>
              <w:rPr>
                <w:rFonts w:ascii="Arial" w:cs="Arial" w:eastAsia="Arial" w:hAnsi="Arial"/>
                <w:sz w:val="13"/>
                <w:szCs w:val="13"/>
                <w:b w:val="1"/>
                <w:bCs w:val="1"/>
                <w:color w:val="auto"/>
              </w:rPr>
              <w:t>Quarter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480"/>
              <w:spacing w:after="0" w:line="129" w:lineRule="exact"/>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1"/>
                <w:szCs w:val="11"/>
                <w:color w:val="auto"/>
              </w:rPr>
            </w:pPr>
          </w:p>
        </w:tc>
        <w:tc>
          <w:tcPr>
            <w:tcW w:w="900" w:type="dxa"/>
            <w:vAlign w:val="bottom"/>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Quarter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w w:val="93"/>
              </w:rPr>
              <w:t>Quarter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520"/>
              <w:spacing w:after="0" w:line="129" w:lineRule="exact"/>
              <w:rPr>
                <w:sz w:val="20"/>
                <w:szCs w:val="20"/>
                <w:color w:val="auto"/>
              </w:rPr>
            </w:pPr>
            <w:r>
              <w:rPr>
                <w:rFonts w:ascii="Arial" w:cs="Arial" w:eastAsia="Arial" w:hAnsi="Arial"/>
                <w:sz w:val="13"/>
                <w:szCs w:val="13"/>
                <w:b w:val="1"/>
                <w:bCs w:val="1"/>
                <w:color w:val="auto"/>
              </w:rPr>
              <w:t>Quarter</w:t>
            </w:r>
          </w:p>
        </w:tc>
        <w:tc>
          <w:tcPr>
            <w:tcW w:w="900" w:type="dxa"/>
            <w:vAlign w:val="bottom"/>
            <w:gridSpan w:val="2"/>
          </w:tcPr>
          <w:p>
            <w:pPr>
              <w:jc w:val="center"/>
              <w:ind w:right="360"/>
              <w:spacing w:after="0" w:line="129" w:lineRule="exact"/>
              <w:rPr>
                <w:sz w:val="20"/>
                <w:szCs w:val="20"/>
                <w:color w:val="auto"/>
              </w:rPr>
            </w:pPr>
            <w:r>
              <w:rPr>
                <w:rFonts w:ascii="Arial" w:cs="Arial" w:eastAsia="Arial" w:hAnsi="Arial"/>
                <w:sz w:val="13"/>
                <w:szCs w:val="13"/>
                <w:b w:val="1"/>
                <w:bCs w:val="1"/>
                <w:color w:val="auto"/>
                <w:w w:val="88"/>
              </w:rPr>
              <w:t>Change</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0"/>
              <w:spacing w:after="0" w:line="129" w:lineRule="exact"/>
              <w:rPr>
                <w:sz w:val="20"/>
                <w:szCs w:val="20"/>
                <w:color w:val="auto"/>
              </w:rPr>
            </w:pPr>
            <w:r>
              <w:rPr>
                <w:rFonts w:ascii="Arial" w:cs="Arial" w:eastAsia="Arial" w:hAnsi="Arial"/>
                <w:sz w:val="13"/>
                <w:szCs w:val="13"/>
                <w:b w:val="1"/>
                <w:bCs w:val="1"/>
                <w:color w:val="auto"/>
              </w:rPr>
              <w:t>2007</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9"/>
              <w:spacing w:after="0" w:line="129" w:lineRule="exact"/>
              <w:rPr>
                <w:sz w:val="20"/>
                <w:szCs w:val="20"/>
                <w:color w:val="auto"/>
              </w:rPr>
            </w:pPr>
            <w:r>
              <w:rPr>
                <w:rFonts w:ascii="Arial" w:cs="Arial" w:eastAsia="Arial" w:hAnsi="Arial"/>
                <w:sz w:val="13"/>
                <w:szCs w:val="13"/>
                <w:b w:val="1"/>
                <w:bCs w:val="1"/>
                <w:color w:val="auto"/>
              </w:rPr>
              <w:t>2006</w:t>
            </w:r>
          </w:p>
        </w:tc>
        <w:tc>
          <w:tcPr>
            <w:tcW w:w="360" w:type="dxa"/>
            <w:vAlign w:val="bottom"/>
          </w:tcPr>
          <w:p>
            <w:pPr>
              <w:spacing w:after="0"/>
              <w:rPr>
                <w:sz w:val="11"/>
                <w:szCs w:val="11"/>
                <w:color w:val="auto"/>
              </w:rPr>
            </w:pPr>
          </w:p>
        </w:tc>
        <w:tc>
          <w:tcPr>
            <w:tcW w:w="680" w:type="dxa"/>
            <w:vAlign w:val="bottom"/>
          </w:tcPr>
          <w:p>
            <w:pPr>
              <w:jc w:val="right"/>
              <w:ind w:right="121"/>
              <w:spacing w:after="0" w:line="129" w:lineRule="exact"/>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INCOME SUMMARY</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136,237</w:t>
            </w:r>
          </w:p>
        </w:tc>
        <w:tc>
          <w:tcPr>
            <w:tcW w:w="3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129,028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123,463</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116,304</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107,890</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265,265</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206,928</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68,270</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60,912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49,407</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92,472</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tcPr>
          <w:p>
            <w:pPr>
              <w:ind w:left="200"/>
              <w:spacing w:after="0"/>
              <w:rPr>
                <w:sz w:val="20"/>
                <w:szCs w:val="20"/>
                <w:color w:val="auto"/>
              </w:rPr>
            </w:pPr>
            <w:r>
              <w:rPr>
                <w:rFonts w:ascii="Arial" w:cs="Arial" w:eastAsia="Arial" w:hAnsi="Arial"/>
                <w:sz w:val="16"/>
                <w:szCs w:val="16"/>
                <w:color w:val="auto"/>
              </w:rPr>
              <w:t>Net interest revenue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67,967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65,105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62,551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60,873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58,483</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133,072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114,456</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Provision for loan losses</w:t>
            </w:r>
            <w:r>
              <w:rPr>
                <w:rFonts w:ascii="Arial" w:cs="Arial" w:eastAsia="Arial" w:hAnsi="Arial"/>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3,700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3,700</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Fee revenue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16,554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14,382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12,146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11,976</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30,936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23,734</w:t>
            </w:r>
          </w:p>
        </w:tc>
        <w:tc>
          <w:tcPr>
            <w:tcW w:w="3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operating 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80,821</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75,787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72,066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66,759</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156,608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130,990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47,702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44,841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42,521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41,441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39,645</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92,543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78,108</w:t>
            </w:r>
          </w:p>
        </w:tc>
        <w:tc>
          <w:tcPr>
            <w:tcW w:w="3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before taxes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33,119</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27,114</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64,065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52,882</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Income taxes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12,043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11,601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11,111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10,465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10,185</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23,644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19,914</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Net operating income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21,076</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16,929</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32,968</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Fraud loss provision, net of</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200"/>
              <w:spacing w:after="0" w:line="216" w:lineRule="exact"/>
              <w:rPr>
                <w:sz w:val="20"/>
                <w:szCs w:val="20"/>
                <w:color w:val="auto"/>
              </w:rPr>
            </w:pPr>
            <w:r>
              <w:rPr>
                <w:rFonts w:ascii="Arial" w:cs="Arial" w:eastAsia="Arial" w:hAnsi="Arial"/>
                <w:sz w:val="15"/>
                <w:szCs w:val="15"/>
                <w:color w:val="auto"/>
              </w:rPr>
              <w:t>tax</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9,165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3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19,345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18,434</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17,413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16,929</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32,968</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80" w:type="dxa"/>
            <w:vAlign w:val="bottom"/>
          </w:tcPr>
          <w:p>
            <w:pPr>
              <w:ind w:left="200"/>
              <w:spacing w:after="0" w:line="220" w:lineRule="exact"/>
              <w:rPr>
                <w:sz w:val="20"/>
                <w:szCs w:val="20"/>
                <w:color w:val="auto"/>
              </w:rPr>
            </w:pPr>
            <w:r>
              <w:rPr>
                <w:rFonts w:ascii="Arial" w:cs="Arial" w:eastAsia="Arial" w:hAnsi="Arial"/>
                <w:sz w:val="15"/>
                <w:szCs w:val="15"/>
                <w:b w:val="1"/>
                <w:bCs w:val="1"/>
                <w:color w:val="auto"/>
              </w:rPr>
              <w:t>PERFORMANCE</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Earnings per common</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share: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40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.45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.42</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c>
          <w:tcPr>
            <w:tcW w:w="3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Return on tangible equity</w:t>
            </w:r>
          </w:p>
        </w:tc>
        <w:tc>
          <w:tcPr>
            <w:tcW w:w="10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17.54%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16"/>
                <w:szCs w:val="16"/>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17.49%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17.68%</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17.67%</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420"/>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line="202" w:lineRule="exact"/>
              <w:rPr>
                <w:sz w:val="20"/>
                <w:szCs w:val="20"/>
                <w:color w:val="auto"/>
              </w:rPr>
            </w:pPr>
            <w:r>
              <w:rPr>
                <w:rFonts w:ascii="Arial" w:cs="Arial" w:eastAsia="Arial" w:hAnsi="Arial"/>
                <w:sz w:val="14"/>
                <w:szCs w:val="14"/>
                <w:color w:val="auto"/>
              </w:rPr>
              <w:t xml:space="preserve">Return on assets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1.10</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Dividend payout ratio</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19.15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19.05</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19.51</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PERFORMANCE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MEASURES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Per common share: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400"/>
              <w:spacing w:after="0"/>
              <w:rPr>
                <w:sz w:val="20"/>
                <w:szCs w:val="20"/>
                <w:color w:val="auto"/>
              </w:rPr>
            </w:pPr>
            <w:r>
              <w:rPr>
                <w:rFonts w:ascii="Arial" w:cs="Arial" w:eastAsia="Arial" w:hAnsi="Arial"/>
                <w:sz w:val="16"/>
                <w:szCs w:val="16"/>
                <w:color w:val="auto"/>
              </w:rPr>
              <w:t>Diluted earnings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.41</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36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Cash dividends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declared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.08</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400"/>
              <w:spacing w:after="0"/>
              <w:rPr>
                <w:sz w:val="20"/>
                <w:szCs w:val="20"/>
                <w:color w:val="auto"/>
              </w:rPr>
            </w:pPr>
            <w:r>
              <w:rPr>
                <w:rFonts w:ascii="Arial" w:cs="Arial" w:eastAsia="Arial" w:hAnsi="Arial"/>
                <w:sz w:val="16"/>
                <w:szCs w:val="16"/>
                <w:color w:val="auto"/>
              </w:rPr>
              <w:t>Book value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14.83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14.37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12.34</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12.34</w:t>
            </w:r>
          </w:p>
        </w:tc>
        <w:tc>
          <w:tcPr>
            <w:tcW w:w="3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Tangible book value</w:t>
            </w: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11.06</w:t>
            </w: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9.50</w:t>
            </w:r>
          </w:p>
        </w:tc>
        <w:tc>
          <w:tcPr>
            <w:tcW w:w="9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3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Key performance ratios: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400"/>
              <w:spacing w:after="0" w:line="202" w:lineRule="exact"/>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(2)(4)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13.41</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400"/>
              <w:spacing w:after="0" w:line="202" w:lineRule="exact"/>
              <w:rPr>
                <w:sz w:val="20"/>
                <w:szCs w:val="20"/>
                <w:color w:val="auto"/>
              </w:rPr>
            </w:pPr>
            <w:r>
              <w:rPr>
                <w:rFonts w:ascii="Arial" w:cs="Arial" w:eastAsia="Arial" w:hAnsi="Arial"/>
                <w:sz w:val="14"/>
                <w:szCs w:val="14"/>
                <w:color w:val="auto"/>
              </w:rPr>
              <w:t xml:space="preserve">Return on assets </w:t>
            </w:r>
            <w:r>
              <w:rPr>
                <w:rFonts w:ascii="Arial" w:cs="Arial" w:eastAsia="Arial" w:hAnsi="Arial"/>
                <w:sz w:val="23"/>
                <w:szCs w:val="23"/>
                <w:color w:val="auto"/>
                <w:vertAlign w:val="superscript"/>
              </w:rPr>
              <w:t>(4)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1.10</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400"/>
              <w:spacing w:after="0" w:line="202"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4.07</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400"/>
              <w:spacing w:after="0"/>
              <w:rPr>
                <w:sz w:val="20"/>
                <w:szCs w:val="20"/>
                <w:color w:val="auto"/>
              </w:rPr>
            </w:pPr>
            <w:r>
              <w:rPr>
                <w:rFonts w:ascii="Arial" w:cs="Arial" w:eastAsia="Arial" w:hAnsi="Arial"/>
                <w:sz w:val="16"/>
                <w:szCs w:val="16"/>
                <w:color w:val="auto"/>
              </w:rPr>
              <w:t>Efficiency ratio</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56.59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56.56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55.93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56.46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56.04</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56.40</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Dividend payout ratio</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19.05</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400"/>
              <w:spacing w:after="0"/>
              <w:rPr>
                <w:sz w:val="20"/>
                <w:szCs w:val="20"/>
                <w:color w:val="auto"/>
              </w:rPr>
            </w:pPr>
            <w:r>
              <w:rPr>
                <w:rFonts w:ascii="Arial" w:cs="Arial" w:eastAsia="Arial" w:hAnsi="Arial"/>
                <w:sz w:val="16"/>
                <w:szCs w:val="16"/>
                <w:color w:val="auto"/>
              </w:rPr>
              <w:t>Equity to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7.95</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7.99</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Tangible equity to</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600"/>
              <w:spacing w:after="0" w:line="216" w:lineRule="exact"/>
              <w:rPr>
                <w:sz w:val="20"/>
                <w:szCs w:val="20"/>
                <w:color w:val="auto"/>
              </w:rPr>
            </w:pPr>
            <w:r>
              <w:rPr>
                <w:rFonts w:ascii="Arial" w:cs="Arial" w:eastAsia="Arial" w:hAnsi="Arial"/>
                <w:sz w:val="15"/>
                <w:szCs w:val="15"/>
                <w:color w:val="auto"/>
              </w:rPr>
              <w:t xml:space="preserve">assets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6.22</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100" w:type="dxa"/>
            <w:vAlign w:val="bottom"/>
            <w:gridSpan w:val="2"/>
          </w:tcPr>
          <w:p>
            <w:pPr>
              <w:spacing w:after="0"/>
              <w:rPr>
                <w:sz w:val="20"/>
                <w:szCs w:val="20"/>
                <w:color w:val="auto"/>
              </w:rPr>
            </w:pPr>
            <w:r>
              <w:rPr>
                <w:rFonts w:ascii="Arial" w:cs="Arial" w:eastAsia="Arial" w:hAnsi="Arial"/>
                <w:sz w:val="16"/>
                <w:szCs w:val="16"/>
                <w:b w:val="1"/>
                <w:bCs w:val="1"/>
                <w:color w:val="auto"/>
              </w:rPr>
              <w:t>ASSET QUALITY</w:t>
            </w:r>
            <w:r>
              <w:rPr>
                <w:rFonts w:ascii="Arial" w:cs="Arial" w:eastAsia="Arial" w:hAnsi="Arial"/>
                <w:sz w:val="27"/>
                <w:szCs w:val="27"/>
                <w:b w:val="1"/>
                <w:bCs w:val="1"/>
                <w:color w:val="auto"/>
                <w:vertAlign w:val="superscript"/>
              </w:rPr>
              <w:t>(5)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Allowance for loan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92,471</w:t>
            </w:r>
          </w:p>
        </w:tc>
        <w:tc>
          <w:tcPr>
            <w:tcW w:w="3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68,804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66,566</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60,901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58,508</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92,471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58,508</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Non-performing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43,601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14,290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13,654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9,347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8,805</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43,601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8,805</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charge-offs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1,042</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Allowance for loan losses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tcPr>
          <w:p>
            <w:pPr>
              <w:ind w:left="400"/>
              <w:spacing w:after="0"/>
              <w:rPr>
                <w:sz w:val="20"/>
                <w:szCs w:val="20"/>
                <w:color w:val="auto"/>
              </w:rPr>
            </w:pPr>
            <w:r>
              <w:rPr>
                <w:rFonts w:ascii="Arial" w:cs="Arial" w:eastAsia="Arial" w:hAnsi="Arial"/>
                <w:sz w:val="16"/>
                <w:szCs w:val="16"/>
                <w:color w:val="auto"/>
              </w:rPr>
              <w:t>to loans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1.22%</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1.22%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Non-performing assets to</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Net charge-offs to</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080" w:type="dxa"/>
            <w:vAlign w:val="bottom"/>
          </w:tcPr>
          <w:p>
            <w:pPr>
              <w:ind w:left="400"/>
              <w:spacing w:after="0"/>
              <w:rPr>
                <w:sz w:val="20"/>
                <w:szCs w:val="20"/>
                <w:color w:val="auto"/>
              </w:rPr>
            </w:pPr>
            <w:r>
              <w:rPr>
                <w:rFonts w:ascii="Arial" w:cs="Arial" w:eastAsia="Arial" w:hAnsi="Arial"/>
                <w:sz w:val="16"/>
                <w:szCs w:val="16"/>
                <w:color w:val="auto"/>
              </w:rPr>
              <w:t xml:space="preserve">average loans </w:t>
            </w:r>
            <w:r>
              <w:rPr>
                <w:rFonts w:ascii="Arial" w:cs="Arial" w:eastAsia="Arial" w:hAnsi="Arial"/>
                <w:sz w:val="27"/>
                <w:szCs w:val="27"/>
                <w:color w:val="auto"/>
                <w:vertAlign w:val="superscript"/>
              </w:rPr>
              <w:t>(4)</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.09</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AVERAGE BALANCES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5,619,950</w:t>
            </w:r>
          </w:p>
        </w:tc>
        <w:tc>
          <w:tcPr>
            <w:tcW w:w="3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w w:val="92"/>
              </w:rPr>
              <w:t>5,402,860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5,134,721</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4,865,886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4,690,196</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5,512,005</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4,598,355</w:t>
            </w:r>
          </w:p>
        </w:tc>
        <w:tc>
          <w:tcPr>
            <w:tcW w:w="3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1,242,448</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2"/>
              </w:rPr>
              <w:t>1,153,208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1,059,125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1,029,981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1,039,707</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1,198,075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1,039,198</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Earning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6,915,134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w w:val="92"/>
              </w:rPr>
              <w:t>6,599,035</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6,225,943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5,942,710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5,758,697</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6,757,959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5,667,213</w:t>
            </w:r>
          </w:p>
        </w:tc>
        <w:tc>
          <w:tcPr>
            <w:tcW w:w="3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7,519,392</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2"/>
              </w:rPr>
              <w:t>7,092,710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6,669,950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6,350,205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6,159,152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7,307,231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6,060,526</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5,945,633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w w:val="92"/>
              </w:rPr>
              <w:t>5,764,426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5,517,696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5,085,168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4,842,389</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5,855,530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4,728,730</w:t>
            </w:r>
          </w:p>
        </w:tc>
        <w:tc>
          <w:tcPr>
            <w:tcW w:w="3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672,348</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624,100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547,419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510,791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489,821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648,358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484,420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Common shares — basic</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44,949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43,000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41,096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40,223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40,156</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43,980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40,122</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shares —</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43,912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41,328</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41,259</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100" w:type="dxa"/>
            <w:vAlign w:val="bottom"/>
            <w:gridSpan w:val="2"/>
          </w:tcPr>
          <w:p>
            <w:pPr>
              <w:spacing w:after="0"/>
              <w:rPr>
                <w:sz w:val="20"/>
                <w:szCs w:val="20"/>
                <w:color w:val="auto"/>
              </w:rPr>
            </w:pPr>
            <w:r>
              <w:rPr>
                <w:rFonts w:ascii="Arial" w:cs="Arial" w:eastAsia="Arial" w:hAnsi="Arial"/>
                <w:sz w:val="16"/>
                <w:szCs w:val="16"/>
                <w:b w:val="1"/>
                <w:bCs w:val="1"/>
                <w:color w:val="auto"/>
              </w:rPr>
              <w:t>AT PERIOD END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5,999,093</w:t>
            </w:r>
          </w:p>
        </w:tc>
        <w:tc>
          <w:tcPr>
            <w:tcW w:w="3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2"/>
              </w:rPr>
              <w:t>5,402,198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5,376,538</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4,965,365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4,810,277</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5,999,093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4,810,277</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ind w:left="200"/>
              <w:spacing w:after="0"/>
              <w:rPr>
                <w:sz w:val="20"/>
                <w:szCs w:val="20"/>
                <w:color w:val="auto"/>
              </w:rPr>
            </w:pPr>
            <w:r>
              <w:rPr>
                <w:rFonts w:ascii="Arial" w:cs="Arial" w:eastAsia="Arial" w:hAnsi="Arial"/>
                <w:sz w:val="16"/>
                <w:szCs w:val="16"/>
                <w:color w:val="auto"/>
              </w:rPr>
              <w:t>Investment securities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1,213,659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w w:val="92"/>
              </w:rPr>
              <w:t>1,150,424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1,107,153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980,273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974,524</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1,213,659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974,524</w:t>
            </w:r>
          </w:p>
        </w:tc>
        <w:tc>
          <w:tcPr>
            <w:tcW w:w="3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8,087,667</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2"/>
              </w:rPr>
              <w:t>7,186,602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7,101,249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6,455,290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6,331,136</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8,087,667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6,331,136</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ectPr>
          <w:pgSz w:w="11900" w:h="16857" w:orient="portrait"/>
          <w:cols w:equalWidth="0" w:num="1">
            <w:col w:w="11420"/>
          </w:cols>
          <w:pgMar w:left="240" w:top="419"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80" w:type="dxa"/>
            <w:vAlign w:val="bottom"/>
          </w:tcPr>
          <w:p>
            <w:pPr>
              <w:ind w:left="220"/>
              <w:spacing w:after="0"/>
              <w:rPr>
                <w:sz w:val="20"/>
                <w:szCs w:val="20"/>
                <w:color w:val="auto"/>
              </w:rPr>
            </w:pPr>
            <w:r>
              <w:rPr>
                <w:rFonts w:ascii="Arial" w:cs="Arial" w:eastAsia="Arial" w:hAnsi="Arial"/>
                <w:sz w:val="16"/>
                <w:szCs w:val="16"/>
                <w:color w:val="auto"/>
              </w:rPr>
              <w:t>Deposits</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6,361,269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5,841,687</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5,772,886</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5,309,219</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4,976,650</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28</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6,361,269</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4,976,650</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28</w:t>
            </w:r>
          </w:p>
        </w:tc>
      </w:tr>
      <w:tr>
        <w:trPr>
          <w:trHeight w:val="206"/>
        </w:trPr>
        <w:tc>
          <w:tcPr>
            <w:tcW w:w="1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Shareholders’ equity</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828,731</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638,456</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616,767</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526,734</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496,297</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67</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828,731</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496,297</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w:t>
            </w:r>
          </w:p>
        </w:tc>
      </w:tr>
      <w:tr>
        <w:trPr>
          <w:trHeight w:val="193"/>
        </w:trPr>
        <w:tc>
          <w:tcPr>
            <w:tcW w:w="1880" w:type="dxa"/>
            <w:vAlign w:val="bottom"/>
          </w:tcPr>
          <w:p>
            <w:pPr>
              <w:ind w:left="220"/>
              <w:spacing w:after="0"/>
              <w:rPr>
                <w:sz w:val="20"/>
                <w:szCs w:val="20"/>
                <w:color w:val="auto"/>
              </w:rPr>
            </w:pPr>
            <w:r>
              <w:rPr>
                <w:rFonts w:ascii="Arial" w:cs="Arial" w:eastAsia="Arial" w:hAnsi="Arial"/>
                <w:sz w:val="16"/>
                <w:szCs w:val="16"/>
                <w:color w:val="auto"/>
              </w:rPr>
              <w:t>Common shares</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6"/>
        </w:trPr>
        <w:tc>
          <w:tcPr>
            <w:tcW w:w="1880" w:type="dxa"/>
            <w:vAlign w:val="bottom"/>
          </w:tcPr>
          <w:p>
            <w:pPr>
              <w:ind w:left="420"/>
              <w:spacing w:after="0"/>
              <w:rPr>
                <w:sz w:val="20"/>
                <w:szCs w:val="20"/>
                <w:color w:val="auto"/>
              </w:rPr>
            </w:pPr>
            <w:r>
              <w:rPr>
                <w:rFonts w:ascii="Arial" w:cs="Arial" w:eastAsia="Arial" w:hAnsi="Arial"/>
                <w:sz w:val="16"/>
                <w:szCs w:val="16"/>
                <w:color w:val="auto"/>
              </w:rPr>
              <w:t>outstanding</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48,781</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43,038</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42,891</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40,269</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40,179</w:t>
            </w:r>
          </w:p>
        </w:tc>
        <w:tc>
          <w:tcPr>
            <w:tcW w:w="76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48,781</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40,179</w:t>
            </w:r>
          </w:p>
        </w:tc>
        <w:tc>
          <w:tcPr>
            <w:tcW w:w="6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effect of special $15 million fraud related provision for loan losses recorded in the second quarter of 2007.</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available to common shareholders, which excludes preferred stock dividends, divided by average realized common equity, which excludes accumulated other comprehensive income (loss).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76" w:lineRule="exact"/>
        <w:rPr>
          <w:rFonts w:ascii="Arial" w:cs="Arial" w:eastAsia="Arial" w:hAnsi="Arial"/>
          <w:sz w:val="18"/>
          <w:szCs w:val="18"/>
          <w:color w:val="auto"/>
        </w:rPr>
      </w:pPr>
    </w:p>
    <w:p>
      <w:pPr>
        <w:ind w:left="460" w:right="240" w:hanging="452"/>
        <w:spacing w:after="0" w:line="30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Asset Quality measures for the second quarter and first six months of 2007 include $23.6 million in nonperforming loans and a special $15 million fraud loss provision that relate to two real estate developments. This fraud-related matter was isolated and considered to be non-recurring. Excluding the non-recurring amounts, the allowance for loan losses would be $77,471, the allowance for loan losses to loans ratio would be 1.29%, non-performing assets would be $19,968 and the ratio of non-performing assets to total assets would be .25% at June 30, 2007.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component of total revenue. United actively manages this revenue source to provide an optimal level of revenue while balancing interest rate, credit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liquidity risks. Net interest revenue for the second quarter 2007 was $68.0 million, up $9.5 million, or 16% over last year. The increase from the second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quarter of 2006 was driven by strong loan growth in the second half of 2006 that was funded primarily by customer deposits. Average loans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$929.8 million, or 20%, from the second quarter of last year, mostly reflecting acquisitions completed over the last twelve months. Excluding acquired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growth was 8% from June 30, 2006. The quarter-end loan balances increased $596.9 million compared with March 31, 2007 of which $533.7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from the acquisition of First Bank of the South. Excluding the acquisition, second quarter loan growth was $63.2 million or an annualized rate of 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was up slightly from the first quarter but down from recent historical growth trends. Year over year loan growth occurred in all of United’s markets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 increases of $79.2 million in north Georgia, $98.9 million in western North Carolina (including $8.1 million in loans acquired through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acquisitions), $58.0 million in east Tennessee, $60.7 million in the coastal Georgia markets and $892.0 million in the Atlanta Region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$800.2 million from acquisitions).</w:t>
      </w:r>
    </w:p>
    <w:p>
      <w:pPr>
        <w:spacing w:after="0" w:line="103" w:lineRule="exact"/>
        <w:rPr>
          <w:sz w:val="20"/>
          <w:szCs w:val="20"/>
          <w:color w:val="auto"/>
        </w:rPr>
      </w:pPr>
    </w:p>
    <w:p>
      <w:pPr>
        <w:ind w:firstLine="215"/>
        <w:spacing w:after="0" w:line="302" w:lineRule="auto"/>
        <w:rPr>
          <w:sz w:val="20"/>
          <w:szCs w:val="20"/>
          <w:color w:val="auto"/>
        </w:rPr>
      </w:pPr>
      <w:r>
        <w:rPr>
          <w:rFonts w:ascii="Arial" w:cs="Arial" w:eastAsia="Arial" w:hAnsi="Arial"/>
          <w:sz w:val="16"/>
          <w:szCs w:val="16"/>
          <w:color w:val="auto"/>
        </w:rPr>
        <w:t>Average interest-earning assets for the second quarter of 2007 increased $1.156 billion, or 20%, over the same period in 2006. The increase reflects organic loan growth and the acquisition of First Bank of the South during the second quarter of 2007 and the acquisition of Southern National Bank in the fourth quarter of 2006, as well as an increase in the investment securities portfolio. The majority of the increase in interest-earning assets was funded by interest-bearing sources resulting in increases in average interest-bearing liabilities of approximately $1.086 billion as compared with June 30, 2006.</w:t>
      </w:r>
    </w:p>
    <w:p>
      <w:pPr>
        <w:spacing w:after="0" w:line="46"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rate spread measures the difference between the average yield on interest-earning assets and the average rate paid on interest-bearing liabilities. The interest rate spread eliminates the impact of non-interest-bearing deposits and gives a direct perspective on the effect of market interest rate movements. The net interest margin is defined as net interest revenue as a percent of average total interest-earning assets and takes into account the positive impact of investing non interest-bearing deposits and capital.</w:t>
      </w:r>
    </w:p>
    <w:p>
      <w:pPr>
        <w:spacing w:after="0" w:line="46" w:lineRule="exact"/>
        <w:rPr>
          <w:sz w:val="20"/>
          <w:szCs w:val="20"/>
          <w:color w:val="auto"/>
        </w:rPr>
      </w:pPr>
    </w:p>
    <w:p>
      <w:pPr>
        <w:ind w:right="220" w:firstLine="225"/>
        <w:spacing w:after="0" w:line="297" w:lineRule="auto"/>
        <w:rPr>
          <w:sz w:val="20"/>
          <w:szCs w:val="20"/>
          <w:color w:val="auto"/>
        </w:rPr>
      </w:pPr>
      <w:r>
        <w:rPr>
          <w:rFonts w:ascii="Arial" w:cs="Arial" w:eastAsia="Arial" w:hAnsi="Arial"/>
          <w:sz w:val="16"/>
          <w:szCs w:val="16"/>
          <w:color w:val="auto"/>
        </w:rPr>
        <w:t>For the three months ended June 30, 2007 and 2006, the net interest spread was 3.38% and 3.53%, respectively, while the net interest margin was 3.94% and 4.07%, respectively. Since the Federal Reserve’s last rate increase in June of 2006, rates paid on deposits have continued to rise with loan yields beginning to flatten out thereby compressing the net interest spread and the net interest margin. During most of 2006, rates on certificates of deposit lagged the increase in wholesale borrowing rates allowing us to fund loan growth at a favorable spread to wholesale borrowings. Competition for time deposits pushed rates above wholesale borrowings in early 2007 making wholesale borrowings more attractive for funding loan growth.</w:t>
      </w:r>
    </w:p>
    <w:p>
      <w:pPr>
        <w:spacing w:after="0" w:line="5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Most of United’s loan portfolio accrues interest at a floating rate. At June 30, 2007, United had approximately $3.1 billion in loans indexed to the daily Prime Rate published in the Wall Street Journal compared with $2.8 billion a year ago. At June 30, 2007 and 2006, United had receive-fixed swap contracts with a total notional value of $530 million and $314 million, respectively, which were used to reduce United’s exposure to changes in interest rates that were accounted for as cash flow hedges of prime-based loans. United also has receive-fixed/pay 1-month LIBOR interest rate swap contracts with an aggregate notional amount of $90 million that are being accounted for as fair value hedges of brokered time deposits and fixed rate Federal Home Loan Bank advances. In addition to the swap contracts, United has purchased interest rate floors having a total notional amount of $500 million for which it paid premiums totaling $13 million that are being accounted for as cash flow hedges of daily repricing, primed-based loans. While the swap contracts hedge our portfolio against the risks of lower interest rates, they will reduce the benefit of interest rate increases in the future. The use of interest rate derivative contracts is more fully explained in the Interest Rate Sensitivity Management section of this report beginning on page 23.</w:t>
      </w:r>
    </w:p>
    <w:p>
      <w:pPr>
        <w:spacing w:after="0" w:line="74"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The average yield on interest-earning assets for the second quarter of 2007 was 7.90%, compared with 7.51% in the second quarter of 2006. The average yield on interest earning assets for the first six months of 2007 was 7.91%, compared with 7.36% for the first six months of 2006. Loan yields were up 39 basis points, compared with the second quarter of 2006, due primarily to the effect of the Federal Reserve’s rate increases during the first half of 2006.</w:t>
      </w:r>
    </w:p>
    <w:p>
      <w:pPr>
        <w:spacing w:after="0" w:line="39"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average cost of interest-bearing liabilities for the second quarter was 4.52%, an increase of 54 basis points from the same period in 2006. For the six months ended June 30, 2007 the average cost of interest bearing liabilities was 4.51% an increase of 70 basis points. The increase reflects the impact of rising rates on United’s floating rate sources of funding and increased deposit pricing in selected products and markets.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balances of interest-earning assets and interest-bearing liabilities for the three months ended June 30,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2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6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66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Avg.</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8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Avg.</w:t>
            </w:r>
          </w:p>
        </w:tc>
        <w:tc>
          <w:tcPr>
            <w:tcW w:w="0" w:type="dxa"/>
            <w:vAlign w:val="bottom"/>
          </w:tcPr>
          <w:p>
            <w:pPr>
              <w:spacing w:after="0"/>
              <w:rPr>
                <w:sz w:val="1"/>
                <w:szCs w:val="1"/>
                <w:color w:val="auto"/>
              </w:rPr>
            </w:pPr>
          </w:p>
        </w:tc>
      </w:tr>
      <w:tr>
        <w:trPr>
          <w:trHeight w:val="178"/>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taxable equivalent)</w:t>
            </w:r>
          </w:p>
        </w:tc>
        <w:tc>
          <w:tcPr>
            <w:tcW w:w="320" w:type="dxa"/>
            <w:vAlign w:val="bottom"/>
          </w:tcPr>
          <w:p>
            <w:pPr>
              <w:spacing w:after="0"/>
              <w:rPr>
                <w:sz w:val="15"/>
                <w:szCs w:val="15"/>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5"/>
                <w:szCs w:val="15"/>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$ 5,619,950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119,569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$ 4,690,196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95,127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1,200,268</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15,476</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991,701</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11,521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 (3)</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42,180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6.83</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48,006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earning assets</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52,736</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471</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3.57</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28,794</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405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6,915,134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136,237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7.90</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5,758,697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107,890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(73,323)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(57,654)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130,046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129,389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158,290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120,870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389,245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207,850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$ 7,519,392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$ 6,159,152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$ 1,379,423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11,470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$ 1,102,041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7,342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Money market</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354,815</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3,540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4.00</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180,757</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1,614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186,490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174,533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Time less than $100,000</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1,627,708</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19,978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4.92</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1,344,861</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14,066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greater than $100,000</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1,372,410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17,892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5.23</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1,061,249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12,147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Brokered</w:t>
            </w:r>
          </w:p>
        </w:tc>
        <w:tc>
          <w:tcPr>
            <w:tcW w:w="3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332,857</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4,109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4.95</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327,962</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3,386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5,253,703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57,363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4.38</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4,191,403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38,781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Federal funds purchased and other</w:t>
            </w: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borrowings</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275,319</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3,671</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5.35</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165,563</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2,078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Home Loan Bank advances</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419,287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5,035</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4.82</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506,531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6,380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113,270</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2,201</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7.79</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111,869</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2,168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borrowed funds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807,876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5.42</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783,963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10,626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6,061,579</w:t>
            </w: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68,270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4.52</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4,975,366</w:t>
            </w: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49,407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691,930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650,986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93,535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42,979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6,847,044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5,669,331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672,348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489,821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tcPr>
          <w:p>
            <w:pPr>
              <w:ind w:left="400"/>
              <w:spacing w:after="0" w:line="205" w:lineRule="exact"/>
              <w:rPr>
                <w:sz w:val="20"/>
                <w:szCs w:val="20"/>
                <w:color w:val="auto"/>
              </w:rPr>
            </w:pPr>
            <w:r>
              <w:rPr>
                <w:rFonts w:ascii="Arial" w:cs="Arial" w:eastAsia="Arial" w:hAnsi="Arial"/>
                <w:sz w:val="18"/>
                <w:szCs w:val="18"/>
                <w:b w:val="1"/>
                <w:bCs w:val="1"/>
                <w:color w:val="auto"/>
              </w:rPr>
              <w:t>Total liabilities and shareholders’</w:t>
            </w:r>
          </w:p>
        </w:tc>
        <w:tc>
          <w:tcPr>
            <w:tcW w:w="3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ind w:left="600"/>
              <w:spacing w:after="0"/>
              <w:rPr>
                <w:sz w:val="20"/>
                <w:szCs w:val="20"/>
                <w:color w:val="auto"/>
              </w:rPr>
            </w:pPr>
            <w:r>
              <w:rPr>
                <w:rFonts w:ascii="Arial" w:cs="Arial" w:eastAsia="Arial" w:hAnsi="Arial"/>
                <w:sz w:val="18"/>
                <w:szCs w:val="18"/>
                <w:b w:val="1"/>
                <w:bCs w:val="1"/>
                <w:color w:val="auto"/>
              </w:rPr>
              <w:t>equity</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$ 7,519,392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$ 6,159,152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67,967</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58,483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line="20" w:lineRule="exact"/>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76"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losses of $7.8 million in 2007 and $21.6 million in 2006 are included in other assets for purposes of this presentation.</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1420"/>
          </w:cols>
          <w:pgMar w:left="240" w:top="419" w:right="239" w:bottom="1027"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27"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balances of interest-earning assets and interest bearing liabilities for the six months ended June 30,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6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66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Avg.</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66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Avg.</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taxable equivalent)</w:t>
            </w:r>
          </w:p>
        </w:tc>
        <w:tc>
          <w:tcPr>
            <w:tcW w:w="320" w:type="dxa"/>
            <w:vAlign w:val="bottom"/>
          </w:tcPr>
          <w:p>
            <w:pPr>
              <w:spacing w:after="0"/>
              <w:rPr>
                <w:sz w:val="14"/>
                <w:szCs w:val="14"/>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4"/>
                <w:szCs w:val="14"/>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$ 5,512,005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233,437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8.54%</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$ 4,598,355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181,622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1,155,308</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29,444</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5.10</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990,698</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22,839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 (3)</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42,767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6.81</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48,500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earning assets</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47,879</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928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3.88</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29,660</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784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6,757,959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265,265</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7.91</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5,667,213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206,928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(70,769)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(56,247)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125,367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125,957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152,593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118,245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342,081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205,358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$ 7,307,231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$ 6,060,526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$ 1,351,277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22,097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3.30</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$ 1,092,245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13,329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Money Market</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308,541</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6,080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3.97</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172,128</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2,814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180,913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175,161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Time less than $100,000</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1,634,569</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39,774</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4.91</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1,307,676</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26,101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1,378,870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35,808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5.24</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1,020,682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22,556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Brokered</w:t>
            </w:r>
          </w:p>
        </w:tc>
        <w:tc>
          <w:tcPr>
            <w:tcW w:w="3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333,800</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8,022</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4.85</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321,562</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6,328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5,187,970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112,464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4.37</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4,089,454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71,582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Federal funds purchased &amp; other</w:t>
            </w:r>
          </w:p>
        </w:tc>
        <w:tc>
          <w:tcPr>
            <w:tcW w:w="3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600"/>
              <w:spacing w:after="0"/>
              <w:rPr>
                <w:sz w:val="20"/>
                <w:szCs w:val="20"/>
                <w:color w:val="auto"/>
              </w:rPr>
            </w:pPr>
            <w:r>
              <w:rPr>
                <w:rFonts w:ascii="Arial" w:cs="Arial" w:eastAsia="Arial" w:hAnsi="Arial"/>
                <w:sz w:val="18"/>
                <w:szCs w:val="18"/>
                <w:color w:val="auto"/>
              </w:rPr>
              <w:t>borrowings</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207,663</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5,488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5.33</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147,185</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3,560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Federal Home Loan Bank advances</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407,583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9,836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546,405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13,009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113,251</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4,405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7.84</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111,868</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4,321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borrowed funds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728,497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19,729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5.46</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805,458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20,890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5,916,467</w:t>
            </w: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132,193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4.51</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4,894,912</w:t>
            </w: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92,472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667,560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639,276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74,846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41,918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6,658,873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5,576,106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648,358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484,420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tcPr>
          <w:p>
            <w:pPr>
              <w:ind w:left="400"/>
              <w:spacing w:after="0" w:line="205" w:lineRule="exact"/>
              <w:rPr>
                <w:sz w:val="20"/>
                <w:szCs w:val="20"/>
                <w:color w:val="auto"/>
              </w:rPr>
            </w:pPr>
            <w:r>
              <w:rPr>
                <w:rFonts w:ascii="Arial" w:cs="Arial" w:eastAsia="Arial" w:hAnsi="Arial"/>
                <w:sz w:val="18"/>
                <w:szCs w:val="18"/>
                <w:b w:val="1"/>
                <w:bCs w:val="1"/>
                <w:color w:val="auto"/>
              </w:rPr>
              <w:t>Total liabilities and shareholders’</w:t>
            </w:r>
          </w:p>
        </w:tc>
        <w:tc>
          <w:tcPr>
            <w:tcW w:w="3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ind w:left="600"/>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$ 7,307,231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$ 6,060,526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w w:val="89"/>
              </w:rPr>
              <w:t>133,072</w:t>
            </w: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w w:val="89"/>
              </w:rPr>
              <w:t>114,456</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interest-rate spread</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margin</w:t>
            </w:r>
            <w:r>
              <w:rPr>
                <w:rFonts w:ascii="Arial" w:cs="Arial" w:eastAsia="Arial" w:hAnsi="Arial"/>
                <w:sz w:val="15"/>
                <w:szCs w:val="15"/>
                <w:color w:val="auto"/>
              </w:rPr>
              <w:t>(4)</w:t>
            </w: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 tax rate.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76"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losses of $8.9 million in 2007 and $17.9 million in 2006 are included in other assets for purposes of this presentation.</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1420"/>
          </w:cols>
          <w:pgMar w:left="240" w:top="419" w:right="239" w:bottom="825"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25"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table shows the relative impact on net interest revenue for changes in the average outstanding balances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 xml:space="preserve">Table 5 — Change in Interest Revenue and Expense on a Taxable Equivalent Basis </w:t>
      </w:r>
      <w:r>
        <w:rPr>
          <w:rFonts w:ascii="Arial" w:cs="Arial" w:eastAsia="Arial" w:hAnsi="Arial"/>
          <w:sz w:val="18"/>
          <w:szCs w:val="18"/>
          <w:i w:val="1"/>
          <w:i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jc w:val="center"/>
              <w:ind w:left="352"/>
              <w:spacing w:after="0"/>
              <w:rPr>
                <w:sz w:val="20"/>
                <w:szCs w:val="20"/>
                <w:color w:val="auto"/>
              </w:rPr>
            </w:pPr>
            <w:r>
              <w:rPr>
                <w:rFonts w:ascii="Arial" w:cs="Arial" w:eastAsia="Arial" w:hAnsi="Arial"/>
                <w:sz w:val="14"/>
                <w:szCs w:val="14"/>
                <w:b w:val="1"/>
                <w:bCs w:val="1"/>
                <w:color w:val="auto"/>
                <w:w w:val="93"/>
              </w:rPr>
              <w:t>Three Months Ended June 30, 2007</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 2007</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Compared to 2006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Compared to 2006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Increase (decrease)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Increase (decrease)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Due to Changes in</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Due to Changes in</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0"/>
              </w:rPr>
              <w:t>Volume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600"/>
              <w:spacing w:after="0" w:line="142" w:lineRule="exact"/>
              <w:rPr>
                <w:sz w:val="20"/>
                <w:szCs w:val="20"/>
                <w:color w:val="auto"/>
              </w:rPr>
            </w:pPr>
            <w:r>
              <w:rPr>
                <w:rFonts w:ascii="Arial" w:cs="Arial" w:eastAsia="Arial" w:hAnsi="Arial"/>
                <w:sz w:val="14"/>
                <w:szCs w:val="14"/>
                <w:b w:val="1"/>
                <w:bCs w:val="1"/>
                <w:color w:val="auto"/>
                <w:w w:val="92"/>
              </w:rPr>
              <w:t>Rate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w w:val="86"/>
              </w:rPr>
              <w:t>Volume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820"/>
              <w:spacing w:after="0" w:line="142" w:lineRule="exact"/>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19,597</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4,845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24,442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37,999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13,816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4,040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2,565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Tax-exempt securities</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 interest-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684</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22,346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6,001</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28,347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42,527</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15,810</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58,337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NOW accounts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2,049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4,128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3,603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5,165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2,594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Savings deposits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7,287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6,386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3,897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5,745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8,840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4,412</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18,582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18,294</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1,593</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1,573</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(1,059)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(3,348)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(1,721)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18,863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20,867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18,854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Increase in net interest revenue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10,922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(1,438)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9,484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21,660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(3,044)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The provision for loan losses was $18.7 million for the second quarter of 2007, compared with $3.7 million for the same period in 2006. The second quarter 2007 provision for loan losses included a special $15 million provision for fraud related loan losses in two real estate developments located near Spruce Pine, North Carolina. During the second quarter of 2007, the North Carolina Attorney General obtained a receiver to take custody the developers’ assets citing possible fraud on the part of the developers. United has loans outstanding to 83 individual borrowers that total $23.6 million secured by undeveloped lots in these developments. United was one of thirteen banks that had loaned money to borrowers to finance the purchase of lots. The loans were made to appropriately qualified borrowers in accordance with our standard underwriting procedures. At the time the loans were made, we were not aware that most of the borrowers were simultaneously obtaining loans for additional lots at other banks and thereby taking on debt possibly beyond their repayment ability. We were also unaware that the borrowers’ down payments were not paid in cash as indicated on the closing statements, but were financed by a second mortgage from the developer and that the developer agreed to service the borrowers’ debts. We have also subsequently learned that the appraisals relied upon in the underwriting process had been inflated by using comparable sales that were not at arms length to persons related to the developer and that many of the lots were subdivided into parcels that are too small to be used for their intended purpose. Based on our findings and our internal estimate of expected losses, we recorded a $15 million special provision for loan losses. We are working with the receiver, the other banks involved, the borrowers and our insurance carrier in order to minimize our losses. None of the loans have been charged off, but were placed on non-accrual status as of June 30, 2007 and included in nonperforming assets.</w:t>
      </w:r>
    </w:p>
    <w:p>
      <w:pPr>
        <w:spacing w:after="0" w:line="77" w:lineRule="exact"/>
        <w:rPr>
          <w:sz w:val="20"/>
          <w:szCs w:val="20"/>
          <w:color w:val="auto"/>
        </w:rPr>
      </w:pPr>
    </w:p>
    <w:p>
      <w:pPr>
        <w:ind w:right="80" w:firstLine="225"/>
        <w:spacing w:after="0" w:line="307" w:lineRule="auto"/>
        <w:rPr>
          <w:sz w:val="20"/>
          <w:szCs w:val="20"/>
          <w:color w:val="auto"/>
        </w:rPr>
      </w:pPr>
      <w:r>
        <w:rPr>
          <w:rFonts w:ascii="Arial" w:cs="Arial" w:eastAsia="Arial" w:hAnsi="Arial"/>
          <w:sz w:val="15"/>
          <w:szCs w:val="15"/>
          <w:color w:val="auto"/>
        </w:rPr>
        <w:t>Net loan charge-offs as an annualized percentage of average outstanding loans for the three months ended June 30, 2007 was .15%, as compared with .09% for the second quarter of 2006. For the first six months of 2007 net loan charge offs as an annualized percentage of average outstanding loans was .13% versus .10% for 2006. Net loan charge-offs continued at low levels in the second quarter but will likely exceed the Company’s historical six-year range of</w:t>
      </w:r>
    </w:p>
    <w:p>
      <w:pPr>
        <w:spacing w:after="0" w:line="1"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.11% to .25% in the next few quarters as loans in the two developments near Spruce Pine, North Carolina become delinquent and are charged off. Excluding expected charge offs related to the Spruce Pine developments, net charge offs are expected to remain within our historical range.</w:t>
      </w:r>
    </w:p>
    <w:p>
      <w:pPr>
        <w:sectPr>
          <w:pgSz w:w="11900" w:h="16838" w:orient="portrait"/>
          <w:cols w:equalWidth="0" w:num="1">
            <w:col w:w="11420"/>
          </w:cols>
          <w:pgMar w:left="240" w:top="419" w:right="2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342"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the corresponding analysis of the allowance for loan losses at quarter-end. Additional discussion on loan quality and the allowance for loan losses is included in the Asset Quality section of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Fee revenue for the second quarter of 2007 totaled $16.6 million, an increase of $4.6 million, or 38% from 2006. Fee revenue accounted for approximately 20% of total revenue for the second quarter of 2007, compared with 18% for the second quarter of 2006. During the first six months of 2007, fee revenue totaled $30.9 million compared with $23.7 million for 2006, an increase of 30%. This strong growth is the result of United’s continued focus on increasing fee revenue through new products and services. The following table presents the components of fee revenue for the second quarter of 2007 and 2006.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Fee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72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7,975</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6,828</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15,228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13,181</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Mortgage loan and other related fees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2,476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1,708</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4,699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3,221</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2,241</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1,572</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3,156</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Brokerage fees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1,192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796</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2,136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1,646</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(losses), net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Loss on prepayments of borrowings</w:t>
            </w: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(1,164)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(290)</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(1,164)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(290)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1,362</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2,823</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16,554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11,976</w:t>
            </w:r>
          </w:p>
        </w:tc>
        <w:tc>
          <w:tcPr>
            <w:tcW w:w="680" w:type="dxa"/>
            <w:vAlign w:val="bottom"/>
          </w:tcPr>
          <w:p>
            <w:pPr>
              <w:spacing w:after="0"/>
              <w:rPr>
                <w:sz w:val="19"/>
                <w:szCs w:val="19"/>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30,936</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23,734</w:t>
            </w:r>
          </w:p>
        </w:tc>
        <w:tc>
          <w:tcPr>
            <w:tcW w:w="68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Service charges and fees for the second quarter of 2007 increased $1.1 million, or 17% from 2006. This increase was primarily due to growth in transactions and new accounts resulting from core deposit programs, growth in overdraft products, and the cross-selling of other products and services. Also included in service charges and fees were ATM and debit card usage fees which rose $350,000 from a year ago, primarily the result of a larger customer base added through acquisitions, de novo growth and core deposit programs.</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Mortgage loans and related fees of $2.5 million for the quarter were up $768,000, or 45%, from 2006. The increase is due to a rise in the amount of originations assisted by improved pricing. In the second quarter of 2007, United originated 659 loans totaling $122 million compared with 510 loans totaling $92 million in the second quarter of 2006. Substantially all originated residential mortgages were sold into the secondary market, including the right to service these loans.</w:t>
      </w:r>
    </w:p>
    <w:p>
      <w:pPr>
        <w:spacing w:after="0" w:line="7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Consulting fees of $2.2 million were up $669,000, a 43% increase from the second quarter of 2006. The increase was primarily due to growth in advisory services.</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Brokerage fees of $1.2 million were up $396,000, or 50%, from the second quarter of 2006. This increase was due primarily to an increase in trading activity resulting from a strong market.</w:t>
      </w:r>
    </w:p>
    <w:p>
      <w:pPr>
        <w:spacing w:after="0" w:line="6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During the second quarter, as part of its balance sheet management activities, United prepaid a $25 million Federal Home Loan Bank advance and incurred a charge of $1.2 million. The interest rate on the advance was approximately 100 basis points above market. The loss on the prepayment of the Federal Home Loan Bank advance was offset with $1.4 million in gains from the sale of equity securities.</w:t>
      </w:r>
    </w:p>
    <w:p>
      <w:pPr>
        <w:spacing w:after="0" w:line="73"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Other fee revenue of $2.4 million increased $1,086,000, or 80% from 2006. This increase is primarily due to purchase of additional Bank Owned Life Insurance that added $632,000 of fee revenue for second quarter 2007 related to earnings recognized on the cash surrender value of the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For the three months ended June 30, 2007, total operating expenses were $47.7 million, an increase of 20%, compared with $39.6 million in 2006. Operating expenses from First Bank of the South, acquired on June 1, 2007 and Southern National Bank, acquired on December 1, 2006 accounted for approximately for approximately $2.3 million of the $8.1 million increase. The following table presents the components of operating expenses for the three and six months ended June 30, 2007 and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30,022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24,469</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58,339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48,353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3,845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3,731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7,657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7,107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2,916</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5,848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2,098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1,948</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4,114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3,836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1,289</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2,010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1,069</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3,489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2,230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503</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4,098</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3,720</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7,900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6,923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47,702</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39,645</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92,543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78,108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Salaries and employee benefits for the second quarter of 2007 totaled $30.0 million, an increase of $5.6 million, or 23%, over the same period in 2006. Acquisitions accounted for approximately $1.5 million of the increase, with the remainder primarily due to the cost of staffing de novo locations and business growth. At June 30, 2007, total staff was 2,017, an increase of 244 employees from the second quarter of 2006. Of this increase, 64 staff members, representing 26% of the increase in staff, were added for de novo expansion and 118 staff members, representing 48% of the increase in staff, were added through acquisitions.</w:t>
      </w:r>
    </w:p>
    <w:p>
      <w:pPr>
        <w:spacing w:after="0" w:line="80"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Communication and equipment expense for the second quarter of 2007 was up $114,000, or 3%, from 2006. This increase is the result of acquisitions offset by lower depreciation and maintenance charges.</w:t>
      </w:r>
    </w:p>
    <w:p>
      <w:pPr>
        <w:spacing w:after="0" w:line="62"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Occupancy expense for the second quarter of 2007 was up $400,000, or 14%, from 2006. The majority of this increase was the result of higher facilities costs and maintenance expenses resulting from additional banking offices added through de novo expansion and acquisitions.</w:t>
      </w:r>
    </w:p>
    <w:p>
      <w:pPr>
        <w:spacing w:after="0" w:line="38"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Advertising and public relations expense for the second quarter of 2007 was up $150,000, or 8%, from 2006. A portion of the increase relates to additional costs of sponsorships designed to increase brand awareness, while the remainder of the increase reflects the cost associated with initiatives designed to raise core deposits, ongoing efforts to generate brand awareness in new markets added by de novo expansion and by the recent acquisitions of First Bank of the South and Southern National Bank.</w:t>
      </w:r>
    </w:p>
    <w:p>
      <w:pPr>
        <w:spacing w:after="0" w:line="7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Postage, printing and supplies expense for the second quarter of 2007 was up $391,000, or 30%, from 2006. The increase is primarily from higher cost of postage and courier costs resulting from the growing number of offices, both through acquisitions and de novo expansion.</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Professional fees increased $941,000, or 88%, from 2006. Increasing legal costs associated with the loan workouts and other corporate initiatives, along with the higher cost of outsourced services contributed to this increase.</w:t>
      </w:r>
    </w:p>
    <w:p>
      <w:pPr>
        <w:spacing w:after="0" w:line="62"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Other expense increased by $378,000, or 10%, from 2006. The majority of this increase is the result of higher costs of ATMs and internet banking activities associated with continued business growth within existing markets and de novo expansion.</w:t>
      </w:r>
    </w:p>
    <w:p>
      <w:pPr>
        <w:spacing w:after="0" w:line="62" w:lineRule="exact"/>
        <w:rPr>
          <w:sz w:val="20"/>
          <w:szCs w:val="20"/>
          <w:color w:val="auto"/>
        </w:rPr>
      </w:pPr>
    </w:p>
    <w:p>
      <w:pPr>
        <w:ind w:right="440" w:firstLine="222"/>
        <w:spacing w:after="0" w:line="286" w:lineRule="auto"/>
        <w:rPr>
          <w:sz w:val="20"/>
          <w:szCs w:val="20"/>
          <w:color w:val="auto"/>
        </w:rPr>
      </w:pPr>
      <w:r>
        <w:rPr>
          <w:rFonts w:ascii="Arial" w:cs="Arial" w:eastAsia="Arial" w:hAnsi="Arial"/>
          <w:sz w:val="17"/>
          <w:szCs w:val="17"/>
          <w:color w:val="auto"/>
        </w:rPr>
        <w:t>The efficiency ratio measures total operating expenses as a percentage of total revenue, excluding the provision for loan losses, gains or losses from prepayment of borrowings, and net securities gains or losses. United’s efficiency ratio for the second quarter was 56.59% compared with 56.04% for the second quarter of 2006. United’s efficiency ratio remained within management’s long-term efficiency goal of 56% - 58%.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Income tax expense was $5.8 million for the second quarter, as compared with $9.7 million for the second quarter of 2006, representing a 32.6% and 36.5% effective tax rate, respectively. For the first six months of 2007 and 2006, income tax expense was $16.9 million and $19.0 million, respectively. The effective tax rate for the same periods was 35.1% and 36.6%, respectively. The effective tax rates were lower than the statutory tax rates primarily due to interest and revenue on certain investment securities and loans that are exempt from income taxes, tax exempt fee revenue and tax credits received on affordable housing investments. The tax rates for 2007 are lower than 2006 primarily as a result of the $15 million special provision for fraud related loan losses which resulted in a deferred tax benefit at the blended federal and state statutory tax rate of 38.9%. This special provision reduced taxable income without a proportionate decrease in revenue from tax exempt sources. Absent the special provision, the second quarter 2007 effective tax rate would have been 35.5% which is down from a year ago mostly due to an additional $50 million investment in Bank Owned Life Insurance in the second quarter of 2007. Additional information regarding income taxes can be found in Note 14 to the consolidated financial statements filed with United’s 2006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assets at June 30, 2007 were $8.1 billion, compared with $6.3 billion at June 30, 2006. Average total assets for the second quarter of 2007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 billion, up $1.4 billion from average assets in the second quarter of 2006. Much of the growth in assets was the result of the acquisitions of First Bank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South on June 1, 2007 with total assets of $809 million, including intangible assets, and Southern National Bank on December 1, 2006 with total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$416 million in assets, including intangible assets. Loan growth was strong in the second half of 2006 but slowed in the first half of 2007 primarily due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surplus of housing and finished lot inventory within United’s markets. Much of United’s loan growth over the years has come from construction and 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projects and, in the first half of 2007, many developers were delaying development projects until housing and finished lot inventories return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normal levels. Also, because of the longer expected marketing times and concern for a price correction, United’s own internal underwriting standards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tightened.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420,608</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1,461,286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1,229,910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1,129,973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1,881,894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1,525,608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1,385,519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2,522,097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2,333,585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1,994,860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1,412,597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1,337,728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1,261,107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Installment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182,505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5,999,093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5,376,538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4,810,277</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Installment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At June 30, 2007, total loans were $6.0 billion, an increase of $1.2 billion, or 25%, from June 30, 2006. During 2006, United experienced strong loan growth in all markets, with particular strength in construction and land development loans. That growth slowed in the first half of 2007. With the acquisition of First Bank of the South, United gained additional expertise in commercial lending that United plans to leverage to better diversify the loan portfolio and boost overall loan growth. The addition of First Bank of the South pushed commercial loans to 31% of the loan portfolio at June 30, 2007 from 29% at December 31, 2006.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close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at all of United’s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w:t>
      </w:r>
    </w:p>
    <w:p>
      <w:pPr>
        <w:spacing w:after="0" w:line="80"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adequate to absorb probable losses at quarter-end. The amount each period is dependent upon many factors including growth and changes in the composition of the loan portfolio, net charge-offs, delinquencies, management’s assessment of loan portfolio quality, the value of collateral, and other economic factors and trends. The evaluation of these factors is performed quarterly by management through an analysis of the adequacy of the allowance for loan losses.</w:t>
      </w:r>
    </w:p>
    <w:p>
      <w:pPr>
        <w:spacing w:after="0" w:line="46"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Reviews of non-performing loans, past due loans and larger credits, designed to identify potential charges to the allowance for loan losses, as well as determine the adequacy of the allowance, are conducted on a regular basis during the quarter. These reviews are performed by the responsible lending officers, as well as a separate loan review department, and consider such factors as the financial strength of borrowers, the value of the applicable collateral, past loan loss experience, anticipated loan losses, growth in the loan portfolio, prevailing economic conditions and other factors. United also uses external loan review to supplement the activities of the loan review department and to ensure the independence of the loan review process.</w:t>
      </w:r>
    </w:p>
    <w:p>
      <w:pPr>
        <w:spacing w:after="0" w:line="50"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three-month and six-month periods ended June 30,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Summary of Loan Loss Experience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68,804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55,850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66,566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Allowance from acquisitions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608"/>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Loans charged-off</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Recoveries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1400" w:type="dxa"/>
            <w:vAlign w:val="bottom"/>
            <w:gridSpan w:val="2"/>
          </w:tcPr>
          <w:p>
            <w:pPr>
              <w:jc w:val="right"/>
              <w:ind w:right="608"/>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rPr>
              <w:t>18,700</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18"/>
                <w:szCs w:val="18"/>
                <w:color w:val="auto"/>
              </w:rPr>
            </w:pPr>
          </w:p>
        </w:tc>
        <w:tc>
          <w:tcPr>
            <w:tcW w:w="1400" w:type="dxa"/>
            <w:vAlign w:val="bottom"/>
            <w:gridSpan w:val="2"/>
          </w:tcPr>
          <w:p>
            <w:pPr>
              <w:jc w:val="right"/>
              <w:ind w:right="608"/>
              <w:spacing w:after="0"/>
              <w:rPr>
                <w:sz w:val="20"/>
                <w:szCs w:val="20"/>
                <w:color w:val="auto"/>
              </w:rPr>
            </w:pPr>
            <w:r>
              <w:rPr>
                <w:rFonts w:ascii="Arial" w:cs="Arial" w:eastAsia="Arial" w:hAnsi="Arial"/>
                <w:sz w:val="18"/>
                <w:szCs w:val="18"/>
                <w:color w:val="auto"/>
              </w:rPr>
              <w:t>22,400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92,471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58,508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92,471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58,508</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Total loans:</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period end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5,999,093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4,810,277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7"/>
              </w:rPr>
              <w:t>5,999,093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4,810,277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Average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w w:val="89"/>
              </w:rPr>
              <w:t>5,619,950</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4,690,196</w:t>
            </w:r>
          </w:p>
        </w:tc>
        <w:tc>
          <w:tcPr>
            <w:tcW w:w="120" w:type="dxa"/>
            <w:vAlign w:val="bottom"/>
          </w:tcPr>
          <w:p>
            <w:pPr>
              <w:spacing w:after="0"/>
              <w:rPr>
                <w:sz w:val="18"/>
                <w:szCs w:val="18"/>
                <w:color w:val="auto"/>
              </w:rPr>
            </w:pPr>
          </w:p>
        </w:tc>
        <w:tc>
          <w:tcPr>
            <w:tcW w:w="1400" w:type="dxa"/>
            <w:vAlign w:val="bottom"/>
            <w:gridSpan w:val="2"/>
          </w:tcPr>
          <w:p>
            <w:pPr>
              <w:jc w:val="right"/>
              <w:ind w:right="608"/>
              <w:spacing w:after="0"/>
              <w:rPr>
                <w:sz w:val="20"/>
                <w:szCs w:val="20"/>
                <w:color w:val="auto"/>
              </w:rPr>
            </w:pPr>
            <w:r>
              <w:rPr>
                <w:rFonts w:ascii="Arial" w:cs="Arial" w:eastAsia="Arial" w:hAnsi="Arial"/>
                <w:sz w:val="18"/>
                <w:szCs w:val="18"/>
                <w:color w:val="auto"/>
                <w:w w:val="87"/>
              </w:rPr>
              <w:t>5,512,005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4,598,355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 (annualized):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400" w:type="dxa"/>
            <w:vAlign w:val="bottom"/>
            <w:gridSpan w:val="2"/>
          </w:tcPr>
          <w:p>
            <w:pPr>
              <w:jc w:val="right"/>
              <w:ind w:right="44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Allowance as a percentage of period end loans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400" w:type="dxa"/>
            <w:vAlign w:val="bottom"/>
            <w:gridSpan w:val="2"/>
          </w:tcPr>
          <w:p>
            <w:pPr>
              <w:jc w:val="right"/>
              <w:ind w:right="608"/>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period end non-performing loans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Management believes that the allowance for loan losses at June 30, 2007 is adequate to absorb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Banks, may require adjustments to the provision for loan losses in future periods if, in their opinion, the results of their review warrant such additions.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summarizes non-performing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30,849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30,849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12,752</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43,601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8,805</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gridSpan w:val="2"/>
          </w:tcPr>
          <w:p>
            <w:pPr>
              <w:spacing w:after="0"/>
              <w:rPr>
                <w:sz w:val="20"/>
                <w:szCs w:val="20"/>
                <w:color w:val="auto"/>
              </w:rPr>
            </w:pPr>
            <w:r>
              <w:rPr>
                <w:rFonts w:ascii="Arial" w:cs="Arial" w:eastAsia="Arial" w:hAnsi="Arial"/>
                <w:sz w:val="18"/>
                <w:szCs w:val="18"/>
                <w:color w:val="auto"/>
              </w:rPr>
              <w:t>Non-performing loans as a percentage of total loans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Non-performing loans totaled $30.8 million at June 30, 2007, compared with $12.5 million at December 31, 2006 and $6.5 million at June 30, 2006. The increase in non-performing loans at June 30, 2007 is due to the $23.6 million in lot loans in the two real estate developments in Spruce Pine, North Carolina that were placed in the custody of a receiver by the North Carolina Attorney General. Excluding those loans the ratio of non-performing loans to total loans would be 12 basis points at June 30, 2007, down from both June 30, 2006 and December 31, 2006. Non-performing assets, which include non-performing loans and foreclosed real estate, totaled $43.6 million at June 30, 2007, compared with $13.7 million at December 31, 2006 and $8.8 million at June 30, 2006.</w:t>
      </w:r>
    </w:p>
    <w:p>
      <w:pPr>
        <w:spacing w:after="0" w:line="5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placed on non-accrual status, interest previously accrued, but not collected, is reversed against current interest revenue. Depending on management’s evaluation of the borrower and loan collateral, interest revenue on a non-accrual loan may be recognized on a cash basis as payments are received. There were no commitments to lend additional funds to customers whose loans were on non-accrual status at June 30, 2007.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ind w:right="440" w:firstLine="222"/>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w:t>
      </w:r>
    </w:p>
    <w:p>
      <w:pPr>
        <w:spacing w:after="0" w:line="79"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Total investment securities available for sale at quarter-end increased $239 million from a year ago. The growth in the investment securities portfolio was consistent with growth in the rest of the balance sheet. At June 30, 2007 and June 30, 2006, the securities portfolio accounted for approximately 15% of total assets. At December 31, 2006, the securities portfolio as a percentage of assets was 16%.</w:t>
      </w:r>
    </w:p>
    <w:p>
      <w:pPr>
        <w:spacing w:after="0" w:line="73"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investment securities portfolio primarily consists of U.S. Government agency securities, U.S. Government sponsored agency mortgage-backed securities, non-agency mortgage-backed securities, and municipal securities. Mortgage-backed securities rely on the underlying pools of mortgage loans to provide a cash flow of principal and interest. The actual maturities of these securities will differ from the contractual maturities because loans underlying the securities may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timing of cash receipts and can result in the holding of a below market yielding asset for a longer time period.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deposits at June 30, 2007 were $6.4 billion, an increase of $1.4 billion, or 28%, from June 30, 2006. Total non-interest-bearing demand deposit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accounts of $773 million increased $111 million, or 17%, NOW accounts of $1.4 billion increased $341 million, or 31%, money market accounts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$505 million increased $306 million, or 154%, and savings accounts of $207 million increased $33 million, or 19% reflecting the acquisitions of First Bank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South, Southern National Bank and two branches in western North Carolina and the ongoing success of United’s initiatives to raise core deposits.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Excluding acquisitions, demand, NOW, money market and savings accounts increased $243 million, or 11%, from June 30, 2006.</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time deposits as of June 30, 2007 were $3.1 billion, an increase of $586 million, or 23%, from the second quarter of 2006. Time deposits less than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$100,000 totaled $1.7 billion, compared with $1.4 billion a year ago, an increase of 19%. Time deposits of $100,000 and greater totaled $1.4 billion compared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$1.1 billion at June 30, 2006, an increase of 29%. Although much of the increase was the result of the acquisitions, in 2006 time deposit rates lagged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rise in rates on comparable wholesale borrowings allowing us to aggressively fund our balance sheet with certificates of deposits at rates as much as 100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points below wholesale borrowing rates. In late 2006 and into early 2007, competition for time deposits drove rates above wholesale borrowings leading us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allow non-relationship time deposits to leave the bank in favor of lower priced wholesale funding sources. Despite the shift in funding toward wholesale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borrowings, our loan to deposit ratio remains below 100%.</w:t>
      </w:r>
    </w:p>
    <w:p>
      <w:pPr>
        <w:spacing w:after="0" w:line="10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United utilizes “brokered” time deposits, issued in certificates of less than $100,000, as an alternative source of cost-effective funding. Brokered time deposits outstanding at June 30, 2007 were $348 million compared with $340 million at June 30, 2006, an increase of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17" w:lineRule="exact"/>
        <w:rPr>
          <w:sz w:val="20"/>
          <w:szCs w:val="20"/>
          <w:color w:val="auto"/>
        </w:rPr>
      </w:pPr>
    </w:p>
    <w:p>
      <w:pPr>
        <w:ind w:right="100" w:firstLine="215"/>
        <w:spacing w:after="0" w:line="302" w:lineRule="auto"/>
        <w:rPr>
          <w:sz w:val="20"/>
          <w:szCs w:val="20"/>
          <w:color w:val="auto"/>
        </w:rPr>
      </w:pPr>
      <w:r>
        <w:rPr>
          <w:rFonts w:ascii="Arial" w:cs="Arial" w:eastAsia="Arial" w:hAnsi="Arial"/>
          <w:sz w:val="16"/>
          <w:szCs w:val="16"/>
          <w:color w:val="auto"/>
        </w:rPr>
        <w:t>At June 30, 2007, both of the Banks were shareholders in a Federal Home Loan Bank (“FHLB”). Through this affiliation, FHLB secured advances totaled $499 million and $459 million at June 30, 2007 and 2006, respectively. United anticipates continued utilization of this short and long-term source of funds. FHLB advances outstanding at June 30, 2007 had both fixed and floating interest rates ranging from 2.85% to 6.59%. Additional information regarding FHLB advances, including scheduled maturities, is provided in Note 10 to the consolidated financial statements included in United’s 2006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impact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79"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3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One of the tools management utilizes to estimate the sensitivity of net interest revenue to changes in interest rates is an interest rate simulation model. Such estimates are based upon a number of assumptions for various scenarios, including the level of balance sheet growth, deposit repricing characteristics and the rate of prepayments. The simulation model measures the potential change in net interest revenue over a twelve-month period under various interest rate scenarios. United’s baseline scenario assumes rates remain flat (“flat rate scenario”) over the next twelve months and is the scenario that all others are compared to in order to measure the change in net interest revenue. United runs ramp scenarios that assume gradual increases and decreases of 200 basis points each over the next twelve months. United’s policy for net interest revenue simulation is limited to a change from the flat rate scenario of less than 10% for the up or down 200 basis point ramp scenarios over twelve months. At June 30, 2007, United’s simulation model indicated that a 200 basis point increase in rates over the next twelve months would cause an approximate 1.7% increase in net interest revenue and a 200 basis point decrease in rates over the next twelve months would cause an approximate .8% decrease in net interest revenue.</w:t>
      </w:r>
    </w:p>
    <w:p>
      <w:pPr>
        <w:spacing w:after="0" w:line="5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June 30, 2007,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interest rate swap contracts outstanding at June 30,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Derivative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9"/>
              </w:rPr>
              <w:t>Notional</w:t>
            </w: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Rate</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Type/Maturity</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Received /</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Rate Paid</w:t>
            </w:r>
          </w:p>
        </w:tc>
        <w:tc>
          <w:tcPr>
            <w:tcW w:w="11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(8)</w:t>
            </w: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Floor Rate</w:t>
            </w:r>
          </w:p>
        </w:tc>
        <w:tc>
          <w:tcPr>
            <w:tcW w:w="1100" w:type="dxa"/>
            <w:vAlign w:val="bottom"/>
            <w:gridSpan w:val="2"/>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September 29, 2008 </w:t>
            </w:r>
            <w:r>
              <w:rPr>
                <w:rFonts w:ascii="Arial" w:cs="Arial" w:eastAsia="Arial" w:hAnsi="Arial"/>
                <w:sz w:val="15"/>
                <w:szCs w:val="15"/>
                <w:color w:val="auto"/>
              </w:rPr>
              <w:t>(1)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5.25%</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5.31%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 xml:space="preserve">June 18, 2008 </w:t>
            </w:r>
            <w:r>
              <w:rPr>
                <w:rFonts w:ascii="Arial" w:cs="Arial" w:eastAsia="Arial" w:hAnsi="Arial"/>
                <w:sz w:val="15"/>
                <w:szCs w:val="15"/>
                <w:color w:val="auto"/>
              </w:rPr>
              <w:t>(2)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5.15</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November 3, 2008 </w:t>
            </w:r>
            <w:r>
              <w:rPr>
                <w:rFonts w:ascii="Arial" w:cs="Arial" w:eastAsia="Arial" w:hAnsi="Arial"/>
                <w:sz w:val="15"/>
                <w:szCs w:val="15"/>
                <w:color w:val="auto"/>
              </w:rPr>
              <w:t>(3)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5.00</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00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5"/>
              </w:rPr>
              <w:t>5.14</w:t>
            </w:r>
          </w:p>
        </w:tc>
        <w:tc>
          <w:tcPr>
            <w:tcW w:w="72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5"/>
              </w:rPr>
              <w:t>5.08</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LIBOR Swaps (FHLB Advances)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 xml:space="preserve">January 5, 2009 </w:t>
            </w:r>
            <w:r>
              <w:rPr>
                <w:rFonts w:ascii="Arial" w:cs="Arial" w:eastAsia="Arial" w:hAnsi="Arial"/>
                <w:sz w:val="15"/>
                <w:szCs w:val="15"/>
                <w:color w:val="auto"/>
              </w:rPr>
              <w:t>(4)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5.06</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March 2, 2009 </w:t>
            </w:r>
            <w:r>
              <w:rPr>
                <w:rFonts w:ascii="Arial" w:cs="Arial" w:eastAsia="Arial" w:hAnsi="Arial"/>
                <w:sz w:val="15"/>
                <w:szCs w:val="15"/>
                <w:color w:val="auto"/>
              </w:rPr>
              <w:t>(5)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4.90</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00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5"/>
              </w:rPr>
              <w:t>4.98</w:t>
            </w:r>
          </w:p>
        </w:tc>
        <w:tc>
          <w:tcPr>
            <w:tcW w:w="72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5"/>
              </w:rPr>
              <w:t>5.20</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Fair Value Hedges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5.05</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Cash Flow Hedges: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15"/>
                <w:szCs w:val="15"/>
                <w:b w:val="1"/>
                <w:bCs w:val="1"/>
                <w:color w:val="auto"/>
              </w:rPr>
              <w:t>(6)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November 5, 2007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8.41</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 2008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8.40</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April 17, 2008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17, 2008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May 1, 2008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8.33</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2008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8.34</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August 4, 2008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8.32</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4, 2008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8.32</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February 1, 2009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8.31</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4, 2009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8.29</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June 11, 2010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8.26</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8.32</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b w:val="1"/>
                <w:bCs w:val="1"/>
                <w:color w:val="auto"/>
              </w:rPr>
              <w:t xml:space="preserve">Prime Floors (Prime Loans) </w:t>
            </w:r>
            <w:r>
              <w:rPr>
                <w:rFonts w:ascii="Arial" w:cs="Arial" w:eastAsia="Arial" w:hAnsi="Arial"/>
                <w:sz w:val="15"/>
                <w:szCs w:val="15"/>
                <w:b w:val="1"/>
                <w:bCs w:val="1"/>
                <w:color w:val="auto"/>
              </w:rPr>
              <w:t>(7)</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 2009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8.75</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May 1, 2009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8.75</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1, 2009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8.75</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November 1, 2009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75,000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8.75</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4, 2010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8.75</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May 4, 2010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100,000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8.75</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1, 2010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8.75</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August 4, 2010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8.75</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500,000</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600"/>
              <w:spacing w:after="0"/>
              <w:rPr>
                <w:sz w:val="20"/>
                <w:szCs w:val="20"/>
                <w:color w:val="auto"/>
              </w:rPr>
            </w:pPr>
            <w:r>
              <w:rPr>
                <w:rFonts w:ascii="Arial" w:cs="Arial" w:eastAsia="Arial" w:hAnsi="Arial"/>
                <w:sz w:val="18"/>
                <w:szCs w:val="18"/>
                <w:color w:val="auto"/>
              </w:rPr>
              <w:t>Total Cash Flow Hedges:</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1,030,000</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Derivative Contracts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1,120,000</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.0075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.2725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.3435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.1101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.1280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Prime rate as of June 30,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accrued interest</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United’s derivative financial instruments are classified as either cash flow or fair value hedges. The change in fair value of cash flow hedges is recognized in other comprehensive income. Fair value hedges recognize currently in earnings both the impact of the change in the fair value of the derivative financial instrument and the offsetting impact of the change in fair value of the hedged asset or liability. At June 30, 2007, United had interest rate swap contracts with a total notional amount of $530 million that were designated as cash flow hedges of prime based loans. United had interest rate floor contracts with a total notional of $500 million that were also designated as cash flow hedges of prime based loans. United also has five receive fixed, pay LIBOR swap contracts with a total notional of $90 million that were accounted for as fair value hedges of brokered deposits and fixed rate FHLB advances.</w:t>
      </w:r>
    </w:p>
    <w:p>
      <w:pPr>
        <w:spacing w:after="0" w:line="5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impact on the financial condition or results of operations. In order to mitigate potential credit risk, from time to time United may require the counterparties to derivative contracts to pledge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121" w:lineRule="exact"/>
        <w:rPr>
          <w:sz w:val="20"/>
          <w:szCs w:val="20"/>
          <w:color w:val="auto"/>
        </w:rPr>
      </w:pPr>
    </w:p>
    <w:p>
      <w:pPr>
        <w:ind w:right="200" w:firstLine="222"/>
        <w:spacing w:after="0" w:line="276" w:lineRule="auto"/>
        <w:rPr>
          <w:sz w:val="20"/>
          <w:szCs w:val="20"/>
          <w:color w:val="auto"/>
        </w:rPr>
      </w:pPr>
      <w:r>
        <w:rPr>
          <w:rFonts w:ascii="Arial" w:cs="Arial" w:eastAsia="Arial" w:hAnsi="Arial"/>
          <w:sz w:val="17"/>
          <w:szCs w:val="17"/>
          <w:color w:val="auto"/>
        </w:rPr>
        <w:t>The objective of liquidity management is to ensure that sufficient funding is available, at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64"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primary objectives of asset/liability management are to provide for adequate liquidity in order to meet the needs of customers and to maintain an optimal balance between interest-sensitive assets and interest-sensitive liabilities; so that United can also meet the investment requirements of its shareholders as market interest rates change. Daily monitoring of the sources and uses of funds is necessary to maintain a position that meets both requirements.</w:t>
      </w:r>
    </w:p>
    <w:p>
      <w:pPr>
        <w:spacing w:after="0" w:line="39"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Mortgage loans held for sale totaled $30.6 million at June 30, 2007, and typically turn over every 45 days as the closed loans are sold to investors in the secondary market.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liability section of the balance sheet provides liquidity through interest-bearing and noninterest-bearing deposit accounts. Federal funds purchased,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FHLB advances and securities sold under agreements to repurchase are additional sources of liquidity and represent United’s incremental borrowing capacity.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sources of liquidity are generally short-term in nature and are used as necessary to fund asset growth and meet other short-term liquidity needs.</w:t>
      </w:r>
    </w:p>
    <w:p>
      <w:pPr>
        <w:spacing w:after="0" w:line="114"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color w:val="auto"/>
        </w:rPr>
        <w:t>United has available a line of credit and a joint credit agreement at its holding company with other financial institutions totaling $75 million. At June 30, 2007, United had no outstanding balances on these credit facilities. United had sufficient qualifying collateral to increase FHLB advances by $425 million at June 30, 2007. United’s internal policy limits brokered deposits to 25% of total non-brokered deposits. At June 30, 2007, United had the capacity to increase brokered deposits by $1.156 billion and still remain within this limit.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disclosed in United’s consolidated statement of cash flows, net cash provided by operating activities was $47.0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2007. The major contributors in this category were net income of $31.3 million plus non cash expenses for depreciation, amortization and accretion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$6.7 million, provision for loan losses of $22.4 million, stock based compensation of $1.6 million, a decrease in mortgage loans held for sale of</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$4.7 million. Those sources were offset by uses including a decrease in accrued expenses and other liabilities of $13.3 million and an increase in other assets and accrued interest receivable of $5.7 million. Net cash used by investing activities of $249.0 million consisted primarily of a net increase in loans totaling $113.6 million, purchases of investment securities of $301 million, the purchase of Bank Owned Life Insurance of $50 million, purchases of premises and equipment of $20.4 million and cash paid for acquisitions of $4.3 million. Net cash provided by financing activities of $224.9 million consisted primarily of a net increase in deposits of $20.5 million and a net increase in federal funds purchased, repurchase agreements, and other short-term borrowings of</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$209.2 million that were offset by the use of cash for dividends paid of $7.3 million. In the opinion of management, the liquidity position at June 30, 2007 is sufficient to meet its expected cash flow requirements.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121"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Shareholders’ equity at June 30, 2007 was $828.7 million, an increase of $332.4 million, or 67%, from June 30, 2006. Accumulated other comprehensive income (loss) is not included in the calculation of regulatory capital adequacy ratios. Excluding the change in the accumulated other comprehensive income (loss), shareholders’ equity increased $326 million, or 63%, from June 30, 2006. Dividends of $8.3 million, or $.18 per share, were declared on common stock during the first six months of 2007, an increase of 29% from the amount declared in the same period in 2006 due to a 13% increase in the dividend rate and an increase in the number of outstanding shares primarily resulting from the acquisitions of First Bank of the South and Southern National Bank. The dividend payout ratio was 19% for the second quarters of 2007 and 2006 based on basic operating earnings per share. The dividend payout ratio for the second quarter of 2007 was 35% based on basic earnings per share determined in accordance with GAAP. Although, United retains a portion of its earnings in order to provide a cost-effective source of capital for continued growth and expansion, the company recognizes that cash dividends are an important component of shareholder value, and therefore, provides for cash dividends when earnings and capital levels permit.</w:t>
      </w:r>
    </w:p>
    <w:p>
      <w:pPr>
        <w:spacing w:after="0" w:line="5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United had in place a Board approved repurchase authorization of 1,000,000 shares of its outstanding common stock that expires on December 31, 2007. No purchases had been made under that authorization during the first half of 2007. At its July 19, 2007 meeting, United’s Board of Directors increased the authorization to 2,000,000 shares.</w:t>
      </w:r>
    </w:p>
    <w:p>
      <w:pPr>
        <w:spacing w:after="0" w:line="7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Stock Price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0"/>
                <w:szCs w:val="10"/>
                <w:color w:val="auto"/>
              </w:rPr>
            </w:pP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0"/>
                <w:szCs w:val="10"/>
                <w:color w:val="auto"/>
              </w:rPr>
            </w:pPr>
          </w:p>
        </w:tc>
        <w:tc>
          <w:tcPr>
            <w:tcW w:w="9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Close</w:t>
            </w:r>
          </w:p>
        </w:tc>
        <w:tc>
          <w:tcPr>
            <w:tcW w:w="2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Avg Daily</w:t>
            </w:r>
          </w:p>
        </w:tc>
        <w:tc>
          <w:tcPr>
            <w:tcW w:w="260" w:type="dxa"/>
            <w:vAlign w:val="bottom"/>
          </w:tcPr>
          <w:p>
            <w:pPr>
              <w:spacing w:after="0"/>
              <w:rPr>
                <w:sz w:val="10"/>
                <w:szCs w:val="10"/>
                <w:color w:val="auto"/>
              </w:rPr>
            </w:pP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0"/>
                <w:szCs w:val="10"/>
                <w:color w:val="auto"/>
              </w:rPr>
            </w:pP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0"/>
                <w:szCs w:val="10"/>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Close</w:t>
            </w:r>
          </w:p>
        </w:tc>
        <w:tc>
          <w:tcPr>
            <w:tcW w:w="24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Avg Daily</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Volume</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$34.98</w:t>
            </w:r>
          </w:p>
        </w:tc>
        <w:tc>
          <w:tcPr>
            <w:tcW w:w="1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$30.81</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$32.79</w:t>
            </w:r>
          </w:p>
        </w:tc>
        <w:tc>
          <w:tcPr>
            <w:tcW w:w="13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232,269</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$29.64</w:t>
            </w:r>
          </w:p>
        </w:tc>
        <w:tc>
          <w:tcPr>
            <w:tcW w:w="11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$26.02</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$28.15</w:t>
            </w:r>
          </w:p>
        </w:tc>
        <w:tc>
          <w:tcPr>
            <w:tcW w:w="1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59,252</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Second quarter</w:t>
            </w: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33.03</w:t>
            </w:r>
          </w:p>
        </w:tc>
        <w:tc>
          <w:tcPr>
            <w:tcW w:w="1160" w:type="dxa"/>
            <w:vAlign w:val="bottom"/>
            <w:gridSpan w:val="2"/>
          </w:tcPr>
          <w:p>
            <w:pPr>
              <w:jc w:val="right"/>
              <w:ind w:right="168"/>
              <w:spacing w:after="0"/>
              <w:rPr>
                <w:sz w:val="20"/>
                <w:szCs w:val="20"/>
                <w:color w:val="auto"/>
              </w:rPr>
            </w:pPr>
            <w:r>
              <w:rPr>
                <w:rFonts w:ascii="Arial" w:cs="Arial" w:eastAsia="Arial" w:hAnsi="Arial"/>
                <w:sz w:val="18"/>
                <w:szCs w:val="18"/>
                <w:color w:val="auto"/>
              </w:rPr>
              <w:t>25.80</w:t>
            </w:r>
          </w:p>
        </w:tc>
        <w:tc>
          <w:tcPr>
            <w:tcW w:w="1140" w:type="dxa"/>
            <w:vAlign w:val="bottom"/>
            <w:gridSpan w:val="2"/>
          </w:tcPr>
          <w:p>
            <w:pPr>
              <w:jc w:val="right"/>
              <w:ind w:right="168"/>
              <w:spacing w:after="0"/>
              <w:rPr>
                <w:sz w:val="20"/>
                <w:szCs w:val="20"/>
                <w:color w:val="auto"/>
              </w:rPr>
            </w:pPr>
            <w:r>
              <w:rPr>
                <w:rFonts w:ascii="Arial" w:cs="Arial" w:eastAsia="Arial" w:hAnsi="Arial"/>
                <w:sz w:val="18"/>
                <w:szCs w:val="18"/>
                <w:color w:val="auto"/>
              </w:rPr>
              <w:t>25.89</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266,682</w:t>
            </w: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31.26</w:t>
            </w:r>
          </w:p>
        </w:tc>
        <w:tc>
          <w:tcPr>
            <w:tcW w:w="1180" w:type="dxa"/>
            <w:vAlign w:val="bottom"/>
            <w:gridSpan w:val="2"/>
          </w:tcPr>
          <w:p>
            <w:pPr>
              <w:jc w:val="right"/>
              <w:ind w:right="188"/>
              <w:spacing w:after="0"/>
              <w:rPr>
                <w:sz w:val="20"/>
                <w:szCs w:val="20"/>
                <w:color w:val="auto"/>
              </w:rPr>
            </w:pPr>
            <w:r>
              <w:rPr>
                <w:rFonts w:ascii="Arial" w:cs="Arial" w:eastAsia="Arial" w:hAnsi="Arial"/>
                <w:sz w:val="18"/>
                <w:szCs w:val="18"/>
                <w:color w:val="auto"/>
              </w:rPr>
              <w:t>27.02</w:t>
            </w: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30.44</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92,937</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33.10</w:t>
            </w:r>
          </w:p>
        </w:tc>
        <w:tc>
          <w:tcPr>
            <w:tcW w:w="11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27.51</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30.05</w:t>
            </w:r>
          </w:p>
        </w:tc>
        <w:tc>
          <w:tcPr>
            <w:tcW w:w="1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86,495</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Fourth quarter</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33.37</w:t>
            </w:r>
          </w:p>
        </w:tc>
        <w:tc>
          <w:tcPr>
            <w:tcW w:w="1180" w:type="dxa"/>
            <w:vAlign w:val="bottom"/>
            <w:gridSpan w:val="2"/>
          </w:tcPr>
          <w:p>
            <w:pPr>
              <w:jc w:val="right"/>
              <w:ind w:right="188"/>
              <w:spacing w:after="0"/>
              <w:rPr>
                <w:sz w:val="20"/>
                <w:szCs w:val="20"/>
                <w:color w:val="auto"/>
              </w:rPr>
            </w:pPr>
            <w:r>
              <w:rPr>
                <w:rFonts w:ascii="Arial" w:cs="Arial" w:eastAsia="Arial" w:hAnsi="Arial"/>
                <w:sz w:val="18"/>
                <w:szCs w:val="18"/>
                <w:color w:val="auto"/>
              </w:rPr>
              <w:t>29.03</w:t>
            </w: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32.32</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87,626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increase in the average daily trading volume in the first half of 2007 resulted from United’s inclusion in Standard &amp; Poors’ SmallCap 600 index on March 9, 2007.</w:t>
      </w:r>
    </w:p>
    <w:p>
      <w:pPr>
        <w:spacing w:after="0" w:line="62" w:lineRule="exact"/>
        <w:rPr>
          <w:sz w:val="20"/>
          <w:szCs w:val="20"/>
          <w:color w:val="auto"/>
        </w:rPr>
      </w:pPr>
    </w:p>
    <w:p>
      <w:pPr>
        <w:ind w:right="300" w:firstLine="222"/>
        <w:spacing w:after="0" w:line="308" w:lineRule="auto"/>
        <w:rPr>
          <w:sz w:val="20"/>
          <w:szCs w:val="20"/>
          <w:color w:val="auto"/>
        </w:rPr>
      </w:pPr>
      <w:r>
        <w:rPr>
          <w:rFonts w:ascii="Arial" w:cs="Arial" w:eastAsia="Arial" w:hAnsi="Arial"/>
          <w:sz w:val="17"/>
          <w:szCs w:val="17"/>
          <w:color w:val="auto"/>
        </w:rPr>
        <w:t>The following table presents the quarterly cash dividends declared in 2007 and 2006 and the respective payout ratios as a percentage of basic operating earnings per share, which excludes the effect of a $15 million special fraud-related loan loss provision in the second quarter of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Dividend Payout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2007</w:t>
            </w:r>
          </w:p>
        </w:tc>
        <w:tc>
          <w:tcPr>
            <w:tcW w:w="8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4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b w:val="1"/>
                <w:bCs w:val="1"/>
                <w:color w:val="auto"/>
              </w:rPr>
              <w:t>Dividend</w:t>
            </w:r>
          </w:p>
        </w:tc>
        <w:tc>
          <w:tcPr>
            <w:tcW w:w="8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Payout %</w:t>
            </w:r>
          </w:p>
        </w:tc>
        <w:tc>
          <w:tcPr>
            <w:tcW w:w="560" w:type="dxa"/>
            <w:vAlign w:val="bottom"/>
          </w:tcPr>
          <w:p>
            <w:pPr>
              <w:spacing w:after="0"/>
              <w:rPr>
                <w:sz w:val="12"/>
                <w:szCs w:val="12"/>
                <w:color w:val="auto"/>
              </w:rPr>
            </w:pPr>
          </w:p>
        </w:tc>
        <w:tc>
          <w:tcPr>
            <w:tcW w:w="8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Dividend</w:t>
            </w:r>
          </w:p>
        </w:tc>
        <w:tc>
          <w:tcPr>
            <w:tcW w:w="1440" w:type="dxa"/>
            <w:vAlign w:val="bottom"/>
            <w:tcBorders>
              <w:bottom w:val="single" w:sz="8" w:color="auto"/>
            </w:tcBorders>
          </w:tcPr>
          <w:p>
            <w:pPr>
              <w:jc w:val="center"/>
              <w:ind w:left="496"/>
              <w:spacing w:after="0" w:line="142" w:lineRule="exact"/>
              <w:rPr>
                <w:sz w:val="20"/>
                <w:szCs w:val="20"/>
                <w:color w:val="auto"/>
              </w:rPr>
            </w:pPr>
            <w:r>
              <w:rPr>
                <w:rFonts w:ascii="Arial" w:cs="Arial" w:eastAsia="Arial" w:hAnsi="Arial"/>
                <w:sz w:val="14"/>
                <w:szCs w:val="14"/>
                <w:b w:val="1"/>
                <w:bCs w:val="1"/>
                <w:color w:val="auto"/>
                <w:w w:val="98"/>
              </w:rPr>
              <w:t>Payout %</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4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$.09</w:t>
            </w: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$.08</w:t>
            </w:r>
          </w:p>
        </w:tc>
        <w:tc>
          <w:tcPr>
            <w:tcW w:w="144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Second quarter</w:t>
            </w:r>
          </w:p>
        </w:tc>
        <w:tc>
          <w:tcPr>
            <w:tcW w:w="1440" w:type="dxa"/>
            <w:vAlign w:val="bottom"/>
          </w:tcPr>
          <w:p>
            <w:pPr>
              <w:jc w:val="right"/>
              <w:ind w:right="799"/>
              <w:spacing w:after="0"/>
              <w:rPr>
                <w:sz w:val="20"/>
                <w:szCs w:val="20"/>
                <w:color w:val="auto"/>
              </w:rPr>
            </w:pPr>
            <w:r>
              <w:rPr>
                <w:rFonts w:ascii="Arial" w:cs="Arial" w:eastAsia="Arial" w:hAnsi="Arial"/>
                <w:sz w:val="18"/>
                <w:szCs w:val="18"/>
                <w:color w:val="auto"/>
              </w:rPr>
              <w:t>.09</w:t>
            </w:r>
          </w:p>
        </w:tc>
        <w:tc>
          <w:tcPr>
            <w:tcW w:w="880" w:type="dxa"/>
            <w:vAlign w:val="bottom"/>
          </w:tcPr>
          <w:p>
            <w:pPr>
              <w:ind w:left="360"/>
              <w:spacing w:after="0"/>
              <w:rPr>
                <w:sz w:val="20"/>
                <w:szCs w:val="20"/>
                <w:color w:val="auto"/>
              </w:rPr>
            </w:pPr>
            <w:r>
              <w:rPr>
                <w:rFonts w:ascii="Arial" w:cs="Arial" w:eastAsia="Arial" w:hAnsi="Arial"/>
                <w:sz w:val="18"/>
                <w:szCs w:val="18"/>
                <w:color w:val="auto"/>
              </w:rPr>
              <w:t>19</w:t>
            </w:r>
            <w:r>
              <w:rPr>
                <w:rFonts w:ascii="Arial" w:cs="Arial" w:eastAsia="Arial" w:hAnsi="Arial"/>
                <w:sz w:val="15"/>
                <w:szCs w:val="15"/>
                <w:color w:val="auto"/>
              </w:rPr>
              <w:t>*</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.08</w:t>
            </w:r>
          </w:p>
        </w:tc>
        <w:tc>
          <w:tcPr>
            <w:tcW w:w="1440" w:type="dxa"/>
            <w:vAlign w:val="bottom"/>
          </w:tcPr>
          <w:p>
            <w:pPr>
              <w:jc w:val="center"/>
              <w:ind w:left="496"/>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.08</w:t>
            </w:r>
          </w:p>
        </w:tc>
        <w:tc>
          <w:tcPr>
            <w:tcW w:w="144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Fourth quarter</w:t>
            </w: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.08</w:t>
            </w:r>
          </w:p>
        </w:tc>
        <w:tc>
          <w:tcPr>
            <w:tcW w:w="1440" w:type="dxa"/>
            <w:vAlign w:val="bottom"/>
          </w:tcPr>
          <w:p>
            <w:pPr>
              <w:jc w:val="center"/>
              <w:ind w:left="496"/>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basic operating earnings per share which excludes the effect of the $15 million special fraud-related provision for loan losses. Including the special provision, the dividend payout ratio was 35% for the second quarter of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risk-adjusted assets to determine the risk based capital ratios. The guidelines require an 8% total risk-based capital ratio, of which 4% must be Tier I capital. To be considered well capitalized under the guidelines, a 10% total risk-based capital ratio is required, of which 6% must be Tier I capital.</w:t>
      </w:r>
    </w:p>
    <w:p>
      <w:pPr>
        <w:spacing w:after="0" w:line="64" w:lineRule="exact"/>
        <w:rPr>
          <w:sz w:val="20"/>
          <w:szCs w:val="20"/>
          <w:color w:val="auto"/>
        </w:rPr>
      </w:pPr>
    </w:p>
    <w:p>
      <w:pPr>
        <w:ind w:right="140" w:firstLine="215"/>
        <w:spacing w:after="0" w:line="297"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United’s capital ratios, as calculated under regulatory guidelines, at June 30, 2007 and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ectPr>
          <w:pgSz w:w="11900" w:h="16838" w:orient="portrait"/>
          <w:cols w:equalWidth="0" w:num="1">
            <w:col w:w="11420"/>
          </w:cols>
          <w:pgMar w:left="240" w:top="419" w:right="239" w:bottom="1440" w:gutter="0" w:footer="0" w:header="0"/>
        </w:sectPr>
      </w:pPr>
    </w:p>
    <w:p>
      <w:pPr>
        <w:spacing w:after="0" w:line="202" w:lineRule="exact"/>
        <w:rPr>
          <w:sz w:val="20"/>
          <w:szCs w:val="20"/>
          <w:color w:val="auto"/>
        </w:rPr>
      </w:pPr>
    </w:p>
    <w:tbl>
      <w:tblPr>
        <w:tblLayout w:type="fixed"/>
        <w:tblInd w:w="5260" w:type="dxa"/>
        <w:tblCellMar>
          <w:top w:w="0" w:type="dxa"/>
          <w:left w:w="0" w:type="dxa"/>
          <w:bottom w:w="0" w:type="dxa"/>
          <w:right w:w="0" w:type="dxa"/>
        </w:tblCellMar>
      </w:tblPr>
      <w:tr>
        <w:trPr>
          <w:trHeight w:val="171"/>
        </w:trPr>
        <w:tc>
          <w:tcPr>
            <w:tcW w:w="10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1210"/>
              <w:spacing w:after="0"/>
              <w:rPr>
                <w:sz w:val="20"/>
                <w:szCs w:val="20"/>
                <w:color w:val="auto"/>
              </w:rPr>
            </w:pPr>
            <w:r>
              <w:rPr>
                <w:rFonts w:ascii="Arial" w:cs="Arial" w:eastAsia="Arial" w:hAnsi="Arial"/>
                <w:sz w:val="14"/>
                <w:szCs w:val="14"/>
                <w:b w:val="1"/>
                <w:bCs w:val="1"/>
                <w:color w:val="auto"/>
              </w:rPr>
              <w:t>2007</w:t>
            </w:r>
          </w:p>
        </w:tc>
      </w:tr>
      <w:tr>
        <w:trPr>
          <w:trHeight w:val="119"/>
        </w:trPr>
        <w:tc>
          <w:tcPr>
            <w:tcW w:w="1060" w:type="dxa"/>
            <w:vAlign w:val="bottom"/>
          </w:tcPr>
          <w:p>
            <w:pPr>
              <w:jc w:val="center"/>
              <w:ind w:left="71"/>
              <w:spacing w:after="0" w:line="119" w:lineRule="exact"/>
              <w:rPr>
                <w:sz w:val="20"/>
                <w:szCs w:val="20"/>
                <w:color w:val="auto"/>
              </w:rPr>
            </w:pPr>
            <w:r>
              <w:rPr>
                <w:rFonts w:ascii="Arial" w:cs="Arial" w:eastAsia="Arial" w:hAnsi="Arial"/>
                <w:sz w:val="13"/>
                <w:szCs w:val="13"/>
                <w:b w:val="1"/>
                <w:bCs w:val="1"/>
                <w:color w:val="auto"/>
              </w:rPr>
              <w:t>Actual</w:t>
            </w:r>
          </w:p>
        </w:tc>
        <w:tc>
          <w:tcPr>
            <w:tcW w:w="1780" w:type="dxa"/>
            <w:vAlign w:val="bottom"/>
          </w:tcPr>
          <w:p>
            <w:pPr>
              <w:jc w:val="center"/>
              <w:ind w:left="510"/>
              <w:spacing w:after="0" w:line="119" w:lineRule="exact"/>
              <w:rPr>
                <w:sz w:val="20"/>
                <w:szCs w:val="20"/>
                <w:color w:val="auto"/>
              </w:rPr>
            </w:pPr>
            <w:r>
              <w:rPr>
                <w:rFonts w:ascii="Arial" w:cs="Arial" w:eastAsia="Arial" w:hAnsi="Arial"/>
                <w:sz w:val="13"/>
                <w:szCs w:val="13"/>
                <w:b w:val="1"/>
                <w:bCs w:val="1"/>
                <w:color w:val="auto"/>
              </w:rPr>
              <w:t>Regulatory</w:t>
            </w:r>
          </w:p>
        </w:tc>
      </w:tr>
      <w:tr>
        <w:trPr>
          <w:trHeight w:val="171"/>
        </w:trPr>
        <w:tc>
          <w:tcPr>
            <w:tcW w:w="106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b w:val="1"/>
                <w:bCs w:val="1"/>
                <w:color w:val="auto"/>
                <w:w w:val="94"/>
              </w:rPr>
              <w:t>Amount</w:t>
            </w:r>
          </w:p>
        </w:tc>
        <w:tc>
          <w:tcPr>
            <w:tcW w:w="1780" w:type="dxa"/>
            <w:vAlign w:val="bottom"/>
            <w:tcBorders>
              <w:bottom w:val="single" w:sz="8" w:color="auto"/>
            </w:tcBorders>
          </w:tcPr>
          <w:p>
            <w:pPr>
              <w:jc w:val="center"/>
              <w:ind w:left="530"/>
              <w:spacing w:after="0"/>
              <w:rPr>
                <w:sz w:val="20"/>
                <w:szCs w:val="20"/>
                <w:color w:val="auto"/>
              </w:rPr>
            </w:pPr>
            <w:r>
              <w:rPr>
                <w:rFonts w:ascii="Arial" w:cs="Arial" w:eastAsia="Arial" w:hAnsi="Arial"/>
                <w:sz w:val="14"/>
                <w:szCs w:val="14"/>
                <w:b w:val="1"/>
                <w:bCs w:val="1"/>
                <w:color w:val="auto"/>
              </w:rPr>
              <w:t>Minimum</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1210"/>
              <w:spacing w:after="0"/>
              <w:rPr>
                <w:sz w:val="20"/>
                <w:szCs w:val="20"/>
                <w:color w:val="auto"/>
              </w:rPr>
            </w:pPr>
            <w:r>
              <w:rPr>
                <w:rFonts w:ascii="Arial" w:cs="Arial" w:eastAsia="Arial" w:hAnsi="Arial"/>
                <w:sz w:val="14"/>
                <w:szCs w:val="14"/>
                <w:b w:val="1"/>
                <w:bCs w:val="1"/>
                <w:color w:val="auto"/>
              </w:rPr>
              <w:t>2006</w:t>
            </w:r>
          </w:p>
        </w:tc>
      </w:tr>
      <w:tr>
        <w:trPr>
          <w:trHeight w:val="119"/>
        </w:trPr>
        <w:tc>
          <w:tcPr>
            <w:tcW w:w="1060" w:type="dxa"/>
            <w:vAlign w:val="bottom"/>
          </w:tcPr>
          <w:p>
            <w:pPr>
              <w:jc w:val="center"/>
              <w:ind w:left="71"/>
              <w:spacing w:after="0" w:line="119" w:lineRule="exact"/>
              <w:rPr>
                <w:sz w:val="20"/>
                <w:szCs w:val="20"/>
                <w:color w:val="auto"/>
              </w:rPr>
            </w:pPr>
            <w:r>
              <w:rPr>
                <w:rFonts w:ascii="Arial" w:cs="Arial" w:eastAsia="Arial" w:hAnsi="Arial"/>
                <w:sz w:val="13"/>
                <w:szCs w:val="13"/>
                <w:b w:val="1"/>
                <w:bCs w:val="1"/>
                <w:color w:val="auto"/>
              </w:rPr>
              <w:t>Actual</w:t>
            </w:r>
          </w:p>
        </w:tc>
        <w:tc>
          <w:tcPr>
            <w:tcW w:w="1800" w:type="dxa"/>
            <w:vAlign w:val="bottom"/>
          </w:tcPr>
          <w:p>
            <w:pPr>
              <w:jc w:val="center"/>
              <w:ind w:left="530"/>
              <w:spacing w:after="0" w:line="119" w:lineRule="exact"/>
              <w:rPr>
                <w:sz w:val="20"/>
                <w:szCs w:val="20"/>
                <w:color w:val="auto"/>
              </w:rPr>
            </w:pPr>
            <w:r>
              <w:rPr>
                <w:rFonts w:ascii="Arial" w:cs="Arial" w:eastAsia="Arial" w:hAnsi="Arial"/>
                <w:sz w:val="13"/>
                <w:szCs w:val="13"/>
                <w:b w:val="1"/>
                <w:bCs w:val="1"/>
                <w:color w:val="auto"/>
              </w:rPr>
              <w:t>Regulatory</w:t>
            </w:r>
          </w:p>
        </w:tc>
      </w:tr>
      <w:tr>
        <w:trPr>
          <w:trHeight w:val="171"/>
        </w:trPr>
        <w:tc>
          <w:tcPr>
            <w:tcW w:w="106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b w:val="1"/>
                <w:bCs w:val="1"/>
                <w:color w:val="auto"/>
                <w:w w:val="94"/>
              </w:rPr>
              <w:t>Amount</w:t>
            </w:r>
          </w:p>
        </w:tc>
        <w:tc>
          <w:tcPr>
            <w:tcW w:w="1800" w:type="dxa"/>
            <w:vAlign w:val="bottom"/>
            <w:tcBorders>
              <w:bottom w:val="single" w:sz="8" w:color="auto"/>
            </w:tcBorders>
          </w:tcPr>
          <w:p>
            <w:pPr>
              <w:jc w:val="center"/>
              <w:ind w:left="530"/>
              <w:spacing w:after="0"/>
              <w:rPr>
                <w:sz w:val="20"/>
                <w:szCs w:val="20"/>
                <w:color w:val="auto"/>
              </w:rPr>
            </w:pPr>
            <w:r>
              <w:rPr>
                <w:rFonts w:ascii="Arial" w:cs="Arial" w:eastAsia="Arial" w:hAnsi="Arial"/>
                <w:sz w:val="14"/>
                <w:szCs w:val="14"/>
                <w:b w:val="1"/>
                <w:bCs w:val="1"/>
                <w:color w:val="auto"/>
                <w:w w:val="97"/>
              </w:rPr>
              <w:t>Minimum</w:t>
            </w:r>
          </w:p>
        </w:tc>
      </w:tr>
    </w:tbl>
    <w:p>
      <w:pPr>
        <w:spacing w:after="0" w:line="200" w:lineRule="exact"/>
        <w:rPr>
          <w:sz w:val="20"/>
          <w:szCs w:val="20"/>
          <w:color w:val="auto"/>
        </w:rPr>
      </w:pPr>
    </w:p>
    <w:p>
      <w:pPr>
        <w:sectPr>
          <w:pgSz w:w="11900" w:h="16838" w:orient="portrait"/>
          <w:cols w:equalWidth="0" w:num="2">
            <w:col w:w="8100" w:space="460"/>
            <w:col w:w="2860"/>
          </w:cols>
          <w:pgMar w:left="240" w:top="419"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w:t>
            </w:r>
          </w:p>
        </w:tc>
        <w:tc>
          <w:tcPr>
            <w:tcW w:w="3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Amount</w:t>
            </w:r>
          </w:p>
        </w:tc>
        <w:tc>
          <w:tcPr>
            <w:tcW w:w="3300" w:type="dxa"/>
            <w:vAlign w:val="bottom"/>
          </w:tcPr>
          <w:p>
            <w:pPr>
              <w:jc w:val="right"/>
              <w:ind w:right="470"/>
              <w:spacing w:after="0"/>
              <w:rPr>
                <w:sz w:val="20"/>
                <w:szCs w:val="20"/>
                <w:color w:val="auto"/>
              </w:rPr>
            </w:pPr>
            <w:r>
              <w:rPr>
                <w:rFonts w:ascii="Arial" w:cs="Arial" w:eastAsia="Arial" w:hAnsi="Arial"/>
                <w:sz w:val="18"/>
                <w:szCs w:val="18"/>
                <w:color w:val="auto"/>
              </w:rPr>
              <w:t>$567,478</w:t>
            </w: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$216,007</w:t>
            </w: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$443,094</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$181,376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3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7.88%</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3.00%</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7.33%</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Tier I Risk-Based:</w:t>
            </w:r>
          </w:p>
        </w:tc>
        <w:tc>
          <w:tcPr>
            <w:tcW w:w="3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w:t>
            </w:r>
          </w:p>
        </w:tc>
        <w:tc>
          <w:tcPr>
            <w:tcW w:w="3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$567,478</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$253,182</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$443,094</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Ratio</w:t>
            </w:r>
          </w:p>
        </w:tc>
        <w:tc>
          <w:tcPr>
            <w:tcW w:w="3300" w:type="dxa"/>
            <w:vAlign w:val="bottom"/>
          </w:tcPr>
          <w:p>
            <w:pPr>
              <w:jc w:val="right"/>
              <w:ind w:right="330"/>
              <w:spacing w:after="0"/>
              <w:rPr>
                <w:sz w:val="20"/>
                <w:szCs w:val="20"/>
                <w:color w:val="auto"/>
              </w:rPr>
            </w:pPr>
            <w:r>
              <w:rPr>
                <w:rFonts w:ascii="Arial" w:cs="Arial" w:eastAsia="Arial" w:hAnsi="Arial"/>
                <w:sz w:val="18"/>
                <w:szCs w:val="18"/>
                <w:color w:val="auto"/>
              </w:rPr>
              <w:t>8.97%</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4.00%</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8.75%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Risk-Based:</w:t>
            </w:r>
          </w:p>
        </w:tc>
        <w:tc>
          <w:tcPr>
            <w:tcW w:w="3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Amount</w:t>
            </w:r>
          </w:p>
        </w:tc>
        <w:tc>
          <w:tcPr>
            <w:tcW w:w="3300" w:type="dxa"/>
            <w:vAlign w:val="bottom"/>
          </w:tcPr>
          <w:p>
            <w:pPr>
              <w:jc w:val="right"/>
              <w:ind w:right="470"/>
              <w:spacing w:after="0"/>
              <w:rPr>
                <w:sz w:val="20"/>
                <w:szCs w:val="20"/>
                <w:color w:val="auto"/>
              </w:rPr>
            </w:pPr>
            <w:r>
              <w:rPr>
                <w:rFonts w:ascii="Arial" w:cs="Arial" w:eastAsia="Arial" w:hAnsi="Arial"/>
                <w:sz w:val="18"/>
                <w:szCs w:val="18"/>
                <w:color w:val="auto"/>
              </w:rPr>
              <w:t>$713,237</w:t>
            </w: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$506,365</w:t>
            </w: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$571,202</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$405,134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3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11.27%</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8.00%</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11.28%</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73"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capital ratios of United and the Banks currently exceed the minimum ratios as defined by federal regulators. United monitors these ratios to ensure that United and the Banks remain above regulatory minimum guidelines.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 and Changing Prices</w:t>
      </w:r>
    </w:p>
    <w:p>
      <w:pPr>
        <w:spacing w:after="0" w:line="117" w:lineRule="exact"/>
        <w:rPr>
          <w:sz w:val="20"/>
          <w:szCs w:val="20"/>
          <w:color w:val="auto"/>
        </w:rPr>
      </w:pPr>
    </w:p>
    <w:p>
      <w:pPr>
        <w:ind w:right="520" w:firstLine="215"/>
        <w:spacing w:after="0" w:line="286" w:lineRule="auto"/>
        <w:rPr>
          <w:sz w:val="20"/>
          <w:szCs w:val="20"/>
          <w:color w:val="auto"/>
        </w:rPr>
      </w:pPr>
      <w:r>
        <w:rPr>
          <w:rFonts w:ascii="Arial" w:cs="Arial" w:eastAsia="Arial" w:hAnsi="Arial"/>
          <w:sz w:val="17"/>
          <w:szCs w:val="17"/>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impact on the growth of total assets and the resulting need to increase equity capital at higher than normal rates in order to maintain an appropriate equity to assets ratio.</w:t>
      </w:r>
    </w:p>
    <w:p>
      <w:pPr>
        <w:spacing w:after="0" w:line="57" w:lineRule="exact"/>
        <w:rPr>
          <w:sz w:val="20"/>
          <w:szCs w:val="20"/>
          <w:color w:val="auto"/>
        </w:rPr>
      </w:pPr>
    </w:p>
    <w:p>
      <w:pPr>
        <w:jc w:val="both"/>
        <w:ind w:right="320" w:firstLine="225"/>
        <w:spacing w:after="0" w:line="286" w:lineRule="auto"/>
        <w:rPr>
          <w:sz w:val="20"/>
          <w:szCs w:val="20"/>
          <w:color w:val="auto"/>
        </w:rPr>
      </w:pPr>
      <w:r>
        <w:rPr>
          <w:rFonts w:ascii="Arial" w:cs="Arial" w:eastAsia="Arial" w:hAnsi="Arial"/>
          <w:sz w:val="17"/>
          <w:szCs w:val="17"/>
          <w:color w:val="auto"/>
        </w:rPr>
        <w:t>United’s management believes the impact of inflation on financial results depends on United’s ability to react to changes in interest rates and, by such reaction, reduce the inflationary impact on performance. United has an asset/liability management program to manage interest rate sensitivity. In addition, periodic reviews of banking services and products are conducted to adjust pricing in view of current and expected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June 30, 2007 from that presented in the Annual Report on Form 10-K for the year ended December 31, 2006. The interest rate sensitivity position at June 30, 2007 is included in management’s discussion and analysis on page 23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June 30, 2007.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70"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There were no changes in United’s internal controls over financial reporting that occurred during United’s last fiscal quarter that have materially affected, or are reasonably likely to materially affect, United’s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700" w:right="200"/>
        <w:spacing w:after="0" w:line="264" w:lineRule="auto"/>
        <w:rPr>
          <w:sz w:val="20"/>
          <w:szCs w:val="20"/>
          <w:color w:val="auto"/>
        </w:rPr>
      </w:pPr>
      <w:r>
        <w:rPr>
          <w:rFonts w:ascii="Arial" w:cs="Arial" w:eastAsia="Arial" w:hAnsi="Arial"/>
          <w:sz w:val="18"/>
          <w:szCs w:val="18"/>
          <w:color w:val="auto"/>
        </w:rPr>
        <w:t>In the ordinary course of operations, United and the Banks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There have been no material changes from the risk factors previously disclosed in United’s Form 10-K for the year ended December 31, 2006.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Defaults upon Senior Securities </w:t>
      </w:r>
      <w:r>
        <w:rPr>
          <w:rFonts w:ascii="Arial" w:cs="Arial" w:eastAsia="Arial" w:hAnsi="Arial"/>
          <w:sz w:val="18"/>
          <w:szCs w:val="18"/>
          <w:color w:val="auto"/>
        </w:rPr>
        <w:t>—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United held its annual meeting of shareholders on April 25, 2007.</w:t>
      </w:r>
    </w:p>
    <w:p>
      <w:pPr>
        <w:spacing w:after="0" w:line="117"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At the annual meeting, the shareholders elected Jimmy C. Tallent, Robert L. Head, Jr., W.C. Nelson, Jr., A. William Bennett, Robert H. Blalock, Guy W. Freeman, Thomas C. Gilliland, Charles E. Hill, Hoyt O. Holloway, Clarence W. Mason, Sr., and Tim Wallis as directors to serve until the next annual meeting and until their successors are elected and qualified. Of the 43,026,669 shares outstanding on the record date, 34,028,084 shares were voted representing 79% of the outstanding shares. The elections were approved by the votes set forth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80" w:type="dxa"/>
            <w:vAlign w:val="bottom"/>
            <w:gridSpan w:val="2"/>
          </w:tcPr>
          <w:p>
            <w:pPr>
              <w:spacing w:after="0"/>
              <w:rPr>
                <w:sz w:val="20"/>
                <w:szCs w:val="20"/>
                <w:color w:val="auto"/>
              </w:rPr>
            </w:pPr>
            <w:r>
              <w:rPr>
                <w:rFonts w:ascii="Arial" w:cs="Arial" w:eastAsia="Arial" w:hAnsi="Arial"/>
                <w:sz w:val="14"/>
                <w:szCs w:val="14"/>
                <w:color w:val="auto"/>
              </w:rPr>
              <w:t>Election of Directors</w:t>
            </w:r>
          </w:p>
        </w:tc>
        <w:tc>
          <w:tcPr>
            <w:tcW w:w="4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1"/>
              </w:rPr>
              <w:t>Shares Voted in Favor</w:t>
            </w:r>
          </w:p>
        </w:tc>
        <w:tc>
          <w:tcPr>
            <w:tcW w:w="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Shares Withheld</w:t>
            </w:r>
          </w:p>
        </w:tc>
      </w:tr>
      <w:tr>
        <w:trPr>
          <w:trHeight w:val="210"/>
        </w:trPr>
        <w:tc>
          <w:tcPr>
            <w:tcW w:w="20" w:type="dxa"/>
            <w:vAlign w:val="bottom"/>
          </w:tcPr>
          <w:p>
            <w:pPr>
              <w:spacing w:after="0"/>
              <w:rPr>
                <w:sz w:val="18"/>
                <w:szCs w:val="18"/>
                <w:color w:val="auto"/>
              </w:rPr>
            </w:pPr>
          </w:p>
        </w:tc>
        <w:tc>
          <w:tcPr>
            <w:tcW w:w="7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48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33,423,855</w:t>
            </w:r>
          </w:p>
        </w:tc>
        <w:tc>
          <w:tcPr>
            <w:tcW w:w="4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604,229</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Robert L. Head, Jr.</w:t>
            </w:r>
          </w:p>
        </w:tc>
        <w:tc>
          <w:tcPr>
            <w:tcW w:w="236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33,161,802</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866,282</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W.C. Nelson, Jr.</w:t>
            </w:r>
          </w:p>
        </w:tc>
        <w:tc>
          <w:tcPr>
            <w:tcW w:w="23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33,186,769</w:t>
            </w:r>
          </w:p>
        </w:tc>
        <w:tc>
          <w:tcPr>
            <w:tcW w:w="18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841,315</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 William Bennett</w:t>
            </w:r>
          </w:p>
        </w:tc>
        <w:tc>
          <w:tcPr>
            <w:tcW w:w="236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33,381,791</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646,293</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Robert H. Blalock</w:t>
            </w:r>
          </w:p>
        </w:tc>
        <w:tc>
          <w:tcPr>
            <w:tcW w:w="23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33,788,243</w:t>
            </w:r>
          </w:p>
        </w:tc>
        <w:tc>
          <w:tcPr>
            <w:tcW w:w="18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239,841</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Guy W. Freeman</w:t>
            </w:r>
          </w:p>
        </w:tc>
        <w:tc>
          <w:tcPr>
            <w:tcW w:w="236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33,182,172</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845,912</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Thomas C. Gilliland</w:t>
            </w:r>
          </w:p>
        </w:tc>
        <w:tc>
          <w:tcPr>
            <w:tcW w:w="23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33,269,168</w:t>
            </w:r>
          </w:p>
        </w:tc>
        <w:tc>
          <w:tcPr>
            <w:tcW w:w="18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758,916</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Charles E. Hill</w:t>
            </w:r>
          </w:p>
        </w:tc>
        <w:tc>
          <w:tcPr>
            <w:tcW w:w="236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33,573,789</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454,295</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Hoyt O. Holloway</w:t>
            </w:r>
          </w:p>
        </w:tc>
        <w:tc>
          <w:tcPr>
            <w:tcW w:w="23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33,479,946</w:t>
            </w:r>
          </w:p>
        </w:tc>
        <w:tc>
          <w:tcPr>
            <w:tcW w:w="18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548,138</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Clarence W. Mason, Sr.</w:t>
            </w:r>
          </w:p>
        </w:tc>
        <w:tc>
          <w:tcPr>
            <w:tcW w:w="236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33,580,605</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447,479</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Tim Wallis</w:t>
            </w:r>
          </w:p>
        </w:tc>
        <w:tc>
          <w:tcPr>
            <w:tcW w:w="23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33,787,574</w:t>
            </w:r>
          </w:p>
        </w:tc>
        <w:tc>
          <w:tcPr>
            <w:tcW w:w="18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240,510</w:t>
            </w:r>
          </w:p>
        </w:tc>
      </w:tr>
    </w:tbl>
    <w:p>
      <w:pPr>
        <w:spacing w:after="0" w:line="94"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Shareholders also voted on proposals to approve the Amended and Restated 2000 Key Employee Stock Option Plan and to implement a new Management Incentive Plan. Both proposals were approved by the votes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Proposals</w:t>
            </w:r>
          </w:p>
        </w:tc>
        <w:tc>
          <w:tcPr>
            <w:tcW w:w="38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Shares Voted in Favor</w:t>
            </w:r>
          </w:p>
        </w:tc>
        <w:tc>
          <w:tcPr>
            <w:tcW w:w="380" w:type="dxa"/>
            <w:vAlign w:val="bottom"/>
          </w:tcPr>
          <w:p>
            <w:pPr>
              <w:spacing w:after="0"/>
              <w:rPr>
                <w:sz w:val="14"/>
                <w:szCs w:val="14"/>
                <w:color w:val="auto"/>
              </w:rPr>
            </w:pPr>
          </w:p>
        </w:tc>
        <w:tc>
          <w:tcPr>
            <w:tcW w:w="1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Shares Voted Against</w:t>
            </w:r>
          </w:p>
        </w:tc>
        <w:tc>
          <w:tcPr>
            <w:tcW w:w="400" w:type="dxa"/>
            <w:vAlign w:val="bottom"/>
          </w:tcPr>
          <w:p>
            <w:pPr>
              <w:spacing w:after="0"/>
              <w:rPr>
                <w:sz w:val="14"/>
                <w:szCs w:val="14"/>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Shares Withheld</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w w:val="99"/>
              </w:rPr>
              <w:t>Amended and Restated 2000 Key Employee Stock Option Plan</w:t>
            </w:r>
          </w:p>
        </w:tc>
        <w:tc>
          <w:tcPr>
            <w:tcW w:w="3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26,889,660</w:t>
            </w:r>
          </w:p>
        </w:tc>
        <w:tc>
          <w:tcPr>
            <w:tcW w:w="380" w:type="dxa"/>
            <w:vAlign w:val="bottom"/>
          </w:tcPr>
          <w:p>
            <w:pPr>
              <w:spacing w:after="0"/>
              <w:rPr>
                <w:sz w:val="19"/>
                <w:szCs w:val="19"/>
                <w:color w:val="auto"/>
              </w:rPr>
            </w:pPr>
          </w:p>
        </w:tc>
        <w:tc>
          <w:tcPr>
            <w:tcW w:w="1780" w:type="dxa"/>
            <w:vAlign w:val="bottom"/>
          </w:tcPr>
          <w:p>
            <w:pPr>
              <w:jc w:val="right"/>
              <w:ind w:right="439"/>
              <w:spacing w:after="0"/>
              <w:rPr>
                <w:sz w:val="20"/>
                <w:szCs w:val="20"/>
                <w:color w:val="auto"/>
              </w:rPr>
            </w:pPr>
            <w:r>
              <w:rPr>
                <w:rFonts w:ascii="Arial" w:cs="Arial" w:eastAsia="Arial" w:hAnsi="Arial"/>
                <w:sz w:val="18"/>
                <w:szCs w:val="18"/>
                <w:color w:val="auto"/>
              </w:rPr>
              <w:t>1,015,469</w:t>
            </w:r>
          </w:p>
        </w:tc>
        <w:tc>
          <w:tcPr>
            <w:tcW w:w="400" w:type="dxa"/>
            <w:vAlign w:val="bottom"/>
          </w:tcPr>
          <w:p>
            <w:pPr>
              <w:spacing w:after="0"/>
              <w:rPr>
                <w:sz w:val="19"/>
                <w:szCs w:val="19"/>
                <w:color w:val="auto"/>
              </w:rPr>
            </w:pPr>
          </w:p>
        </w:tc>
        <w:tc>
          <w:tcPr>
            <w:tcW w:w="1540" w:type="dxa"/>
            <w:vAlign w:val="bottom"/>
          </w:tcPr>
          <w:p>
            <w:pPr>
              <w:jc w:val="right"/>
              <w:ind w:right="319"/>
              <w:spacing w:after="0"/>
              <w:rPr>
                <w:sz w:val="20"/>
                <w:szCs w:val="20"/>
                <w:color w:val="auto"/>
              </w:rPr>
            </w:pPr>
            <w:r>
              <w:rPr>
                <w:rFonts w:ascii="Arial" w:cs="Arial" w:eastAsia="Arial" w:hAnsi="Arial"/>
                <w:sz w:val="18"/>
                <w:szCs w:val="18"/>
                <w:color w:val="auto"/>
              </w:rPr>
              <w:t>6,122,956</w:t>
            </w: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Management Annual Incentive Plan</w:t>
            </w:r>
          </w:p>
        </w:tc>
        <w:tc>
          <w:tcPr>
            <w:tcW w:w="22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33,033,737</w:t>
            </w:r>
          </w:p>
        </w:tc>
        <w:tc>
          <w:tcPr>
            <w:tcW w:w="2160" w:type="dxa"/>
            <w:vAlign w:val="bottom"/>
            <w:gridSpan w:val="2"/>
          </w:tcPr>
          <w:p>
            <w:pPr>
              <w:jc w:val="right"/>
              <w:ind w:right="439"/>
              <w:spacing w:after="0"/>
              <w:rPr>
                <w:sz w:val="20"/>
                <w:szCs w:val="20"/>
                <w:color w:val="auto"/>
              </w:rPr>
            </w:pPr>
            <w:r>
              <w:rPr>
                <w:rFonts w:ascii="Arial" w:cs="Arial" w:eastAsia="Arial" w:hAnsi="Arial"/>
                <w:sz w:val="18"/>
                <w:szCs w:val="18"/>
                <w:color w:val="auto"/>
              </w:rPr>
              <w:t>717,961</w:t>
            </w:r>
          </w:p>
        </w:tc>
        <w:tc>
          <w:tcPr>
            <w:tcW w:w="1940" w:type="dxa"/>
            <w:vAlign w:val="bottom"/>
            <w:gridSpan w:val="2"/>
          </w:tcPr>
          <w:p>
            <w:pPr>
              <w:jc w:val="right"/>
              <w:ind w:right="319"/>
              <w:spacing w:after="0"/>
              <w:rPr>
                <w:sz w:val="20"/>
                <w:szCs w:val="20"/>
                <w:color w:val="auto"/>
              </w:rPr>
            </w:pPr>
            <w:r>
              <w:rPr>
                <w:rFonts w:ascii="Arial" w:cs="Arial" w:eastAsia="Arial" w:hAnsi="Arial"/>
                <w:sz w:val="18"/>
                <w:szCs w:val="18"/>
                <w:color w:val="auto"/>
              </w:rPr>
              <w:t>276,386</w:t>
            </w:r>
          </w:p>
        </w:tc>
      </w:tr>
      <w:tr>
        <w:trPr>
          <w:trHeight w:val="432"/>
        </w:trPr>
        <w:tc>
          <w:tcPr>
            <w:tcW w:w="5040" w:type="dxa"/>
            <w:vAlign w:val="bottom"/>
          </w:tcPr>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 None</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5040" w:type="dxa"/>
            <w:vAlign w:val="bottom"/>
          </w:tcPr>
          <w:p>
            <w:pPr>
              <w:spacing w:after="0"/>
              <w:rPr>
                <w:sz w:val="24"/>
                <w:szCs w:val="24"/>
                <w:color w:val="auto"/>
              </w:rPr>
            </w:pPr>
          </w:p>
        </w:tc>
        <w:tc>
          <w:tcPr>
            <w:tcW w:w="2280" w:type="dxa"/>
            <w:vAlign w:val="bottom"/>
            <w:gridSpan w:val="2"/>
          </w:tcPr>
          <w:p>
            <w:pPr>
              <w:jc w:val="right"/>
              <w:ind w:right="1439"/>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6"/>
        </w:trPr>
        <w:tc>
          <w:tcPr>
            <w:tcW w:w="50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540" w:right="200" w:hanging="526"/>
        <w:spacing w:after="0" w:line="342" w:lineRule="auto"/>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of United Community Banks, Inc., (incorporated herein by reference to Exhibit 3.1 to United Community Banks, Inc.’s Quarterly Report on Form 10-Q for the quarter ended June 30, 2001, File No. 0-21656, filed with the Commission on August 14, 2001).</w:t>
      </w:r>
    </w:p>
    <w:p>
      <w:pPr>
        <w:spacing w:after="0" w:line="124" w:lineRule="exact"/>
        <w:rPr>
          <w:sz w:val="20"/>
          <w:szCs w:val="20"/>
          <w:color w:val="auto"/>
        </w:rPr>
      </w:pPr>
    </w:p>
    <w:p>
      <w:pPr>
        <w:ind w:left="540" w:right="320" w:hanging="526"/>
        <w:spacing w:after="0" w:line="342" w:lineRule="auto"/>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the Restated Articles of Incorporation of United Community Banks, Inc. (incorporated herein by reference to Exhibit 3.3 to United Community Banks, Inc.’s Registration Statement on Form S-4, File No. 333-118893, filed with the Commission on September 9, 2004).</w:t>
      </w:r>
    </w:p>
    <w:p>
      <w:pPr>
        <w:spacing w:after="0" w:line="124" w:lineRule="exact"/>
        <w:rPr>
          <w:sz w:val="20"/>
          <w:szCs w:val="20"/>
          <w:color w:val="auto"/>
        </w:rPr>
      </w:pPr>
    </w:p>
    <w:p>
      <w:pPr>
        <w:ind w:left="540" w:right="100" w:hanging="526"/>
        <w:spacing w:after="0" w:line="264" w:lineRule="auto"/>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United Community Banks, Inc., dated September 12, 1997 (incorporated herein by reference to Exhibit 3.1 to United Community Banks, Inc.’s Annual Report on Form 10-K, for the year ended December 31, 1997, File No. 0-21656, filed with the Commission on March 27, 1998).</w:t>
      </w:r>
    </w:p>
    <w:p>
      <w:pPr>
        <w:spacing w:after="0" w:line="181" w:lineRule="exact"/>
        <w:rPr>
          <w:sz w:val="20"/>
          <w:szCs w:val="20"/>
          <w:color w:val="auto"/>
        </w:rPr>
      </w:pPr>
    </w:p>
    <w:p>
      <w:pPr>
        <w:ind w:left="540" w:right="160" w:hanging="526"/>
        <w:spacing w:after="0" w:line="277" w:lineRule="auto"/>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See Exhibits 3.1, 3.2 and 3.3 for provisions of the Restated Articles of Incorporation, as amended, and Amended and Restated Bylaws, which define the rights of the Shareholders.</w:t>
      </w:r>
    </w:p>
    <w:p>
      <w:pPr>
        <w:spacing w:after="0" w:line="170" w:lineRule="exact"/>
        <w:rPr>
          <w:sz w:val="20"/>
          <w:szCs w:val="20"/>
          <w:color w:val="auto"/>
        </w:rPr>
      </w:pPr>
    </w:p>
    <w:p>
      <w:pPr>
        <w:ind w:left="540" w:hanging="526"/>
        <w:spacing w:after="0" w:line="264" w:lineRule="auto"/>
        <w:tabs>
          <w:tab w:leader="none" w:pos="520" w:val="left"/>
        </w:tabs>
        <w:rPr>
          <w:sz w:val="20"/>
          <w:szCs w:val="20"/>
          <w:color w:val="auto"/>
        </w:rPr>
      </w:pPr>
      <w:r>
        <w:rPr>
          <w:rFonts w:ascii="Arial" w:cs="Arial" w:eastAsia="Arial" w:hAnsi="Arial"/>
          <w:sz w:val="18"/>
          <w:szCs w:val="18"/>
          <w:color w:val="auto"/>
        </w:rPr>
        <w:t>10.1</w:t>
        <w:tab/>
        <w:t>Amendment No. 1 to United Community Banks, Inc.’s Amended and Restated 2000 Key Employee Stock Option Plan (incorporated herein by reference to Exhibit 10.1 to United Community Banks, Inc.’s Form 8-K date April 13, 2007, File No. 0-21656, filed with the Commission on April 13, 2007).</w:t>
      </w:r>
    </w:p>
    <w:p>
      <w:pPr>
        <w:spacing w:after="0" w:line="181" w:lineRule="exact"/>
        <w:rPr>
          <w:sz w:val="20"/>
          <w:szCs w:val="20"/>
          <w:color w:val="auto"/>
        </w:rPr>
      </w:pPr>
    </w:p>
    <w:p>
      <w:pPr>
        <w:ind w:left="540" w:right="120" w:hanging="526"/>
        <w:spacing w:after="0" w:line="308" w:lineRule="auto"/>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United Community Banks, Inc.’s Amended and Restated 2000 Key Employee Stock Option Plan (incorporated herein by reference to Exhibit 10.1 to United Community Banks, Inc.’s Form 8-K dated May 1, 2007, File No. 0-21656, filed with the Commission on May 1, 2007).</w:t>
      </w:r>
    </w:p>
    <w:p>
      <w:pPr>
        <w:spacing w:after="0" w:line="147" w:lineRule="exact"/>
        <w:rPr>
          <w:sz w:val="20"/>
          <w:szCs w:val="20"/>
          <w:color w:val="auto"/>
        </w:rPr>
      </w:pPr>
    </w:p>
    <w:p>
      <w:pPr>
        <w:ind w:left="540" w:right="240" w:hanging="526"/>
        <w:spacing w:after="0" w:line="277" w:lineRule="auto"/>
        <w:tabs>
          <w:tab w:leader="none" w:pos="520" w:val="left"/>
        </w:tabs>
        <w:rPr>
          <w:sz w:val="20"/>
          <w:szCs w:val="20"/>
          <w:color w:val="auto"/>
        </w:rPr>
      </w:pPr>
      <w:r>
        <w:rPr>
          <w:rFonts w:ascii="Arial" w:cs="Arial" w:eastAsia="Arial" w:hAnsi="Arial"/>
          <w:sz w:val="18"/>
          <w:szCs w:val="18"/>
          <w:color w:val="auto"/>
        </w:rPr>
        <w:t>10.3</w:t>
        <w:tab/>
        <w:t>United Community Banks, Inc.’s Management Incentive Plan (incorporated herein by reference to Exhibit 10.5 to United Community Banks, Inc.’s Form 8-K dated May 1, 2007, File No. 0-21656, filed with the Commission on May 1, 2007).</w:t>
      </w:r>
    </w:p>
    <w:p>
      <w:pPr>
        <w:spacing w:after="0" w:line="170" w:lineRule="exact"/>
        <w:rPr>
          <w:sz w:val="20"/>
          <w:szCs w:val="20"/>
          <w:color w:val="auto"/>
        </w:rPr>
      </w:pPr>
    </w:p>
    <w:p>
      <w:pPr>
        <w:ind w:left="540" w:right="20" w:hanging="526"/>
        <w:spacing w:after="0" w:line="277" w:lineRule="auto"/>
        <w:tabs>
          <w:tab w:leader="none" w:pos="520" w:val="left"/>
        </w:tabs>
        <w:rPr>
          <w:sz w:val="20"/>
          <w:szCs w:val="20"/>
          <w:color w:val="auto"/>
        </w:rPr>
      </w:pPr>
      <w:r>
        <w:rPr>
          <w:rFonts w:ascii="Arial" w:cs="Arial" w:eastAsia="Arial" w:hAnsi="Arial"/>
          <w:sz w:val="18"/>
          <w:szCs w:val="18"/>
          <w:color w:val="auto"/>
        </w:rPr>
        <w:t>31.1</w:t>
        <w:tab/>
        <w:t>Certification by Jimmy C. Tallent, President and Chief Executive Officer of United Community Banks, Inc., as adopted pursuant to Section 302 of the Sarbanes-Oxley Act of 2002.</w:t>
      </w:r>
    </w:p>
    <w:p>
      <w:pPr>
        <w:spacing w:after="0" w:line="170" w:lineRule="exact"/>
        <w:rPr>
          <w:sz w:val="20"/>
          <w:szCs w:val="20"/>
          <w:color w:val="auto"/>
        </w:rPr>
      </w:pPr>
    </w:p>
    <w:p>
      <w:pPr>
        <w:ind w:left="540" w:right="400" w:hanging="526"/>
        <w:spacing w:after="0" w:line="277" w:lineRule="auto"/>
        <w:tabs>
          <w:tab w:leader="none" w:pos="520" w:val="left"/>
        </w:tabs>
        <w:rPr>
          <w:sz w:val="20"/>
          <w:szCs w:val="20"/>
          <w:color w:val="auto"/>
        </w:rPr>
      </w:pPr>
      <w:r>
        <w:rPr>
          <w:rFonts w:ascii="Arial" w:cs="Arial" w:eastAsia="Arial" w:hAnsi="Arial"/>
          <w:sz w:val="18"/>
          <w:szCs w:val="18"/>
          <w:color w:val="auto"/>
        </w:rPr>
        <w:t>31.2</w:t>
        <w:tab/>
        <w:t>Certification by Rex S. Schuette, Executive Vice President and Chief Financial Officer of United Community Banks, Inc., as adopted pursuant to Section 302 of the Sarbanes-Oxley Act of 2002.</w:t>
      </w:r>
    </w:p>
    <w:p>
      <w:pPr>
        <w:spacing w:after="0" w:line="170" w:lineRule="exact"/>
        <w:rPr>
          <w:sz w:val="20"/>
          <w:szCs w:val="20"/>
          <w:color w:val="auto"/>
        </w:rPr>
      </w:pPr>
    </w:p>
    <w:p>
      <w:pPr>
        <w:ind w:left="5620" w:right="2140" w:hanging="5612"/>
        <w:spacing w:after="0" w:line="496" w:lineRule="auto"/>
        <w:tabs>
          <w:tab w:leader="none" w:pos="531"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August 8, 2007</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40"/>
          </w:cols>
          <w:pgMar w:left="240" w:top="419" w:right="1019" w:bottom="1440" w:gutter="0" w:footer="0" w:header="0"/>
        </w:sectPr>
      </w:pPr>
    </w:p>
    <w:bookmarkStart w:id="36" w:name="page37"/>
    <w:bookmarkEnd w:id="36"/>
    <w:p>
      <w:pPr>
        <w:ind w:left="5240"/>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President and Chief Executive Officer of United Community Banks, Inc. (the “registrant”), certify that:</w:t>
      </w:r>
    </w:p>
    <w:p>
      <w:pPr>
        <w:spacing w:after="0" w:line="11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100" w:firstLine="4"/>
        <w:spacing w:after="0" w:line="308" w:lineRule="auto"/>
        <w:tabs>
          <w:tab w:leader="none" w:pos="65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right="64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460" w:firstLine="4"/>
        <w:spacing w:after="0" w:line="277" w:lineRule="auto"/>
        <w:tabs>
          <w:tab w:leader="none" w:pos="6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August 8, 2007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58" w:right="239" w:bottom="1440" w:gutter="0" w:footer="0" w:header="0"/>
        </w:sectPr>
      </w:pPr>
    </w:p>
    <w:bookmarkStart w:id="37" w:name="page38"/>
    <w:bookmarkEnd w:id="37"/>
    <w:p>
      <w:pPr>
        <w:ind w:left="5240"/>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Executive Vice President and Chief Financial Officer of United Community Banks, Inc. (the “registrant”), certify that:</w:t>
      </w:r>
    </w:p>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100" w:firstLine="4"/>
        <w:spacing w:after="0" w:line="308" w:lineRule="auto"/>
        <w:tabs>
          <w:tab w:leader="none" w:pos="65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right="64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460" w:firstLine="4"/>
        <w:spacing w:after="0" w:line="277" w:lineRule="auto"/>
        <w:tabs>
          <w:tab w:leader="none" w:pos="64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August 8, 2007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59" w:right="239" w:bottom="1440" w:gutter="0" w:footer="0" w:header="0"/>
        </w:sectPr>
      </w:pPr>
    </w:p>
    <w:bookmarkStart w:id="38" w:name="page39"/>
    <w:bookmarkEnd w:id="38"/>
    <w:p>
      <w:pPr>
        <w:ind w:left="5320"/>
        <w:spacing w:after="0"/>
        <w:rPr>
          <w:sz w:val="20"/>
          <w:szCs w:val="20"/>
          <w:color w:val="auto"/>
        </w:rPr>
      </w:pPr>
      <w:r>
        <w:rPr>
          <w:rFonts w:ascii="Arial" w:cs="Arial" w:eastAsia="Arial" w:hAnsi="Arial"/>
          <w:sz w:val="18"/>
          <w:szCs w:val="18"/>
          <w:b w:val="1"/>
          <w:bCs w:val="1"/>
          <w:color w:val="auto"/>
        </w:rPr>
        <w:t>Exhibit 32</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2007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7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August 8, 2007</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sectPr>
      <w:pgSz w:w="11900" w:h="16838" w:orient="portrait"/>
      <w:cols w:equalWidth="0" w:num="1">
        <w:col w:w="11260"/>
      </w:cols>
      <w:pgMar w:left="240" w:top="95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2019-12-13T18:50:04Z</dcterms:created>
  <dcterms:modified xsi:type="dcterms:W3CDTF">2019-12-13T18:50:04Z</dcterms:modified>
</cp:coreProperties>
</file>