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598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w w:val="91"/>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1"/>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24"/>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Blairsville, Georgia</w:t>
            </w:r>
          </w:p>
        </w:tc>
        <w:tc>
          <w:tcPr>
            <w:tcW w:w="5980" w:type="dxa"/>
            <w:vAlign w:val="bottom"/>
            <w:gridSpan w:val="2"/>
          </w:tcPr>
          <w:p>
            <w:pPr>
              <w:jc w:val="center"/>
              <w:ind w:left="2179"/>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(Zip code)</w:t>
            </w:r>
          </w:p>
        </w:tc>
      </w:tr>
      <w:tr>
        <w:trPr>
          <w:trHeight w:val="29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Arial" w:cs="Arial" w:eastAsia="Arial" w:hAnsi="Arial"/>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Common stock, par value $1 per share</w:t>
            </w:r>
          </w:p>
        </w:tc>
        <w:tc>
          <w:tcPr>
            <w:tcW w:w="280" w:type="dxa"/>
            <w:vAlign w:val="bottom"/>
          </w:tcPr>
          <w:p>
            <w:pPr>
              <w:spacing w:after="0"/>
              <w:rPr>
                <w:sz w:val="17"/>
                <w:szCs w:val="17"/>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UCBI</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47"/>
        </w:trPr>
        <w:tc>
          <w:tcPr>
            <w:tcW w:w="47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280" w:type="dxa"/>
            <w:vAlign w:val="bottom"/>
          </w:tcPr>
          <w:p>
            <w:pPr>
              <w:spacing w:after="0"/>
              <w:rPr>
                <w:sz w:val="12"/>
                <w:szCs w:val="12"/>
                <w:color w:val="auto"/>
              </w:rPr>
            </w:pPr>
          </w:p>
        </w:tc>
        <w:tc>
          <w:tcPr>
            <w:tcW w:w="234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rPr>
              <w:t>UCBIO</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spacing w:after="0" w:line="21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89,293,000 shares of the registrant’s common stock, par value $1 per share, outstanding as of 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6"/>
            <w:shd w:val="clear" w:color="auto" w:fill="CCEEFF"/>
          </w:tcPr>
          <w:p>
            <w:pPr>
              <w:spacing w:after="0"/>
              <w:rPr>
                <w:rFonts w:ascii="Arial" w:cs="Arial" w:eastAsia="Arial" w:hAnsi="Arial"/>
                <w:sz w:val="18"/>
                <w:szCs w:val="18"/>
                <w:b w:val="1"/>
                <w:bCs w:val="1"/>
                <w:color w:val="0000FF"/>
                <w:w w:val="89"/>
              </w:rPr>
            </w:pPr>
            <w:hyperlink w:anchor="page2">
              <w:r>
                <w:rPr>
                  <w:rFonts w:ascii="Arial" w:cs="Arial" w:eastAsia="Arial" w:hAnsi="Arial"/>
                  <w:sz w:val="18"/>
                  <w:szCs w:val="18"/>
                  <w:b w:val="1"/>
                  <w:bCs w:val="1"/>
                  <w:color w:val="0000FF"/>
                  <w:w w:val="89"/>
                </w:rPr>
                <w:t>Glossary of Defined Terms</w:t>
              </w:r>
            </w:hyperlink>
          </w:p>
        </w:tc>
        <w:tc>
          <w:tcPr>
            <w:tcW w:w="7420" w:type="dxa"/>
            <w:vAlign w:val="bottom"/>
            <w:gridSpan w:val="16"/>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Forward Looking Statements</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 - Financial Information</w:t>
              </w:r>
            </w:hyperlink>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560" w:type="dxa"/>
            <w:vAlign w:val="bottom"/>
            <w:tcBorders>
              <w:top w:val="single" w:sz="8" w:color="CCEEFF"/>
            </w:tcBorders>
            <w:gridSpan w:val="4"/>
          </w:tcPr>
          <w:p>
            <w:pPr>
              <w:ind w:left="580"/>
              <w:spacing w:after="0"/>
              <w:rPr>
                <w:sz w:val="20"/>
                <w:szCs w:val="20"/>
                <w:color w:val="auto"/>
              </w:rPr>
            </w:pPr>
            <w:r>
              <w:rPr>
                <w:rFonts w:ascii="Arial" w:cs="Arial" w:eastAsia="Arial" w:hAnsi="Arial"/>
                <w:sz w:val="18"/>
                <w:szCs w:val="18"/>
                <w:b w:val="1"/>
                <w:bCs w:val="1"/>
                <w:color w:val="auto"/>
              </w:rPr>
              <w:t>Item 1.</w:t>
            </w:r>
          </w:p>
        </w:tc>
        <w:tc>
          <w:tcPr>
            <w:tcW w:w="2840" w:type="dxa"/>
            <w:vAlign w:val="bottom"/>
            <w:tcBorders>
              <w:top w:val="single" w:sz="8" w:color="CCEEFF"/>
            </w:tcBorders>
            <w:gridSpan w:val="9"/>
          </w:tcPr>
          <w:p>
            <w:pPr>
              <w:spacing w:after="0"/>
              <w:rPr>
                <w:sz w:val="20"/>
                <w:szCs w:val="20"/>
                <w:color w:val="auto"/>
              </w:rPr>
            </w:pPr>
            <w:r>
              <w:rPr>
                <w:rFonts w:ascii="Arial" w:cs="Arial" w:eastAsia="Arial" w:hAnsi="Arial"/>
                <w:sz w:val="18"/>
                <w:szCs w:val="18"/>
                <w:b w:val="1"/>
                <w:bCs w:val="1"/>
                <w:color w:val="auto"/>
              </w:rPr>
              <w:t>Financial Statements.</w:t>
            </w:r>
          </w:p>
        </w:tc>
        <w:tc>
          <w:tcPr>
            <w:tcW w:w="2440" w:type="dxa"/>
            <w:vAlign w:val="bottom"/>
            <w:tcBorders>
              <w:top w:val="single" w:sz="8" w:color="0000FF"/>
            </w:tcBorders>
            <w:gridSpan w:val="6"/>
          </w:tcPr>
          <w:p>
            <w:pPr>
              <w:spacing w:after="0"/>
              <w:rPr>
                <w:sz w:val="19"/>
                <w:szCs w:val="19"/>
                <w:color w:val="auto"/>
              </w:rPr>
            </w:pPr>
          </w:p>
        </w:tc>
        <w:tc>
          <w:tcPr>
            <w:tcW w:w="4200" w:type="dxa"/>
            <w:vAlign w:val="bottom"/>
            <w:tcBorders>
              <w:top w:val="single" w:sz="8" w:color="CCEEFF"/>
            </w:tcBorders>
            <w:gridSpan w:val="7"/>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Consolidated Balance Sheets (unaudited) at September 30, 2021 and December 31,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w w:val="95"/>
              </w:rPr>
            </w:pPr>
            <w:hyperlink w:anchor="page5">
              <w:r>
                <w:rPr>
                  <w:rFonts w:ascii="Arial" w:cs="Arial" w:eastAsia="Arial" w:hAnsi="Arial"/>
                  <w:sz w:val="18"/>
                  <w:szCs w:val="18"/>
                  <w:b w:val="1"/>
                  <w:bCs w:val="1"/>
                  <w:color w:val="0000FF"/>
                  <w:w w:val="95"/>
                </w:rPr>
                <w:t>Consolidated Statements of Income (unaudited) for the Three and Nine Months Ended September 30, 2021 and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w w:val="94"/>
              </w:rPr>
            </w:pPr>
            <w:hyperlink w:anchor="page6">
              <w:r>
                <w:rPr>
                  <w:rFonts w:ascii="Arial" w:cs="Arial" w:eastAsia="Arial" w:hAnsi="Arial"/>
                  <w:sz w:val="18"/>
                  <w:szCs w:val="18"/>
                  <w:b w:val="1"/>
                  <w:bCs w:val="1"/>
                  <w:color w:val="0000FF"/>
                  <w:w w:val="94"/>
                </w:rPr>
                <w:t>Consolidated Statements of Comprehensive Income (unaudited) for the Three and Nine Months Ended September 30,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156"/>
        </w:trPr>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20" w:type="dxa"/>
            <w:vAlign w:val="bottom"/>
            <w:tcBorders>
              <w:top w:val="single" w:sz="8" w:color="0000FF"/>
            </w:tcBorders>
            <w:gridSpan w:val="21"/>
          </w:tcPr>
          <w:p>
            <w:pPr>
              <w:spacing w:after="0" w:line="156"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2021 and 2020</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w w:val="99"/>
              </w:rPr>
            </w:pPr>
            <w:hyperlink w:anchor="page7">
              <w:r>
                <w:rPr>
                  <w:rFonts w:ascii="Arial" w:cs="Arial" w:eastAsia="Arial" w:hAnsi="Arial"/>
                  <w:sz w:val="18"/>
                  <w:szCs w:val="18"/>
                  <w:b w:val="1"/>
                  <w:bCs w:val="1"/>
                  <w:color w:val="0000FF"/>
                  <w:w w:val="99"/>
                </w:rPr>
                <w:t>Consolidated Statements of Changes in Shareholders’ Equity (unaudited) for the Three and Nine Months Ended</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155"/>
        </w:trPr>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6"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September 30, 2021 and 2020</w:t>
              </w:r>
            </w:hyperlink>
          </w:p>
        </w:tc>
        <w:tc>
          <w:tcPr>
            <w:tcW w:w="86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Consolidated Statements of Cash Flows (unaudited) for the Nine Months Ended September 30, 2021 and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9">
              <w:r>
                <w:rPr>
                  <w:rFonts w:ascii="Arial" w:cs="Arial" w:eastAsia="Arial" w:hAnsi="Arial"/>
                  <w:sz w:val="18"/>
                  <w:szCs w:val="18"/>
                  <w:b w:val="1"/>
                  <w:bCs w:val="1"/>
                  <w:color w:val="0000FF"/>
                </w:rPr>
                <w:t>Notes to Consolidated Financial Statements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2.</w:t>
              </w:r>
            </w:hyperlink>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Management’s Discussion and Analysis of Financial Condition and Results of Operations.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Item 3.</w:t>
              </w:r>
            </w:hyperlink>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Quantitative and Qualitative Disclosures About Market Risk.</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Item 4.</w:t>
              </w:r>
            </w:hyperlink>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Controls and Procedures.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rFonts w:ascii="Arial" w:cs="Arial" w:eastAsia="Arial" w:hAnsi="Arial"/>
                <w:sz w:val="18"/>
                <w:szCs w:val="18"/>
                <w:b w:val="1"/>
                <w:bCs w:val="1"/>
                <w:color w:val="0000FF"/>
                <w:w w:val="96"/>
              </w:rPr>
            </w:pPr>
            <w:hyperlink w:anchor="page58">
              <w:r>
                <w:rPr>
                  <w:rFonts w:ascii="Arial" w:cs="Arial" w:eastAsia="Arial" w:hAnsi="Arial"/>
                  <w:sz w:val="18"/>
                  <w:szCs w:val="18"/>
                  <w:b w:val="1"/>
                  <w:bCs w:val="1"/>
                  <w:color w:val="0000FF"/>
                  <w:w w:val="96"/>
                </w:rPr>
                <w:t>PART II - Other Information</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Item 1.</w:t>
              </w:r>
            </w:hyperlink>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Legal Proceedings.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Item 1A.</w:t>
              </w:r>
            </w:hyperlink>
          </w:p>
        </w:tc>
        <w:tc>
          <w:tcPr>
            <w:tcW w:w="9480" w:type="dxa"/>
            <w:vAlign w:val="bottom"/>
            <w:gridSpan w:val="22"/>
            <w:shd w:val="clear" w:color="auto" w:fill="CCEEFF"/>
          </w:tcPr>
          <w:p>
            <w:pPr>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Risk Factors.</w:t>
              </w:r>
            </w:hyperlink>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Item 2.</w:t>
              </w:r>
            </w:hyperlink>
          </w:p>
        </w:tc>
        <w:tc>
          <w:tcPr>
            <w:tcW w:w="9480" w:type="dxa"/>
            <w:vAlign w:val="bottom"/>
            <w:gridSpan w:val="22"/>
          </w:tcPr>
          <w:p>
            <w:pPr>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Unregistered Sales of Equity Securities and Use of Proceeds.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Item 6.</w:t>
              </w:r>
            </w:hyperlink>
          </w:p>
        </w:tc>
        <w:tc>
          <w:tcPr>
            <w:tcW w:w="9480" w:type="dxa"/>
            <w:vAlign w:val="bottom"/>
            <w:gridSpan w:val="22"/>
            <w:shd w:val="clear" w:color="auto" w:fill="CCEEFF"/>
          </w:tcPr>
          <w:p>
            <w:pPr>
              <w:spacing w:after="0" w:line="189"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Exhibits.</w:t>
              </w:r>
            </w:hyperlink>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10-K</w:t>
            </w:r>
          </w:p>
        </w:tc>
        <w:tc>
          <w:tcPr>
            <w:tcW w:w="12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Report on Form 10-K for the year ended December 31, 2020</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ALCO</w:t>
            </w: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Aquesta</w:t>
            </w:r>
          </w:p>
        </w:tc>
        <w:tc>
          <w:tcPr>
            <w:tcW w:w="8580" w:type="dxa"/>
            <w:vAlign w:val="bottom"/>
          </w:tcPr>
          <w:p>
            <w:pPr>
              <w:ind w:left="20"/>
              <w:spacing w:after="0"/>
              <w:rPr>
                <w:sz w:val="20"/>
                <w:szCs w:val="20"/>
                <w:color w:val="auto"/>
              </w:rPr>
            </w:pPr>
            <w:r>
              <w:rPr>
                <w:rFonts w:ascii="Arial" w:cs="Arial" w:eastAsia="Arial" w:hAnsi="Arial"/>
                <w:sz w:val="18"/>
                <w:szCs w:val="18"/>
                <w:color w:val="auto"/>
              </w:rPr>
              <w:t>Aquesta Financial Holdings, Inc. and its wholly-owned subsidiary, Aquesta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Bank</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Board of Directors</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BOLI</w:t>
            </w:r>
          </w:p>
        </w:tc>
        <w:tc>
          <w:tcPr>
            <w:tcW w:w="8580" w:type="dxa"/>
            <w:vAlign w:val="bottom"/>
          </w:tcPr>
          <w:p>
            <w:pPr>
              <w:ind w:left="20"/>
              <w:spacing w:after="0"/>
              <w:rPr>
                <w:sz w:val="20"/>
                <w:szCs w:val="20"/>
                <w:color w:val="auto"/>
              </w:rPr>
            </w:pPr>
            <w:r>
              <w:rPr>
                <w:rFonts w:ascii="Arial" w:cs="Arial" w:eastAsia="Arial" w:hAnsi="Arial"/>
                <w:sz w:val="18"/>
                <w:szCs w:val="18"/>
                <w:color w:val="auto"/>
              </w:rPr>
              <w:t>Bank-owned life insurance</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Coronavirus Aid, Relief, and Economic Security Act</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CECL</w:t>
            </w:r>
          </w:p>
        </w:tc>
        <w:tc>
          <w:tcPr>
            <w:tcW w:w="8580" w:type="dxa"/>
            <w:vAlign w:val="bottom"/>
          </w:tcPr>
          <w:p>
            <w:pPr>
              <w:ind w:left="20"/>
              <w:spacing w:after="0"/>
              <w:rPr>
                <w:sz w:val="20"/>
                <w:szCs w:val="20"/>
                <w:color w:val="auto"/>
              </w:rPr>
            </w:pPr>
            <w:r>
              <w:rPr>
                <w:rFonts w:ascii="Arial" w:cs="Arial" w:eastAsia="Arial" w:hAnsi="Arial"/>
                <w:sz w:val="18"/>
                <w:szCs w:val="18"/>
                <w:color w:val="auto"/>
              </w:rPr>
              <w:t>Current expected credit loss model</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tier 1</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CME</w:t>
            </w:r>
          </w:p>
        </w:tc>
        <w:tc>
          <w:tcPr>
            <w:tcW w:w="8580" w:type="dxa"/>
            <w:vAlign w:val="bottom"/>
          </w:tcPr>
          <w:p>
            <w:pPr>
              <w:ind w:left="20"/>
              <w:spacing w:after="0"/>
              <w:rPr>
                <w:sz w:val="20"/>
                <w:szCs w:val="20"/>
                <w:color w:val="auto"/>
              </w:rPr>
            </w:pPr>
            <w:r>
              <w:rPr>
                <w:rFonts w:ascii="Arial" w:cs="Arial" w:eastAsia="Arial" w:hAnsi="Arial"/>
                <w:sz w:val="18"/>
                <w:szCs w:val="18"/>
                <w:color w:val="auto"/>
              </w:rPr>
              <w:t>Chicago Mercantile Exchange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(interchangeable with "United" below)</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CVA</w:t>
            </w:r>
          </w:p>
        </w:tc>
        <w:tc>
          <w:tcPr>
            <w:tcW w:w="8580" w:type="dxa"/>
            <w:vAlign w:val="bottom"/>
          </w:tcPr>
          <w:p>
            <w:pPr>
              <w:ind w:left="20"/>
              <w:spacing w:after="0"/>
              <w:rPr>
                <w:sz w:val="20"/>
                <w:szCs w:val="20"/>
                <w:color w:val="auto"/>
              </w:rPr>
            </w:pPr>
            <w:r>
              <w:rPr>
                <w:rFonts w:ascii="Arial" w:cs="Arial" w:eastAsia="Arial" w:hAnsi="Arial"/>
                <w:sz w:val="18"/>
                <w:szCs w:val="18"/>
                <w:color w:val="auto"/>
              </w:rPr>
              <w:t>Credit valuation adjustments</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FDIC</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 System</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FHLB</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Home Loan Bank</w:t>
            </w:r>
          </w:p>
        </w:tc>
      </w:tr>
      <w:tr>
        <w:trPr>
          <w:trHeight w:val="175"/>
        </w:trPr>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FinTrust</w:t>
            </w:r>
          </w:p>
        </w:tc>
        <w:tc>
          <w:tcPr>
            <w:tcW w:w="8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FinTrust Capital Partners, LLC, and its operating subsidiaries, FinTrust Capital Advisors, LLC, FinTrust Capital</w:t>
            </w:r>
          </w:p>
        </w:tc>
      </w:tr>
      <w:tr>
        <w:trPr>
          <w:trHeight w:val="230"/>
        </w:trPr>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Group, LLC and FinTrust Brokerage Services, LLC</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FTE</w:t>
            </w:r>
          </w:p>
        </w:tc>
        <w:tc>
          <w:tcPr>
            <w:tcW w:w="8580" w:type="dxa"/>
            <w:vAlign w:val="bottom"/>
          </w:tcPr>
          <w:p>
            <w:pPr>
              <w:ind w:left="20"/>
              <w:spacing w:after="0"/>
              <w:rPr>
                <w:sz w:val="20"/>
                <w:szCs w:val="20"/>
                <w:color w:val="auto"/>
              </w:rPr>
            </w:pPr>
            <w:r>
              <w:rPr>
                <w:rFonts w:ascii="Arial" w:cs="Arial" w:eastAsia="Arial" w:hAnsi="Arial"/>
                <w:sz w:val="18"/>
                <w:szCs w:val="18"/>
                <w:color w:val="auto"/>
              </w:rPr>
              <w:t>Fully taxable equivalent</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GSE</w:t>
            </w:r>
          </w:p>
        </w:tc>
        <w:tc>
          <w:tcPr>
            <w:tcW w:w="858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HELOC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equity lines of credit</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Holding 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on an unconsolidated basis</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HTM</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Held-to-maturity</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MBS</w:t>
            </w:r>
          </w:p>
        </w:tc>
        <w:tc>
          <w:tcPr>
            <w:tcW w:w="85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Negotiable order of withdrawal</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NPA</w:t>
            </w:r>
          </w:p>
        </w:tc>
        <w:tc>
          <w:tcPr>
            <w:tcW w:w="8580" w:type="dxa"/>
            <w:vAlign w:val="bottom"/>
          </w:tcPr>
          <w:p>
            <w:pPr>
              <w:ind w:left="20"/>
              <w:spacing w:after="0"/>
              <w:rPr>
                <w:sz w:val="20"/>
                <w:szCs w:val="20"/>
                <w:color w:val="auto"/>
              </w:rPr>
            </w:pPr>
            <w:r>
              <w:rPr>
                <w:rFonts w:ascii="Arial" w:cs="Arial" w:eastAsia="Arial" w:hAnsi="Arial"/>
                <w:sz w:val="18"/>
                <w:szCs w:val="18"/>
                <w:color w:val="auto"/>
              </w:rPr>
              <w:t>Nonperforming asset</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580" w:type="dxa"/>
            <w:vAlign w:val="bottom"/>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Reliant</w:t>
            </w:r>
          </w:p>
        </w:tc>
        <w:tc>
          <w:tcPr>
            <w:tcW w:w="8580" w:type="dxa"/>
            <w:vAlign w:val="bottom"/>
          </w:tcPr>
          <w:p>
            <w:pPr>
              <w:ind w:left="20"/>
              <w:spacing w:after="0"/>
              <w:rPr>
                <w:sz w:val="20"/>
                <w:szCs w:val="20"/>
                <w:color w:val="auto"/>
              </w:rPr>
            </w:pPr>
            <w:r>
              <w:rPr>
                <w:rFonts w:ascii="Arial" w:cs="Arial" w:eastAsia="Arial" w:hAnsi="Arial"/>
                <w:sz w:val="18"/>
                <w:szCs w:val="18"/>
                <w:color w:val="auto"/>
              </w:rPr>
              <w:t>Reliant Bancorp, Inc. and its wholly-owned subsidiary, Reliant Bank</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Report on Form 10-Q</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SBA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Small Business Administration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Seaside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Seaside National Bank &amp; Trust, subsidiary bank of Three Shores Bancorporation, Inc.</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8580" w:type="dxa"/>
            <w:vAlign w:val="bottom"/>
          </w:tcPr>
          <w:p>
            <w:pPr>
              <w:ind w:left="20"/>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TDR</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Troubled debt restructuring</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Three Shores</w:t>
            </w:r>
          </w:p>
        </w:tc>
        <w:tc>
          <w:tcPr>
            <w:tcW w:w="8580" w:type="dxa"/>
            <w:vAlign w:val="bottom"/>
          </w:tcPr>
          <w:p>
            <w:pPr>
              <w:ind w:left="20"/>
              <w:spacing w:after="0"/>
              <w:rPr>
                <w:sz w:val="20"/>
                <w:szCs w:val="20"/>
                <w:color w:val="auto"/>
              </w:rPr>
            </w:pPr>
            <w:r>
              <w:rPr>
                <w:rFonts w:ascii="Arial" w:cs="Arial" w:eastAsia="Arial" w:hAnsi="Arial"/>
                <w:sz w:val="18"/>
                <w:szCs w:val="18"/>
                <w:color w:val="auto"/>
              </w:rPr>
              <w:t>Three Shores Bancorporation, Inc., parent company of Seaside National Bank &amp; Trust</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Department of the Treasury</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United</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Department of Agriculture</w:t>
            </w:r>
          </w:p>
        </w:tc>
      </w:tr>
    </w:tbl>
    <w:p>
      <w:pPr>
        <w:spacing w:after="0" w:line="200" w:lineRule="exact"/>
        <w:rPr>
          <w:sz w:val="20"/>
          <w:szCs w:val="20"/>
          <w:color w:val="auto"/>
        </w:rPr>
      </w:pP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184"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continuing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recent, pending or future mergers or acquisitions, including our ability to successfully complete acquisitions and therefore, to integrate or expand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(e.g., tax),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arising out of the COVID-19 pandemic;</w:t>
      </w:r>
    </w:p>
    <w:p>
      <w:pPr>
        <w:ind w:left="340" w:right="2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9" w:lineRule="exact"/>
        <w:rPr>
          <w:rFonts w:ascii="Arial" w:cs="Arial" w:eastAsia="Arial" w:hAnsi="Arial"/>
          <w:sz w:val="18"/>
          <w:szCs w:val="18"/>
          <w:color w:val="auto"/>
        </w:rPr>
      </w:pPr>
    </w:p>
    <w:p>
      <w:pPr>
        <w:ind w:left="34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2020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hereof,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28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due from banks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148,896</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Interest-bearing deposits in banks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1,686,008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1,459,723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1,608,619</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Debt securities available-for-sale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4,251,436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 held-to-maturity (fair value $1,079,925 and $437,193,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Loans held for sale at fair value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and leases held for investment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11,191,037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allowance for credit losses - loans and leases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Loans and leases,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11,091,417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Premises and equipment,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218,489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owned life insurance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201,969</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Accrued interest receivable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47,672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tax asset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38,411</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Derivative financial instruments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86,666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and other 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381,823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226,405</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19,481,157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Deposits: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Noninterest-bearing demand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Interest-bearing deposits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10,372,898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9,842,067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deposits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16,865,417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247,139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326,956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financial instruments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17,358,799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15,786,844</w:t>
            </w:r>
          </w:p>
        </w:tc>
        <w:tc>
          <w:tcPr>
            <w:tcW w:w="0" w:type="dxa"/>
            <w:vAlign w:val="bottom"/>
          </w:tcPr>
          <w:p>
            <w:pPr>
              <w:spacing w:after="0"/>
              <w:rPr>
                <w:sz w:val="1"/>
                <w:szCs w:val="1"/>
                <w:color w:val="auto"/>
              </w:rPr>
            </w:pPr>
          </w:p>
        </w:tc>
      </w:tr>
      <w:tr>
        <w:trPr>
          <w:trHeight w:val="193"/>
        </w:trPr>
        <w:tc>
          <w:tcPr>
            <w:tcW w:w="8280" w:type="dxa"/>
            <w:vAlign w:val="bottom"/>
          </w:tcPr>
          <w:p>
            <w:pPr>
              <w:ind w:left="10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Preferred stock, $1 par value: 10,000,000 shares authorized;</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Series I, $25,000 per share liquidation preference; 4,000 shares issued and outstanding</w:t>
            </w:r>
          </w:p>
        </w:tc>
        <w:tc>
          <w:tcPr>
            <w:tcW w:w="2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280" w:type="dxa"/>
            <w:vAlign w:val="bottom"/>
          </w:tcPr>
          <w:p>
            <w:pPr>
              <w:ind w:left="220"/>
              <w:spacing w:after="0" w:line="166" w:lineRule="exact"/>
              <w:rPr>
                <w:sz w:val="20"/>
                <w:szCs w:val="20"/>
                <w:color w:val="auto"/>
              </w:rPr>
            </w:pPr>
            <w:r>
              <w:rPr>
                <w:rFonts w:ascii="Arial" w:cs="Arial" w:eastAsia="Arial" w:hAnsi="Arial"/>
                <w:sz w:val="16"/>
                <w:szCs w:val="16"/>
                <w:color w:val="auto"/>
              </w:rPr>
              <w:t>Common stock, $1 par value: 200,000,000 and 150,000,000 shares authorized, respectively;</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86,559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86,675</w:t>
            </w:r>
          </w:p>
        </w:tc>
        <w:tc>
          <w:tcPr>
            <w:tcW w:w="0" w:type="dxa"/>
            <w:vAlign w:val="bottom"/>
          </w:tcPr>
          <w:p>
            <w:pPr>
              <w:spacing w:after="0"/>
              <w:rPr>
                <w:sz w:val="1"/>
                <w:szCs w:val="1"/>
                <w:color w:val="auto"/>
              </w:rPr>
            </w:pPr>
          </w:p>
        </w:tc>
      </w:tr>
      <w:tr>
        <w:trPr>
          <w:trHeight w:val="209"/>
        </w:trPr>
        <w:tc>
          <w:tcPr>
            <w:tcW w:w="8280" w:type="dxa"/>
            <w:vAlign w:val="bottom"/>
          </w:tcPr>
          <w:p>
            <w:pPr>
              <w:ind w:left="320"/>
              <w:spacing w:after="0"/>
              <w:rPr>
                <w:sz w:val="20"/>
                <w:szCs w:val="20"/>
                <w:color w:val="auto"/>
              </w:rPr>
            </w:pPr>
            <w:r>
              <w:rPr>
                <w:rFonts w:ascii="Arial" w:cs="Arial" w:eastAsia="Arial" w:hAnsi="Arial"/>
                <w:sz w:val="16"/>
                <w:szCs w:val="16"/>
                <w:color w:val="auto"/>
              </w:rPr>
              <w:t>86,558,647 and 86,675,279 shares issued and outstanding, respectively</w:t>
            </w: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issuable: 588,258 and 600,834 shares,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Capital surplus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1,631,709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1,638,999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37,710</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2,122,358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3"/>
        </w:trPr>
        <w:tc>
          <w:tcPr>
            <w:tcW w:w="8280" w:type="dxa"/>
            <w:vAlign w:val="bottom"/>
          </w:tcPr>
          <w:p>
            <w:pPr>
              <w:ind w:left="320"/>
              <w:spacing w:after="0"/>
              <w:rPr>
                <w:sz w:val="20"/>
                <w:szCs w:val="20"/>
                <w:color w:val="auto"/>
              </w:rPr>
            </w:pPr>
            <w:r>
              <w:rPr>
                <w:rFonts w:ascii="Arial" w:cs="Arial" w:eastAsia="Arial" w:hAnsi="Arial"/>
                <w:sz w:val="16"/>
                <w:szCs w:val="16"/>
                <w:b w:val="1"/>
                <w:bCs w:val="1"/>
                <w:color w:val="auto"/>
              </w:rPr>
              <w:t>Total liabilities and shareholders'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19,481,157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6" w:right="27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88"/>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0"/>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w w:val="89"/>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181"/>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128,477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382,261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352,861</w:t>
            </w:r>
          </w:p>
        </w:tc>
        <w:tc>
          <w:tcPr>
            <w:tcW w:w="0" w:type="dxa"/>
            <w:vAlign w:val="bottom"/>
          </w:tcPr>
          <w:p>
            <w:pPr>
              <w:spacing w:after="0"/>
              <w:rPr>
                <w:sz w:val="1"/>
                <w:szCs w:val="1"/>
                <w:color w:val="auto"/>
              </w:rPr>
            </w:pPr>
          </w:p>
        </w:tc>
      </w:tr>
      <w:tr>
        <w:trPr>
          <w:trHeight w:val="135"/>
        </w:trPr>
        <w:tc>
          <w:tcPr>
            <w:tcW w:w="5920" w:type="dxa"/>
            <w:vAlign w:val="bottom"/>
          </w:tcPr>
          <w:p>
            <w:pPr>
              <w:ind w:left="140"/>
              <w:spacing w:after="0" w:line="135" w:lineRule="exact"/>
              <w:rPr>
                <w:sz w:val="20"/>
                <w:szCs w:val="20"/>
                <w:color w:val="auto"/>
              </w:rPr>
            </w:pPr>
            <w:r>
              <w:rPr>
                <w:rFonts w:ascii="Arial" w:cs="Arial" w:eastAsia="Arial" w:hAnsi="Arial"/>
                <w:sz w:val="14"/>
                <w:szCs w:val="14"/>
                <w:color w:val="auto"/>
              </w:rPr>
              <w:t>Investment securities, including tax exempt of $2,280 and $1,895 and $6,685 and</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18,540</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14,558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51,530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47,567</w:t>
            </w:r>
          </w:p>
        </w:tc>
        <w:tc>
          <w:tcPr>
            <w:tcW w:w="0" w:type="dxa"/>
            <w:vAlign w:val="bottom"/>
          </w:tcPr>
          <w:p>
            <w:pPr>
              <w:spacing w:after="0"/>
              <w:rPr>
                <w:sz w:val="1"/>
                <w:szCs w:val="1"/>
                <w:color w:val="auto"/>
              </w:rPr>
            </w:pPr>
          </w:p>
        </w:tc>
      </w:tr>
      <w:tr>
        <w:trPr>
          <w:trHeight w:val="186"/>
        </w:trPr>
        <w:tc>
          <w:tcPr>
            <w:tcW w:w="5920" w:type="dxa"/>
            <w:vAlign w:val="bottom"/>
          </w:tcPr>
          <w:p>
            <w:pPr>
              <w:ind w:left="220"/>
              <w:spacing w:after="0"/>
              <w:rPr>
                <w:sz w:val="20"/>
                <w:szCs w:val="20"/>
                <w:color w:val="auto"/>
              </w:rPr>
            </w:pPr>
            <w:r>
              <w:rPr>
                <w:rFonts w:ascii="Arial" w:cs="Arial" w:eastAsia="Arial" w:hAnsi="Arial"/>
                <w:sz w:val="14"/>
                <w:szCs w:val="14"/>
                <w:color w:val="auto"/>
              </w:rPr>
              <w:t>$4,988, respectively</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revenue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147,675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435,026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401,925</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35,344</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10,186</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6,636</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45,561</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revenue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411,479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356,364</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(Release of) provision for credit losses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77,527</w:t>
            </w: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152,073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106,661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448,382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278,837</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Service charges and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9,350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25,255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23,893</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 gains and other related fees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47,536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57,113</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Wealth management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12,881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6,019</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from sales of other loans, net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Securities gains, net</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23,074</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noninterest income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40,095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48,682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120,641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114,734</w:t>
            </w: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192,168</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155,343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569,023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393,571</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60,458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180,457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162,236</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Communications and equipment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19,462</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18,709</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public relations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Postage, printing and supplies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5,171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14,003</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Lending and loan servicing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8,525</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services - electronic banking</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FDIC assessments and other regulatory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intangibles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Merger-related and other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10,670</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noninterest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96,749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95,981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287,483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261,499</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95,419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132,072</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21,603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27,485</w:t>
            </w:r>
          </w:p>
        </w:tc>
        <w:tc>
          <w:tcPr>
            <w:tcW w:w="0" w:type="dxa"/>
            <w:vAlign w:val="bottom"/>
          </w:tcPr>
          <w:p>
            <w:pPr>
              <w:spacing w:after="0"/>
              <w:rPr>
                <w:sz w:val="1"/>
                <w:szCs w:val="1"/>
                <w:color w:val="auto"/>
              </w:rPr>
            </w:pPr>
          </w:p>
        </w:tc>
      </w:tr>
      <w:tr>
        <w:trPr>
          <w:trHeight w:val="211"/>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73,816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217,782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211,283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101,994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6"/>
        </w:trPr>
        <w:tc>
          <w:tcPr>
            <w:tcW w:w="59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81,815</w:t>
            </w:r>
          </w:p>
        </w:tc>
        <w:tc>
          <w:tcPr>
            <w:tcW w:w="0" w:type="dxa"/>
            <w:vAlign w:val="bottom"/>
          </w:tcPr>
          <w:p>
            <w:pPr>
              <w:spacing w:after="0"/>
              <w:rPr>
                <w:sz w:val="1"/>
                <w:szCs w:val="1"/>
                <w:color w:val="auto"/>
              </w:rPr>
            </w:pP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87,355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87,205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87,413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81,876</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Arial" w:cs="Arial" w:eastAsia="Arial" w:hAnsi="Arial"/>
                <w:sz w:val="16"/>
                <w:szCs w:val="16"/>
                <w:b w:val="1"/>
                <w:bCs w:val="1"/>
                <w:color w:val="auto"/>
                <w:w w:val="91"/>
              </w:rPr>
              <w:t>Three Months Ended September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3"/>
              </w:rPr>
              <w:t>Net of Tax</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86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(Expense)</w:t>
            </w:r>
          </w:p>
        </w:tc>
        <w:tc>
          <w:tcPr>
            <w:tcW w:w="9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(Expense)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181"/>
        </w:trPr>
        <w:tc>
          <w:tcPr>
            <w:tcW w:w="5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76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95,419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217,782</w:t>
            </w:r>
          </w:p>
        </w:tc>
        <w:tc>
          <w:tcPr>
            <w:tcW w:w="0" w:type="dxa"/>
            <w:vAlign w:val="bottom"/>
          </w:tcPr>
          <w:p>
            <w:pPr>
              <w:spacing w:after="0"/>
              <w:rPr>
                <w:sz w:val="1"/>
                <w:szCs w:val="1"/>
                <w:color w:val="auto"/>
              </w:rPr>
            </w:pPr>
          </w:p>
        </w:tc>
      </w:tr>
      <w:tr>
        <w:trPr>
          <w:trHeight w:val="201"/>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240"/>
              <w:spacing w:after="0"/>
              <w:rPr>
                <w:sz w:val="20"/>
                <w:szCs w:val="20"/>
                <w:color w:val="auto"/>
              </w:rPr>
            </w:pPr>
            <w:r>
              <w:rPr>
                <w:rFonts w:ascii="Arial" w:cs="Arial" w:eastAsia="Arial" w:hAnsi="Arial"/>
                <w:sz w:val="16"/>
                <w:szCs w:val="16"/>
                <w:color w:val="auto"/>
              </w:rPr>
              <w:t>Unrealized holding losses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(58,882)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15,766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(43,116)</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Reclassification adjustment for gains included in net income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Net unrealized losses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(18,915)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(58,923)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15,780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(43,143)</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260"/>
              <w:spacing w:after="0"/>
              <w:rPr>
                <w:sz w:val="20"/>
                <w:szCs w:val="20"/>
                <w:color w:val="auto"/>
              </w:rPr>
            </w:pPr>
            <w:r>
              <w:rPr>
                <w:rFonts w:ascii="Arial" w:cs="Arial" w:eastAsia="Arial" w:hAnsi="Arial"/>
                <w:sz w:val="16"/>
                <w:szCs w:val="16"/>
                <w:color w:val="auto"/>
              </w:rPr>
              <w:t>Unrealized holding gains on derivatives</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Reclassification of losses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95"/>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Net cash flow hedge activity</w:t>
            </w:r>
          </w:p>
        </w:tc>
        <w:tc>
          <w:tcPr>
            <w:tcW w:w="100" w:type="dxa"/>
            <w:vAlign w:val="bottom"/>
          </w:tcPr>
          <w:p>
            <w:pPr>
              <w:spacing w:after="0"/>
              <w:rPr>
                <w:sz w:val="16"/>
                <w:szCs w:val="16"/>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150"/>
        </w:trPr>
        <w:tc>
          <w:tcPr>
            <w:tcW w:w="566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6"/>
                <w:szCs w:val="16"/>
                <w:color w:val="auto"/>
              </w:rPr>
              <w:t>Amortization of prior service cost and actuarial losses included in net periodic</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pension cost for defined benefit pension plan</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other comprehensive loss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14,579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(39,643)</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77,348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59,362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47,607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132,072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(27,485)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104,587</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Unrealized gains on available-for-sale securities</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43,611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33,028</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Reclassification adjustment for gains included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195"/>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Net unrealized gains</w:t>
            </w:r>
          </w:p>
        </w:tc>
        <w:tc>
          <w:tcPr>
            <w:tcW w:w="100" w:type="dxa"/>
            <w:vAlign w:val="bottom"/>
          </w:tcPr>
          <w:p>
            <w:pPr>
              <w:spacing w:after="0"/>
              <w:rPr>
                <w:sz w:val="16"/>
                <w:szCs w:val="16"/>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32,473</w:t>
            </w:r>
          </w:p>
        </w:tc>
        <w:tc>
          <w:tcPr>
            <w:tcW w:w="0" w:type="dxa"/>
            <w:vAlign w:val="bottom"/>
          </w:tcPr>
          <w:p>
            <w:pPr>
              <w:spacing w:after="0"/>
              <w:rPr>
                <w:sz w:val="1"/>
                <w:szCs w:val="1"/>
                <w:color w:val="auto"/>
              </w:rPr>
            </w:pPr>
          </w:p>
        </w:tc>
      </w:tr>
      <w:tr>
        <w:trPr>
          <w:trHeight w:val="150"/>
        </w:trPr>
        <w:tc>
          <w:tcPr>
            <w:tcW w:w="566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6"/>
                <w:szCs w:val="16"/>
                <w:color w:val="auto"/>
              </w:rPr>
              <w:t>Amortization of losses included in net income on available-for-sale securities</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transferred to held-to-maturity</w:t>
            </w: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Unrealized holding losses on derivatives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01"/>
        </w:trPr>
        <w:tc>
          <w:tcPr>
            <w:tcW w:w="5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Reclassification of losses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7"/>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cash flow hedge activity</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48"/>
        </w:trPr>
        <w:tc>
          <w:tcPr>
            <w:tcW w:w="5660" w:type="dxa"/>
            <w:vAlign w:val="bottom"/>
            <w:gridSpan w:val="2"/>
          </w:tcPr>
          <w:p>
            <w:pPr>
              <w:ind w:left="140"/>
              <w:spacing w:after="0" w:line="148" w:lineRule="exact"/>
              <w:rPr>
                <w:sz w:val="20"/>
                <w:szCs w:val="20"/>
                <w:color w:val="auto"/>
              </w:rPr>
            </w:pPr>
            <w:r>
              <w:rPr>
                <w:rFonts w:ascii="Arial" w:cs="Arial" w:eastAsia="Arial" w:hAnsi="Arial"/>
                <w:sz w:val="16"/>
                <w:szCs w:val="16"/>
                <w:color w:val="auto"/>
              </w:rPr>
              <w:t>Amortization of prior service cost and actuarial losses included in net periodic</w:t>
            </w:r>
          </w:p>
        </w:tc>
        <w:tc>
          <w:tcPr>
            <w:tcW w:w="100" w:type="dxa"/>
            <w:vAlign w:val="bottom"/>
          </w:tcPr>
          <w:p>
            <w:pPr>
              <w:spacing w:after="0"/>
              <w:rPr>
                <w:sz w:val="12"/>
                <w:szCs w:val="12"/>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1"/>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pension cost for defined benefit pension plan</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32,791</w:t>
            </w:r>
          </w:p>
        </w:tc>
        <w:tc>
          <w:tcPr>
            <w:tcW w:w="0" w:type="dxa"/>
            <w:vAlign w:val="bottom"/>
          </w:tcPr>
          <w:p>
            <w:pPr>
              <w:spacing w:after="0"/>
              <w:rPr>
                <w:sz w:val="1"/>
                <w:szCs w:val="1"/>
                <w:color w:val="auto"/>
              </w:rPr>
            </w:pPr>
          </w:p>
        </w:tc>
      </w:tr>
      <w:tr>
        <w:trPr>
          <w:trHeight w:val="197"/>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60,122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175,348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137,378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Issuable</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78,335,127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78,335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1,480,464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64,990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1,771,645</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47,607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47,607</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Issuance of preferred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Common stock dividends ($0.18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(15,845)</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8,130,633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1"/>
              </w:rPr>
              <w:t>8,131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163,589</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56,259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86,611,114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86,611</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1,637,467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94,938</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41,185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1,967,255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86,664,894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86,665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10,650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1,636,875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244,006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11,668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2,086,286</w:t>
            </w: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73,816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73,816</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($0.20 per share)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(17,600)</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(342,744)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w w:val="97"/>
              </w:rPr>
              <w:t>(343)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86,558,647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1,631,709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298,503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2,122,358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79,013,729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1,635,692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104,587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104,587</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Issuance of preferred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96,422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8,130,633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163,589</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(826,482)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w w:val="97"/>
              </w:rPr>
              <w:t>(827)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(20,782)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Common stock dividends ($0.54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(44,458)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(44,458)</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141,887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w:t>
            </w: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86,611,114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86,611</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1,637,467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94,938</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41,185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1,967,255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86,675,279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86,675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10,855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1,638,999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136,869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37,710</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2,007,530</w:t>
            </w: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217,782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217,782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(39,643)</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(492,744)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w w:val="97"/>
              </w:rPr>
              <w:t>(493)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(15,101)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Common stock dividends ($0.58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(50,991)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(50,991)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171,938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71,875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86,558,647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1,631,709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298,503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2,122,358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5"/>
                <w:szCs w:val="15"/>
                <w:b w:val="1"/>
                <w:bCs w:val="1"/>
                <w:color w:val="auto"/>
                <w:w w:val="95"/>
              </w:rPr>
              <w:t>Nine Months Ended September 30,</w:t>
            </w:r>
          </w:p>
        </w:tc>
      </w:tr>
      <w:tr>
        <w:trPr>
          <w:trHeight w:val="198"/>
        </w:trPr>
        <w:tc>
          <w:tcPr>
            <w:tcW w:w="8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r>
      <w:tr>
        <w:trPr>
          <w:trHeight w:val="198"/>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217,782</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104,587</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amortization and accretion,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(8,082)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5,332</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(Release of) provision for credit losses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77,527</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Stock based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5,939</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 expense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Securities gains,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(746)</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Gains from sales of other loans,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(3,889)</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Changes in assets and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 and accrued interest receivable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(44,570)</w:t>
            </w:r>
          </w:p>
        </w:tc>
      </w:tr>
      <w:tr>
        <w:trPr>
          <w:trHeight w:val="198"/>
        </w:trPr>
        <w:tc>
          <w:tcPr>
            <w:tcW w:w="8360" w:type="dxa"/>
            <w:vAlign w:val="bottom"/>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21,597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(20,869)</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Loans held for sale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37,009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(69,875)</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282,912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53,625</w:t>
            </w:r>
          </w:p>
        </w:tc>
      </w:tr>
      <w:tr>
        <w:trPr>
          <w:trHeight w:val="187"/>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securities held-to-maturity: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51,770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45,171</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(716,399)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(105,622)</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Debt securities available-for-sale: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sales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40,365</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709,435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604,180</w:t>
            </w:r>
          </w:p>
        </w:tc>
      </w:tr>
      <w:tr>
        <w:trPr>
          <w:trHeight w:val="206"/>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(1,909,879)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(668,484)</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decrease (increase) in loans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234,855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(1,523,516)</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investments, outflows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(13,071)</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Equity investments, inflows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sales of premises and equipment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641</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Purchases of premises and equipment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(19,733)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(5,991)</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cash (paid for) received in acquisition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194,606</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sale of other real estate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466</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outflows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investing inflows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4,836</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(1,556,847)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(1,426,369)</w:t>
            </w:r>
          </w:p>
        </w:tc>
      </w:t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increase in deposits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1,634,947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1,904,549</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long-term debt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FHLB advances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5,000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FHLB advances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(134,121)</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issuance of senior debentures, net of issuance costs</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98,552</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common stock for dividend reinvestment and employee benefit plans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1,078</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Cash paid for shares withheld to cover payroll taxes upon vesting of restricted stock units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(2,640)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Series I preferred stock, net of issuance costs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96,422</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Repurchase of common stock</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(15,101)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(20,782)</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dividends on common stock</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(43,067)</w:t>
            </w:r>
          </w:p>
        </w:tc>
      </w:tr>
      <w:tr>
        <w:trPr>
          <w:trHeight w:val="19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Cash dividends on preferred stock</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(1,814)</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1,483,109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1,903,177</w:t>
            </w: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530,433</w:t>
            </w: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1,608,619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515,206</w:t>
            </w:r>
          </w:p>
        </w:tc>
      </w:tr>
      <w:tr>
        <w:trPr>
          <w:trHeight w:val="185"/>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end of period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1,817,793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1,045,639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2020 10-K.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2020 10-K.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July 1, 2021, the Bank moved its headquarters from Blairsville, Georgia to Greenville, South Carolina and became a South Carolina state-chartered bank subject to examination and reporting requirements of the South Carolina Board of Financial Institutions. Prior to that date, the Bank was a Georgia state-chartered bank subject to examination and reporting requirements of the Georgia Department of Banking and Finance. Also effective July 1, 2021, the Holding Company elected to become a financial holding company, which allows for engagement in a broader range of financial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2021, the FASB issued ASU No. 2021-06, </w:t>
      </w:r>
      <w:r>
        <w:rPr>
          <w:rFonts w:ascii="Arial" w:cs="Arial" w:eastAsia="Arial" w:hAnsi="Arial"/>
          <w:sz w:val="16"/>
          <w:szCs w:val="16"/>
          <w:i w:val="1"/>
          <w:iCs w:val="1"/>
          <w:color w:val="auto"/>
        </w:rPr>
        <w:t>Presentation of Financial Statements (Topic 205), Financial Services - Depository and Lending (Topic</w:t>
      </w:r>
    </w:p>
    <w:p>
      <w:pPr>
        <w:spacing w:after="0" w:line="46" w:lineRule="exact"/>
        <w:rPr>
          <w:sz w:val="20"/>
          <w:szCs w:val="20"/>
          <w:color w:val="auto"/>
        </w:rPr>
      </w:pPr>
    </w:p>
    <w:p>
      <w:pPr>
        <w:jc w:val="both"/>
        <w:ind w:firstLine="8"/>
        <w:spacing w:after="0" w:line="273" w:lineRule="auto"/>
        <w:tabs>
          <w:tab w:leader="none" w:pos="378"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and Financial Services - Investment Companies (Topic 946): August 2021 Amendments to SEC Paragraphs Pursuant to SEC Final Rule Releases No. 33-10786, Amendments to Financial Disclosures about Acquired and Disposed Businesses, and No. 33-10835, Update of Statistical Disclosures for Bank and Savings and Loan Registrants</w:t>
      </w:r>
      <w:r>
        <w:rPr>
          <w:rFonts w:ascii="Arial" w:cs="Arial" w:eastAsia="Arial" w:hAnsi="Arial"/>
          <w:sz w:val="17"/>
          <w:szCs w:val="17"/>
          <w:color w:val="auto"/>
        </w:rPr>
        <w:t>. Among other things, this update eliminates redundancies for items covered elsewhere in GAAP, such as loan category</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United adopted this update immediately, with no material impact on the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In addition to consolidating existing disclosure guidance into a single codification section to reduce the likelihood of a required disclosure being missed, this update clarifies the application of select guidance in cases where the original guidance may have been unclear. United adopted this update as of January 1, 2021, with no material impact on the consolidated financial statements.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October 2020, the FASB issued ASU No. 2020-08, </w:t>
      </w:r>
      <w:r>
        <w:rPr>
          <w:rFonts w:ascii="Arial" w:cs="Arial" w:eastAsia="Arial" w:hAnsi="Arial"/>
          <w:sz w:val="16"/>
          <w:szCs w:val="16"/>
          <w:i w:val="1"/>
          <w:iCs w:val="1"/>
          <w:color w:val="auto"/>
        </w:rPr>
        <w:t>Codification Improvements to Subtopic 310-20, Receivables—Nonrefundable Fees and Other Costs</w:t>
      </w:r>
      <w:r>
        <w:rPr>
          <w:rFonts w:ascii="Arial" w:cs="Arial" w:eastAsia="Arial" w:hAnsi="Arial"/>
          <w:sz w:val="16"/>
          <w:szCs w:val="16"/>
          <w:color w:val="auto"/>
        </w:rPr>
        <w:t>. This update clarifies that an entity should reevaluate whether a callable debt security meets the criteria to adjust the amortization period of any related premium at each reporting period. United adopted this update as of January 1, 2021, with no material impact on the consolidated financial statements.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815)—Clarifying the Interactions between Topic 321, Topic 323, and Topic 815 (a consensus of the Emerging Issues Task Force)</w:t>
      </w:r>
      <w:r>
        <w:rPr>
          <w:rFonts w:ascii="Arial" w:cs="Arial" w:eastAsia="Arial" w:hAnsi="Arial"/>
          <w:sz w:val="16"/>
          <w:szCs w:val="16"/>
          <w:color w:val="auto"/>
        </w:rPr>
        <w:t>. This update clarifies whether an entity should consider observable transactions that require it to either apply or discontinue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of accounting for the purposes of applying the measurement alternative and how to account for certain forward contracts and purchased options to purchase securities. United adopted this update as of January 1, 2021, with no material impact on the consolidated financial statements.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United adopted this update as of January 1, 2021, with no material impact on the consolidated financial statements.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The update removes disclosures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are no longer considered cost beneficial, clarifies specific requirements of disclosures, and adds disclosure requirements identified as relevant. United adopted this update as of January 1, 2021, with no material impact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Standards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July 2021, the FASB issued ASU No. 2021-05, </w:t>
      </w:r>
      <w:r>
        <w:rPr>
          <w:rFonts w:ascii="Arial" w:cs="Arial" w:eastAsia="Arial" w:hAnsi="Arial"/>
          <w:sz w:val="16"/>
          <w:szCs w:val="16"/>
          <w:i w:val="1"/>
          <w:iCs w:val="1"/>
          <w:color w:val="auto"/>
        </w:rPr>
        <w:t>Leases (Topic 842): Lessors - Certain Leases with Variable Lease Payments</w:t>
      </w:r>
      <w:r>
        <w:rPr>
          <w:rFonts w:ascii="Arial" w:cs="Arial" w:eastAsia="Arial" w:hAnsi="Arial"/>
          <w:sz w:val="16"/>
          <w:szCs w:val="16"/>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Adoption of this update, which is effective for United as of January 1, 2022, is not expected to have a material impact on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Supplemental Cash Flow Information</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supplemental schedule of noncash investing and financing activities for the nine months ended September 30, 2021 and 2020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transactions: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Unsettled government guaranteed loan sales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ind w:left="300"/>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Transfers of loans to foreclosed properties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Unsettled securities purchases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Acquisitions: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Assets acquired</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22,823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2,174,723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assumed</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1,987,026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Net assets acquired</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21,720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187,697</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in acquisition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163,589</w:t>
            </w: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Accrued purchase price and contingent consideration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FinTrust</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July 6, 2021, United completed the acquisition of FinTrust Capital Partners, LLC, and its operating subsidiaries, FinTrust Capital Advisors, LLC, FinTrust Capital Benefits Group, LLC and FinTrust Brokerage Services, LLC, collectively referred to as “FinTrust”, an investment advisory firm headquartered in Greenville, South Carolina, with additional locations in Anderson, South Carolina, and Athens and Macon, Georgia. The firm provides wealth and investment management services to individuals and institutions within its markets. As of September 30, 2021, FinTrust had assets under management of $2.10 billion across its advisory, retirement planning and brokerage businesses.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FinTrust shareholders received $21.7 million in total consideration, which consisted of $4.40 million (132,299 shares) of United common stock, $9.62 million cash paid at closing, a $4.40 million payable due on the first anniversary of the acquisition date and $3.30 million of contingent consideration. The contingent consideration represents an earn-out payment due to the sellers of FinTrust on the second anniversary of the acquisition date. The earn-out payment is subject to the achievement of defined target revenue ratios during the two-year period following the acquisition date, which are expected to be fully achieved.</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acquisition was accounted for as a business combination. Accordingly, the assets acquired and liabilities assumed are presented at their fair values as of the acquisition date. The determination of fair value requires management to make estimates about discount rates, future expected cash flows, market conditions and other future events that are highly subjective in nature and subject to change. Fair values are preliminary and are subject to refinement for a period not to exceed one year after the closing date of an acquisition as information relative to closing date fair values becomes available.</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At acquisition, United recognized $22.8 million of assets and $1.10 million of liabilities. Assets acquired included goodwill of $14.2 million and a customer relationship intangible of $7.53 million. Goodwill reflects the value of FinTrust’s broad array of products and services, which enhances United’s existing wealth management business. Goodwill is expected to be deductible for tax purposes. United is amortizing the related customer relationship intangible using the straight-line method over 15 years, which represents the expected useful life of the asset. See Note 8 of this Report for additional disclosures related to goodwill and intangible assets. In addition, United recognized right-of-use assets and operating lease liabilities totaling $822,000 for FinTrust’s leased locations.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discloses the impact of the acquisitions of FinTrust and Three Shores, which United acquired on July 1, 2020, since the respective acquisition dates through September 30 in the respective year of acquisition. The table also presents certain pro forma information as if FinTrust and Three Shores had been acquired on January 1, 2020 and January 1, 2019, respectively.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Merger-related costs from the FinTrust acquisition of $262,000 and $515,000, respectively, have been excluded from the three and nine months ended September 30, 2021 pro forma information presented below and included in the three and nine months ended September 30, 2020 pro forma information presented below. Merger-related costs from the Three Shores acquisition of $3.36 million and $3.86 million, respectively, have been excluded from the three and nine months ended September 30, 2020 pro forma information presented below. The actual results and pro forma information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23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3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58"/>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2"/>
              </w:rPr>
              <w:t>Net Income</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9"/>
              <w:spacing w:after="0" w:line="158" w:lineRule="exact"/>
              <w:rPr>
                <w:sz w:val="20"/>
                <w:szCs w:val="20"/>
                <w:color w:val="auto"/>
              </w:rPr>
            </w:pPr>
            <w:r>
              <w:rPr>
                <w:rFonts w:ascii="Arial" w:cs="Arial" w:eastAsia="Arial" w:hAnsi="Arial"/>
                <w:sz w:val="16"/>
                <w:szCs w:val="16"/>
                <w:b w:val="1"/>
                <w:bCs w:val="1"/>
                <w:color w:val="auto"/>
                <w:w w:val="97"/>
              </w:rPr>
              <w:t>Net Income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w:t>
            </w: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1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FinTrust results included in statement of income since acquisition date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w w:val="94"/>
              </w:rPr>
              <w:t>Supplemental consolidated pro forma as if FinTrust had been acquired January 1, 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192,168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74,011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572,903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217,827</w:t>
            </w:r>
          </w:p>
        </w:tc>
        <w:tc>
          <w:tcPr>
            <w:tcW w:w="0" w:type="dxa"/>
            <w:vAlign w:val="bottom"/>
          </w:tcPr>
          <w:p>
            <w:pPr>
              <w:spacing w:after="0"/>
              <w:rPr>
                <w:sz w:val="1"/>
                <w:szCs w:val="1"/>
                <w:color w:val="auto"/>
              </w:rPr>
            </w:pPr>
          </w:p>
        </w:tc>
      </w:tr>
      <w:tr>
        <w:trPr>
          <w:trHeight w:val="273"/>
        </w:trPr>
        <w:tc>
          <w:tcPr>
            <w:tcW w:w="5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Three Shores results included in statement of income since acquisition date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66"/>
        </w:trPr>
        <w:tc>
          <w:tcPr>
            <w:tcW w:w="5900" w:type="dxa"/>
            <w:vAlign w:val="bottom"/>
          </w:tcPr>
          <w:p>
            <w:pPr>
              <w:ind w:left="20"/>
              <w:spacing w:after="0" w:line="166" w:lineRule="exact"/>
              <w:rPr>
                <w:sz w:val="20"/>
                <w:szCs w:val="20"/>
                <w:color w:val="auto"/>
              </w:rPr>
            </w:pPr>
            <w:r>
              <w:rPr>
                <w:rFonts w:ascii="Arial" w:cs="Arial" w:eastAsia="Arial" w:hAnsi="Arial"/>
                <w:sz w:val="16"/>
                <w:szCs w:val="16"/>
                <w:color w:val="auto"/>
                <w:w w:val="94"/>
              </w:rPr>
              <w:t>Supplemental consolidated pro forma as if FinTrust had been acquired January 1,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153,991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47,396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424,186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110,879</w:t>
            </w: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Arial" w:cs="Arial" w:eastAsia="Arial" w:hAnsi="Arial"/>
                <w:sz w:val="16"/>
                <w:szCs w:val="16"/>
                <w:color w:val="auto"/>
              </w:rPr>
              <w:t>and Three Shores had been acquired January 1, 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amortized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19,796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19,970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69,623</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259,842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259,470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304,952</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413,937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410,890</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15,020</w:t>
            </w:r>
          </w:p>
        </w:tc>
      </w:tr>
      <w:tr>
        <w:trPr>
          <w:trHeight w:val="213"/>
        </w:trPr>
        <w:tc>
          <w:tcPr>
            <w:tcW w:w="4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1,083,324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14,917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1,079,925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2"/>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10,590</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205,139</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118,173</w:t>
            </w:r>
          </w:p>
        </w:tc>
      </w:tr>
      <w:tr>
        <w:trPr>
          <w:trHeight w:val="213"/>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103,291</w:t>
            </w:r>
          </w:p>
        </w:tc>
      </w:tr>
      <w:tr>
        <w:trPr>
          <w:trHeight w:val="23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437,193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AFS debt securities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237,824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2,572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239,205</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150,718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264,371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278,254</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1,954,704</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99,637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103,082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698,785</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16,713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145,972</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664,003</w:t>
            </w:r>
          </w:p>
        </w:tc>
      </w:tr>
      <w:tr>
        <w:trPr>
          <w:trHeight w:val="23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4,237,749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4,251,436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123,677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128,072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152,972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274,472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1,303,892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181,693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532,268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562,722</w:t>
            </w:r>
          </w:p>
        </w:tc>
      </w:tr>
      <w:tr>
        <w:trPr>
          <w:trHeight w:val="23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3,224,721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Securities with a carrying value of $1.22 billion and $1.11 billion were pledged, primarily to secure public deposits, at September 30, 2021 and December 31, 2020, respectively.</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30,983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35,392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0" w:type="dxa"/>
            <w:vAlign w:val="bottom"/>
          </w:tcPr>
          <w:p>
            <w:pPr>
              <w:spacing w:after="0"/>
              <w:rPr>
                <w:sz w:val="1"/>
                <w:szCs w:val="1"/>
                <w:color w:val="auto"/>
              </w:rPr>
            </w:pP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703,203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730,969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97,602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97,602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453,563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11,772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2,136,358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2,228,459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there were 283 AFS debt securities and 88 HTM debt securities that were in an unrealized loss position. United does not intend to sell nor does it believe it will be required to sell securities in an unrealized loss position prior to the recovery of their amortized cost basis. Unrealized losses at September 30, 2021 were primarily attributable to changes in interest rates.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September 30, 2021 and December 31, 2020, calculated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September 30, 2021 or December 31, 2020. In addition, based on the assessments performed at September 30, 2021 and December 31, 2020, there was no ACL required related to the AFS portfolio.</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gridSpan w:val="5"/>
          </w:tcPr>
          <w:p>
            <w:pPr>
              <w:ind w:left="720"/>
              <w:spacing w:after="0"/>
              <w:rPr>
                <w:sz w:val="20"/>
                <w:szCs w:val="20"/>
                <w:color w:val="auto"/>
              </w:rPr>
            </w:pPr>
            <w:r>
              <w:rPr>
                <w:rFonts w:ascii="Arial" w:cs="Arial" w:eastAsia="Arial" w:hAnsi="Arial"/>
                <w:sz w:val="16"/>
                <w:szCs w:val="16"/>
                <w:b w:val="1"/>
                <w:bCs w:val="1"/>
                <w:color w:val="auto"/>
              </w:rPr>
              <w:t>Accrued Interest Receivable</w:t>
            </w:r>
          </w:p>
        </w:tc>
      </w:tr>
      <w:tr>
        <w:trPr>
          <w:trHeight w:val="210"/>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2020</w:t>
            </w:r>
          </w:p>
        </w:tc>
        <w:tc>
          <w:tcPr>
            <w:tcW w:w="2680" w:type="dxa"/>
            <w:vAlign w:val="bottom"/>
          </w:tcPr>
          <w:p>
            <w:pPr>
              <w:spacing w:after="0"/>
              <w:rPr>
                <w:sz w:val="18"/>
                <w:szCs w:val="18"/>
                <w:color w:val="auto"/>
              </w:rPr>
            </w:pPr>
          </w:p>
        </w:tc>
      </w:tr>
      <w:tr>
        <w:trPr>
          <w:trHeight w:val="212"/>
        </w:trPr>
        <w:tc>
          <w:tcPr>
            <w:tcW w:w="4820" w:type="dxa"/>
            <w:vAlign w:val="bottom"/>
            <w:tcBorders>
              <w:top w:val="single" w:sz="8" w:color="CCEEFF"/>
            </w:tcBorders>
            <w:shd w:val="clear" w:color="auto" w:fill="CCEEFF"/>
          </w:tcPr>
          <w:p>
            <w:pPr>
              <w:ind w:left="2780"/>
              <w:spacing w:after="0"/>
              <w:rPr>
                <w:sz w:val="20"/>
                <w:szCs w:val="20"/>
                <w:color w:val="auto"/>
              </w:rPr>
            </w:pPr>
            <w:r>
              <w:rPr>
                <w:rFonts w:ascii="Arial" w:cs="Arial" w:eastAsia="Arial" w:hAnsi="Arial"/>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Arial" w:cs="Arial" w:eastAsia="Arial" w:hAnsi="Arial"/>
                <w:sz w:val="16"/>
                <w:szCs w:val="16"/>
                <w:color w:val="auto"/>
              </w:rPr>
              <w:t>AFS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9,498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9,114</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 xml:space="preserve">The amortized cost and fair value of AFS and HTM debt securities at September 30, 2021,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44,958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45,154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1,713</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47,701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1,713</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106,054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14,884</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233,468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238,200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13,765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14,884</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87,997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19,970</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29,113</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38,946</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15,020</w:t>
            </w:r>
          </w:p>
        </w:tc>
      </w:tr>
      <w:tr>
        <w:trPr>
          <w:trHeight w:val="213"/>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355,131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101,983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103,049</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More than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40,510</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109,175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203,927</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163,731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171,064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247,381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244,437</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661,844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2,057,786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304,952</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Commercial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721,357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715,498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413,937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410,890</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4,237,749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4,251,436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1,083,324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1,079,925</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AFS securities sales activity for the three and nine months ended September 30, 2021 and 2020 </w:t>
      </w:r>
      <w:r>
        <w:rPr>
          <w:rFonts w:ascii="Arial" w:cs="Arial" w:eastAsia="Arial" w:hAnsi="Arial"/>
          <w:sz w:val="18"/>
          <w:szCs w:val="18"/>
          <w:i w:val="1"/>
          <w:iCs w:val="1"/>
          <w:color w:val="auto"/>
        </w:rPr>
        <w:t>(in thousands).</w:t>
      </w:r>
    </w:p>
    <w:tbl>
      <w:tblPr>
        <w:tblLayout w:type="fixed"/>
        <w:tblInd w:w="0" w:type="dxa"/>
        <w:tblCellMar>
          <w:top w:w="0" w:type="dxa"/>
          <w:left w:w="0" w:type="dxa"/>
          <w:bottom w:w="0" w:type="dxa"/>
          <w:right w:w="0" w:type="dxa"/>
        </w:tblCellMar>
      </w:tblPr>
      <w:tr>
        <w:trPr>
          <w:trHeight w:val="163"/>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300"/>
              <w:spacing w:after="0" w:line="163" w:lineRule="exact"/>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39"/>
              <w:spacing w:after="0" w:line="163" w:lineRule="exact"/>
              <w:rPr>
                <w:sz w:val="20"/>
                <w:szCs w:val="20"/>
                <w:color w:val="auto"/>
              </w:rPr>
            </w:pPr>
            <w:r>
              <w:rPr>
                <w:rFonts w:ascii="Arial" w:cs="Arial" w:eastAsia="Arial" w:hAnsi="Arial"/>
                <w:sz w:val="16"/>
                <w:szCs w:val="16"/>
                <w:b w:val="1"/>
                <w:bCs w:val="1"/>
                <w:color w:val="auto"/>
              </w:rPr>
              <w:t>Nine Months Ended</w:t>
            </w:r>
          </w:p>
        </w:tc>
      </w:tr>
      <w:tr>
        <w:trPr>
          <w:trHeight w:val="213"/>
        </w:trPr>
        <w:tc>
          <w:tcPr>
            <w:tcW w:w="5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realized 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gains,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attributable to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2,148,946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2,542,106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2,540,750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Commercial construction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947,023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967,305</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Equipment financing</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8,534,444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8,960,888</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mortgage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HELOC</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661,352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697,117</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construction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680" w:type="dxa"/>
            <w:vAlign w:val="bottom"/>
            <w:tcBorders>
              <w:bottom w:val="single" w:sz="8" w:color="CCEEFF"/>
            </w:tcBorders>
          </w:tcPr>
          <w:p>
            <w:pPr>
              <w:spacing w:after="0"/>
              <w:rPr>
                <w:sz w:val="18"/>
                <w:szCs w:val="18"/>
                <w:color w:val="auto"/>
              </w:rPr>
            </w:pPr>
          </w:p>
        </w:tc>
      </w:tr>
      <w:tr>
        <w:trPr>
          <w:trHeight w:val="213"/>
        </w:trPr>
        <w:tc>
          <w:tcPr>
            <w:tcW w:w="588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Total loans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11,191,037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680" w:type="dxa"/>
            <w:vAlign w:val="bottom"/>
            <w:shd w:val="clear" w:color="auto" w:fill="CCEEFF"/>
          </w:tcPr>
          <w:p>
            <w:pPr>
              <w:spacing w:after="0"/>
              <w:rPr>
                <w:sz w:val="18"/>
                <w:szCs w:val="18"/>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Less allowance for credit losses - loans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680" w:type="dxa"/>
            <w:vAlign w:val="bottom"/>
            <w:tcBorders>
              <w:bottom w:val="single" w:sz="8" w:color="CCEEFF"/>
            </w:tcBorders>
          </w:tcPr>
          <w:p>
            <w:pPr>
              <w:spacing w:after="0"/>
              <w:rPr>
                <w:sz w:val="18"/>
                <w:szCs w:val="18"/>
                <w:color w:val="auto"/>
              </w:rPr>
            </w:pPr>
          </w:p>
        </w:tc>
      </w:tr>
      <w:tr>
        <w:trPr>
          <w:trHeight w:val="238"/>
        </w:trPr>
        <w:tc>
          <w:tcPr>
            <w:tcW w:w="58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Loans,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11,091,417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September 30, 2021 and December 31, 2020 included $150 million and $646 million of PPP loans, respectively.</w:t>
      </w:r>
    </w:p>
    <w:p>
      <w:pPr>
        <w:spacing w:after="0" w:line="2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Accrued interest receivable related to loans totaled $27.7 million and $35.5 million at September 30, 2021 and December 31, 2020, respectively, and was reported in accrued interest receivable on the consolidated balance sheets. Accrued interest receivable was excluded from the estimate of credit losses.</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2021 and December 31, 2020, the loan portfolio was subject to blanket pledges on certain qualifying loan types with the FHLB and FRB to secure contingent funding sources.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following table presents loans held for investment that were sold in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and losses on these loan sales were included in noninterest income on the consolidated statements of income.</w:t>
      </w: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September 30,</w:t>
            </w:r>
          </w:p>
        </w:tc>
        <w:tc>
          <w:tcPr>
            <w:tcW w:w="382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tcPr>
          <w:p>
            <w:pPr>
              <w:spacing w:after="0"/>
              <w:rPr>
                <w:sz w:val="18"/>
                <w:szCs w:val="18"/>
                <w:color w:val="auto"/>
              </w:rPr>
            </w:pPr>
          </w:p>
        </w:tc>
      </w:tr>
      <w:tr>
        <w:trPr>
          <w:trHeight w:val="212"/>
        </w:trPr>
        <w:tc>
          <w:tcPr>
            <w:tcW w:w="4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Guaranteed portion of SBA/USDA loans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31,533</w:t>
            </w:r>
          </w:p>
        </w:tc>
        <w:tc>
          <w:tcPr>
            <w:tcW w:w="1240" w:type="dxa"/>
            <w:vAlign w:val="bottom"/>
            <w:shd w:val="clear" w:color="auto" w:fill="CCEEFF"/>
          </w:tcPr>
          <w:p>
            <w:pPr>
              <w:spacing w:after="0"/>
              <w:rPr>
                <w:sz w:val="18"/>
                <w:szCs w:val="18"/>
                <w:color w:val="auto"/>
              </w:rPr>
            </w:pPr>
          </w:p>
        </w:tc>
      </w:tr>
      <w:tr>
        <w:trPr>
          <w:trHeight w:val="213"/>
        </w:trPr>
        <w:tc>
          <w:tcPr>
            <w:tcW w:w="4540" w:type="dxa"/>
            <w:vAlign w:val="bottom"/>
            <w:tcBorders>
              <w:bottom w:val="single" w:sz="8" w:color="CCEEFF"/>
            </w:tcBorders>
          </w:tcPr>
          <w:p>
            <w:pPr>
              <w:ind w:left="1240"/>
              <w:spacing w:after="0"/>
              <w:rPr>
                <w:sz w:val="20"/>
                <w:szCs w:val="20"/>
                <w:color w:val="auto"/>
              </w:rPr>
            </w:pPr>
            <w:r>
              <w:rPr>
                <w:rFonts w:ascii="Arial" w:cs="Arial" w:eastAsia="Arial" w:hAnsi="Arial"/>
                <w:sz w:val="16"/>
                <w:szCs w:val="16"/>
                <w:color w:val="auto"/>
              </w:rPr>
              <w:t>Equipment financing receivables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24,871</w:t>
            </w:r>
          </w:p>
        </w:tc>
        <w:tc>
          <w:tcPr>
            <w:tcW w:w="1240" w:type="dxa"/>
            <w:vAlign w:val="bottom"/>
            <w:tcBorders>
              <w:bottom w:val="single" w:sz="8" w:color="CCEEFF"/>
            </w:tcBorders>
          </w:tcPr>
          <w:p>
            <w:pPr>
              <w:spacing w:after="0"/>
              <w:rPr>
                <w:sz w:val="18"/>
                <w:szCs w:val="18"/>
                <w:color w:val="auto"/>
              </w:rPr>
            </w:pPr>
          </w:p>
        </w:tc>
      </w:tr>
      <w:tr>
        <w:trPr>
          <w:trHeight w:val="238"/>
        </w:trPr>
        <w:tc>
          <w:tcPr>
            <w:tcW w:w="45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56,404</w:t>
            </w:r>
          </w:p>
        </w:tc>
        <w:tc>
          <w:tcPr>
            <w:tcW w:w="1240" w:type="dxa"/>
            <w:vAlign w:val="bottom"/>
            <w:tcBorders>
              <w:bottom w:val="single" w:sz="8" w:color="CCEEFF"/>
            </w:tcBorders>
            <w:shd w:val="clear" w:color="auto" w:fill="CCEEFF"/>
          </w:tcPr>
          <w:p>
            <w:pPr>
              <w:spacing w:after="0"/>
              <w:rPr>
                <w:sz w:val="20"/>
                <w:szCs w:val="20"/>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September 30, 2021 and December 31, 2020, equipment financing assets included leases of $38.5 million and $36.8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38,934</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3,263</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(727)</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Purchase accounting premium</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Borders>
              <w:bottom w:val="single" w:sz="8" w:color="CCEEFF"/>
            </w:tcBorders>
          </w:tcPr>
          <w:p>
            <w:pPr>
              <w:ind w:left="1620"/>
              <w:spacing w:after="0"/>
              <w:rPr>
                <w:sz w:val="20"/>
                <w:szCs w:val="20"/>
                <w:color w:val="auto"/>
              </w:rPr>
            </w:pPr>
            <w:r>
              <w:rPr>
                <w:rFonts w:ascii="Arial" w:cs="Arial" w:eastAsia="Arial" w:hAnsi="Arial"/>
                <w:sz w:val="16"/>
                <w:szCs w:val="16"/>
                <w:color w:val="auto"/>
              </w:rPr>
              <w:t>Unearned income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620" w:type="dxa"/>
            <w:vAlign w:val="bottom"/>
            <w:tcBorders>
              <w:bottom w:val="single" w:sz="8" w:color="CCEEFF"/>
            </w:tcBorders>
          </w:tcPr>
          <w:p>
            <w:pPr>
              <w:spacing w:after="0"/>
              <w:rPr>
                <w:sz w:val="18"/>
                <w:szCs w:val="18"/>
                <w:color w:val="auto"/>
              </w:rPr>
            </w:pPr>
          </w:p>
        </w:tc>
      </w:tr>
      <w:tr>
        <w:trPr>
          <w:trHeight w:val="237"/>
        </w:trPr>
        <w:tc>
          <w:tcPr>
            <w:tcW w:w="57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6"/>
                <w:szCs w:val="16"/>
                <w:color w:val="auto"/>
              </w:rPr>
              <w:t>Net investment in leases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36,802</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September 30, 2021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2021</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15,123</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6,237</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40,670</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the aging of the amortized cost basis in loans by aging category and accrual status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 Past due status is based on contractual terms of the loan. The accrual of interest is generally discontinued when a loan becomes 90 days past due. Loans with active COVID-19 deferrals are not reported as past due to the extent they are in compliance with the deferral terms.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2,148,946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2,528,145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2,542,106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1,879,466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945,509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947,023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1,016,903</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8,500,750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8,534,444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1,532,625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658,629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661,352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320,880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141,736</w:t>
            </w:r>
          </w:p>
        </w:tc>
        <w:tc>
          <w:tcPr>
            <w:tcW w:w="0" w:type="dxa"/>
            <w:vAlign w:val="bottom"/>
          </w:tcPr>
          <w:p>
            <w:pPr>
              <w:spacing w:after="0"/>
              <w:rPr>
                <w:sz w:val="1"/>
                <w:szCs w:val="1"/>
                <w:color w:val="auto"/>
              </w:rPr>
            </w:pPr>
          </w:p>
        </w:tc>
      </w:tr>
      <w:tr>
        <w:trPr>
          <w:trHeight w:val="23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11,138,525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11,191,037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2,079,845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2,090,443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2,540,750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2,480,483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2,498,560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967,305</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863,830</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8,960,888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1,284,920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697,117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281,430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146,460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11,288,847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61,599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With no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6"/>
              </w:rPr>
              <w:t>With an</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allowance</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allowance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allowance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majority of nonaccrual loans with no related allowance consists of collateral dependent loans that have been individually evaluated by management with the determination that the repayment of the loan is expected to be provided substantially through the operation or sale of the underlying collateral.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in this category are presently protected from apparent loss; however, weaknesses exist that could cause future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this system, loans that are on nonaccrual status, become past due 90 days, or are in bankruptcy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tables present the risk category of term loans by vintage year, which is the year of origination or most recent renewal, as of the date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Term Loans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5"/>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converted to</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Revolvers</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457,049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687,751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279,335</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155,588</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141,134</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281,579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50,826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10,292</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2,063,554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495,915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338,421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247,281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203,169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253,392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2,314,944</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145,429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56,218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489,216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1,821,208</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840,753</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301,214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76,074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1,014,634</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2,179,144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2,329,632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1,152,184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694,320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636,090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8,055,093</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606,382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388,637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119,664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79,357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239,943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1,515,456</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643,483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658,847</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213,830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85,662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320,365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141,473</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3,049,236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2,835,699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1,289,657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780,420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529,581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888,998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1,269,681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10,691,234</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8,618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14,528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6,054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36,752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28,466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134,269</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27,572</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55,614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53,546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70,139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277,708</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55,614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30,362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53,546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70,139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40,758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277,708</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10,629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11,461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48,640</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92,893</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30,686</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201,643</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17,169</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29,949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39,208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21,731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47,703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26,165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42,469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9,713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222,095</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3,134,799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2,905,269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1,364,934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898,262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596,504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951,663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1,285,510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54,096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11,191,037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380"/>
              <w:spacing w:after="0"/>
              <w:rPr>
                <w:sz w:val="20"/>
                <w:szCs w:val="20"/>
                <w:color w:val="auto"/>
              </w:rPr>
            </w:pPr>
            <w:r>
              <w:rPr>
                <w:rFonts w:ascii="Arial" w:cs="Arial" w:eastAsia="Arial" w:hAnsi="Arial"/>
                <w:sz w:val="14"/>
                <w:szCs w:val="14"/>
                <w:b w:val="1"/>
                <w:bCs w:val="1"/>
                <w:color w:val="auto"/>
              </w:rPr>
              <w:t>Term Loans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707,501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368,615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231,316</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197,778</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201,362</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229,667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56,273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9,072</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2,001,584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376,911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361,539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277,769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206,068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2,276,836</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1,092,767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287,857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115,790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92,968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2,430,550</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888,835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413,653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270,664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860,017</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3,343,874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1,521,690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1,208,471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685,027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540,614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508,536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8,457,822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468,945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195,213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120,944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1,268,789</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693,459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225,727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280,725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146,055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4,093,543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1,773,077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1,352,195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815,046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669,394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1,338,027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10,846,850</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43,059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24,164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168,676</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27,512</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57,998</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63,506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63,506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47,185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47,536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10,473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6,753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45,800</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205,821</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58,508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29,316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12,514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42,164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19,215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226,720</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4,219,098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1,865,899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1,433,719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874,745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759,094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789,304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1,368,554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60,402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11,370,815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2021 and December 31, 2020, United had TDRs totaling $53.0 million and $61.6 million, respectively. As of September 30, 2021 and December 31, 2020, United had remaining deferrals related to the COVID-19 pandemic of approximately $8.87 million and $70.7 million, respectively, which generally represented payment deferrals for up to 90 days. To the extent that these deferrals qualified under either the CARES Act or interagency guidance, they were not considered new TDRs.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nine months ended September 30, 2021 and 2020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Arial" w:cs="Arial" w:eastAsia="Arial" w:hAnsi="Arial"/>
          <w:sz w:val="17"/>
          <w:szCs w:val="17"/>
          <w:i w:val="1"/>
          <w:iCs w:val="1"/>
          <w:color w:val="auto"/>
        </w:rPr>
        <w:t>(dollars in thousands).</w:t>
      </w:r>
    </w:p>
    <w:p>
      <w:pPr>
        <w:spacing w:after="0" w:line="86" w:lineRule="exact"/>
        <w:rPr>
          <w:sz w:val="20"/>
          <w:szCs w:val="20"/>
          <w:color w:val="auto"/>
        </w:rPr>
      </w:pPr>
    </w:p>
    <w:p>
      <w:pPr>
        <w:ind w:left="6880"/>
        <w:spacing w:after="0"/>
        <w:rPr>
          <w:sz w:val="20"/>
          <w:szCs w:val="20"/>
          <w:color w:val="auto"/>
        </w:rPr>
      </w:pPr>
      <w:r>
        <w:rPr>
          <w:rFonts w:ascii="Arial" w:cs="Arial" w:eastAsia="Arial" w:hAnsi="Arial"/>
          <w:sz w:val="13"/>
          <w:szCs w:val="13"/>
          <w:b w:val="1"/>
          <w:bCs w:val="1"/>
          <w:color w:val="auto"/>
        </w:rPr>
        <w:t>New 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24765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2" w:lineRule="exact"/>
        <w:rPr>
          <w:sz w:val="20"/>
          <w:szCs w:val="20"/>
          <w:color w:val="auto"/>
        </w:rPr>
      </w:pPr>
    </w:p>
    <w:tbl>
      <w:tblPr>
        <w:tblLayout w:type="fixed"/>
        <w:tblInd w:w="336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TDRs Modified Within the Previous</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4580" w:type="dxa"/>
            <w:vAlign w:val="bottom"/>
            <w:gridSpan w:val="4"/>
            <w:vMerge w:val="restart"/>
          </w:tcPr>
          <w:p>
            <w:pPr>
              <w:ind w:left="580"/>
              <w:spacing w:after="0"/>
              <w:rPr>
                <w:sz w:val="20"/>
                <w:szCs w:val="20"/>
                <w:color w:val="auto"/>
              </w:rPr>
            </w:pPr>
            <w:r>
              <w:rPr>
                <w:rFonts w:ascii="Arial" w:cs="Arial" w:eastAsia="Arial" w:hAnsi="Arial"/>
                <w:sz w:val="13"/>
                <w:szCs w:val="13"/>
                <w:b w:val="1"/>
                <w:bCs w:val="1"/>
                <w:color w:val="auto"/>
              </w:rPr>
              <w:t>Post-Modification Amortized Cost by Type of Modification</w:t>
            </w:r>
          </w:p>
        </w:tc>
        <w:tc>
          <w:tcPr>
            <w:tcW w:w="100" w:type="dxa"/>
            <w:vAlign w:val="bottom"/>
            <w:vMerge w:val="restart"/>
          </w:tcPr>
          <w:p>
            <w:pPr>
              <w:spacing w:after="0"/>
              <w:rPr>
                <w:sz w:val="11"/>
                <w:szCs w:val="11"/>
                <w:color w:val="auto"/>
              </w:rPr>
            </w:pPr>
          </w:p>
        </w:tc>
        <w:tc>
          <w:tcPr>
            <w:tcW w:w="2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Twelve Months That Have</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458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Subsequently Defaulted</w:t>
            </w:r>
          </w:p>
        </w:tc>
        <w:tc>
          <w:tcPr>
            <w:tcW w:w="0" w:type="dxa"/>
            <w:vAlign w:val="bottom"/>
          </w:tcPr>
          <w:p>
            <w:pPr>
              <w:spacing w:after="0"/>
              <w:rPr>
                <w:sz w:val="1"/>
                <w:szCs w:val="1"/>
                <w:color w:val="auto"/>
              </w:rPr>
            </w:pPr>
          </w:p>
        </w:tc>
      </w:tr>
      <w:tr>
        <w:trPr>
          <w:trHeight w:val="163"/>
        </w:trPr>
        <w:tc>
          <w:tcPr>
            <w:tcW w:w="960" w:type="dxa"/>
            <w:vAlign w:val="bottom"/>
          </w:tcPr>
          <w:p>
            <w:pPr>
              <w:jc w:val="center"/>
              <w:ind w:right="273"/>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ind w:left="360"/>
              <w:spacing w:after="0"/>
              <w:rPr>
                <w:sz w:val="20"/>
                <w:szCs w:val="20"/>
                <w:color w:val="auto"/>
              </w:rPr>
            </w:pPr>
            <w:r>
              <w:rPr>
                <w:rFonts w:ascii="Arial" w:cs="Arial" w:eastAsia="Arial" w:hAnsi="Arial"/>
                <w:sz w:val="13"/>
                <w:szCs w:val="13"/>
                <w:b w:val="1"/>
                <w:bCs w:val="1"/>
                <w:color w:val="auto"/>
              </w:rPr>
              <w:t>Rate</w:t>
            </w:r>
          </w:p>
        </w:tc>
        <w:tc>
          <w:tcPr>
            <w:tcW w:w="12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Structure</w:t>
            </w:r>
          </w:p>
        </w:tc>
        <w:tc>
          <w:tcPr>
            <w:tcW w:w="112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Other</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Total</w:t>
            </w:r>
          </w:p>
        </w:tc>
        <w:tc>
          <w:tcPr>
            <w:tcW w:w="1040" w:type="dxa"/>
            <w:vAlign w:val="bottom"/>
          </w:tcPr>
          <w:p>
            <w:pPr>
              <w:jc w:val="right"/>
              <w:ind w:right="153"/>
              <w:spacing w:after="0"/>
              <w:rPr>
                <w:sz w:val="20"/>
                <w:szCs w:val="20"/>
                <w:color w:val="auto"/>
              </w:rPr>
            </w:pPr>
            <w:r>
              <w:rPr>
                <w:rFonts w:ascii="Arial" w:cs="Arial" w:eastAsia="Arial" w:hAnsi="Arial"/>
                <w:sz w:val="13"/>
                <w:szCs w:val="13"/>
                <w:b w:val="1"/>
                <w:bCs w:val="1"/>
                <w:color w:val="auto"/>
              </w:rPr>
              <w:t>Number of</w:t>
            </w:r>
          </w:p>
        </w:tc>
        <w:tc>
          <w:tcPr>
            <w:tcW w:w="12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99"/>
              </w:rPr>
              <w:t>Amortized Cost</w:t>
            </w:r>
          </w:p>
        </w:tc>
        <w:tc>
          <w:tcPr>
            <w:tcW w:w="0" w:type="dxa"/>
            <w:vAlign w:val="bottom"/>
          </w:tcPr>
          <w:p>
            <w:pPr>
              <w:spacing w:after="0"/>
              <w:rPr>
                <w:sz w:val="1"/>
                <w:szCs w:val="1"/>
                <w:color w:val="auto"/>
              </w:rPr>
            </w:pPr>
          </w:p>
        </w:tc>
      </w:tr>
      <w:tr>
        <w:trPr>
          <w:trHeight w:val="174"/>
        </w:trPr>
        <w:tc>
          <w:tcPr>
            <w:tcW w:w="960" w:type="dxa"/>
            <w:vAlign w:val="bottom"/>
          </w:tcPr>
          <w:p>
            <w:pPr>
              <w:jc w:val="center"/>
              <w:ind w:right="233"/>
              <w:spacing w:after="0"/>
              <w:rPr>
                <w:sz w:val="20"/>
                <w:szCs w:val="20"/>
                <w:color w:val="auto"/>
              </w:rPr>
            </w:pPr>
            <w:r>
              <w:rPr>
                <w:rFonts w:ascii="Arial" w:cs="Arial" w:eastAsia="Arial" w:hAnsi="Arial"/>
                <w:sz w:val="13"/>
                <w:szCs w:val="13"/>
                <w:b w:val="1"/>
                <w:bCs w:val="1"/>
                <w:color w:val="auto"/>
                <w:w w:val="95"/>
              </w:rPr>
              <w:t>Contracts</w:t>
            </w:r>
          </w:p>
        </w:tc>
        <w:tc>
          <w:tcPr>
            <w:tcW w:w="1120" w:type="dxa"/>
            <w:vAlign w:val="bottom"/>
          </w:tcPr>
          <w:p>
            <w:pPr>
              <w:ind w:left="240"/>
              <w:spacing w:after="0"/>
              <w:rPr>
                <w:sz w:val="20"/>
                <w:szCs w:val="20"/>
                <w:color w:val="auto"/>
              </w:rPr>
            </w:pPr>
            <w:r>
              <w:rPr>
                <w:rFonts w:ascii="Arial" w:cs="Arial" w:eastAsia="Arial" w:hAnsi="Arial"/>
                <w:sz w:val="13"/>
                <w:szCs w:val="13"/>
                <w:b w:val="1"/>
                <w:bCs w:val="1"/>
                <w:color w:val="auto"/>
              </w:rPr>
              <w:t>Reduction</w:t>
            </w:r>
          </w:p>
        </w:tc>
        <w:tc>
          <w:tcPr>
            <w:tcW w:w="1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b w:val="1"/>
                <w:bCs w:val="1"/>
                <w:color w:val="auto"/>
              </w:rPr>
              <w:t>Contracts</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8890</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3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2021</w:t>
            </w:r>
          </w:p>
        </w:tc>
        <w:tc>
          <w:tcPr>
            <w:tcW w:w="10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304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2020</w:t>
            </w:r>
          </w:p>
        </w:tc>
        <w:tc>
          <w:tcPr>
            <w:tcW w:w="10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304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2020</w:t>
            </w:r>
          </w:p>
        </w:tc>
        <w:tc>
          <w:tcPr>
            <w:tcW w:w="10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304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-5888355</wp:posOffset>
            </wp:positionV>
            <wp:extent cx="71323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-5648325</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-5160010</wp:posOffset>
            </wp:positionV>
            <wp:extent cx="713232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-4671060</wp:posOffset>
            </wp:positionV>
            <wp:extent cx="713232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-3453765</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-2716530</wp:posOffset>
            </wp:positionV>
            <wp:extent cx="713232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-3942715</wp:posOffset>
            </wp:positionV>
            <wp:extent cx="713232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166</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399</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r>
      <w:tr>
        <w:trPr>
          <w:trHeight w:val="175"/>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565</w:t>
            </w:r>
          </w:p>
        </w:tc>
        <w:tc>
          <w:tcPr>
            <w:tcW w:w="4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649</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1,214</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r>
      <w:tr>
        <w:trPr>
          <w:trHeight w:val="27"/>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6"/>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543</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531</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309</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2,861</w:t>
            </w:r>
          </w:p>
        </w:tc>
        <w:tc>
          <w:tcPr>
            <w:tcW w:w="4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2,861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w:t>
            </w:r>
          </w:p>
        </w:tc>
      </w:tr>
      <w:tr>
        <w:trPr>
          <w:trHeight w:val="175"/>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4,244</w:t>
            </w: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6,044</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1,040</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593</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5,284</w:t>
            </w: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7,084</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992</w:t>
            </w:r>
          </w:p>
        </w:tc>
      </w:tr>
      <w:tr>
        <w:trPr>
          <w:trHeight w:val="27"/>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6"/>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375</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1,617</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193</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577</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247</w:t>
            </w:r>
          </w:p>
        </w:tc>
        <w:tc>
          <w:tcPr>
            <w:tcW w:w="4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290</w:t>
            </w:r>
          </w:p>
        </w:tc>
      </w:tr>
      <w:tr>
        <w:trPr>
          <w:trHeight w:val="175"/>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1,392</w:t>
            </w: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3,079</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3,200</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3,200</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164</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123</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4,890</w:t>
            </w: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6,577</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w:t>
            </w:r>
          </w:p>
        </w:tc>
      </w:tr>
      <w:tr>
        <w:trPr>
          <w:trHeight w:val="27"/>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6"/>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375</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24"/>
                <w:szCs w:val="24"/>
                <w:color w:val="auto"/>
              </w:rPr>
            </w:pP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1,911</w:t>
            </w: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1,849</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5,998</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193</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633</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832</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4,152</w:t>
            </w:r>
          </w:p>
        </w:tc>
        <w:tc>
          <w:tcPr>
            <w:tcW w:w="4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4,152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175"/>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5,619</w:t>
            </w: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3,403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9,022</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7,231</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4,122</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4,122</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164</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123</w:t>
            </w:r>
          </w:p>
        </w:tc>
        <w:tc>
          <w:tcPr>
            <w:tcW w:w="4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54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3"/>
        </w:trPr>
        <w:tc>
          <w:tcPr>
            <w:tcW w:w="540" w:type="dxa"/>
            <w:vAlign w:val="bottom"/>
          </w:tcPr>
          <w:p>
            <w:pPr>
              <w:jc w:val="right"/>
              <w:ind w:right="93"/>
              <w:spacing w:after="0"/>
              <w:rPr>
                <w:sz w:val="20"/>
                <w:szCs w:val="20"/>
                <w:color w:val="auto"/>
              </w:rPr>
            </w:pPr>
            <w:r>
              <w:rPr>
                <w:rFonts w:ascii="Arial" w:cs="Arial" w:eastAsia="Arial" w:hAnsi="Arial"/>
                <w:sz w:val="13"/>
                <w:szCs w:val="13"/>
                <w:color w:val="auto"/>
                <w:w w:val="90"/>
              </w:rPr>
              <w:t>10,039</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13,460</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7,234</w:t>
            </w:r>
          </w:p>
        </w:tc>
      </w:tr>
      <w:tr>
        <w:trPr>
          <w:trHeight w:val="27"/>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-33655</wp:posOffset>
            </wp:positionV>
            <wp:extent cx="6769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-8255</wp:posOffset>
            </wp:positionV>
            <wp:extent cx="6769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-162560</wp:posOffset>
            </wp:positionV>
            <wp:extent cx="6769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-1593850</wp:posOffset>
            </wp:positionV>
            <wp:extent cx="6769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-2356485</wp:posOffset>
            </wp:positionV>
            <wp:extent cx="6769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-3205480</wp:posOffset>
            </wp:positionV>
            <wp:extent cx="6769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-3333750</wp:posOffset>
            </wp:positionV>
            <wp:extent cx="6769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-4765675</wp:posOffset>
            </wp:positionV>
            <wp:extent cx="6769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-5528310</wp:posOffset>
            </wp:positionV>
            <wp:extent cx="6769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540"/>
            <w:col w:w="51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both September 30, 2021 and December 31, 2020, United used a one-year reasonable and supportable forecast period. Expected credit losses were estimated using a regression model for each segment based on historical data from peer banks combined with a third party vendor’s economic forecast to predict the change in credit losses. These results were then combined with a starting value that was based on United’s recent default experience, which was adjusted for select portfolios based on expectations of future performance. At September 30, 2021, the third party vendor’s forecast, which was representative of a baseline scenario, improved significantly from December 31, 2020, including the unemployment rate which has a significant impact on our models and led to the negative provision for loan losses in the third quarter and year-to-date. Since the COVID-19 pandemic began, United has adjusted the economic forecast by eliminating the initial spike in unemployment to account for the impact of government stimulus programs, which mitigated some of the negative impact on forecasted losses as the unemployment rate was rising and had the opposite effect as the unemployment rate was improving. In addition, at September 30, 2021, United applied qualitative factors to income producing commercial real estate, owner occupied commercial real estate, equipment finance and commercial construction portfolios to reflect elevated special mention and substandard loan levels.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1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loans were considered low risk assets due to the related 100% guarantee by the SBA and were therefore excluded from the calculation.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15"/>
          </w:tcPr>
          <w:p>
            <w:pPr>
              <w:jc w:val="right"/>
              <w:spacing w:after="0"/>
              <w:rPr>
                <w:sz w:val="20"/>
                <w:szCs w:val="20"/>
                <w:color w:val="auto"/>
              </w:rPr>
            </w:pPr>
            <w:r>
              <w:rPr>
                <w:rFonts w:ascii="Arial" w:cs="Arial" w:eastAsia="Arial" w:hAnsi="Arial"/>
                <w:sz w:val="16"/>
                <w:szCs w:val="16"/>
                <w:b w:val="1"/>
                <w:bCs w:val="1"/>
                <w:color w:val="auto"/>
                <w:w w:val="88"/>
              </w:rPr>
              <w:t>Three Months Ended September 30,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w w:val="89"/>
              </w:rPr>
              <w:t>Beginning</w:t>
            </w:r>
          </w:p>
        </w:tc>
        <w:tc>
          <w:tcPr>
            <w:tcW w:w="40" w:type="dxa"/>
            <w:vAlign w:val="bottom"/>
          </w:tcPr>
          <w:p>
            <w:pPr>
              <w:spacing w:after="0"/>
              <w:rPr>
                <w:sz w:val="12"/>
                <w:szCs w:val="12"/>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Charge-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restart"/>
          </w:tcPr>
          <w:p>
            <w:pPr>
              <w:jc w:val="right"/>
              <w:ind w:right="160"/>
              <w:spacing w:after="0"/>
              <w:rPr>
                <w:sz w:val="20"/>
                <w:szCs w:val="20"/>
                <w:color w:val="auto"/>
              </w:rPr>
            </w:pPr>
            <w:r>
              <w:rPr>
                <w:rFonts w:ascii="Arial" w:cs="Arial" w:eastAsia="Arial" w:hAnsi="Arial"/>
                <w:sz w:val="16"/>
                <w:szCs w:val="16"/>
                <w:b w:val="1"/>
                <w:bCs w:val="1"/>
                <w:color w:val="auto"/>
                <w:w w:val="95"/>
              </w:rPr>
              <w:t>(Release)</w:t>
            </w:r>
          </w:p>
        </w:tc>
        <w:tc>
          <w:tcPr>
            <w:tcW w:w="10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Beginning</w:t>
            </w:r>
          </w:p>
        </w:tc>
        <w:tc>
          <w:tcPr>
            <w:tcW w:w="80" w:type="dxa"/>
            <w:vAlign w:val="bottom"/>
          </w:tcPr>
          <w:p>
            <w:pPr>
              <w:spacing w:after="0"/>
              <w:rPr>
                <w:sz w:val="12"/>
                <w:szCs w:val="12"/>
                <w:color w:val="auto"/>
              </w:rPr>
            </w:pPr>
          </w:p>
        </w:tc>
        <w:tc>
          <w:tcPr>
            <w:tcW w:w="860" w:type="dxa"/>
            <w:vAlign w:val="bottom"/>
            <w:gridSpan w:val="5"/>
          </w:tcPr>
          <w:p>
            <w:pPr>
              <w:jc w:val="center"/>
              <w:spacing w:after="0" w:line="142" w:lineRule="exact"/>
              <w:rPr>
                <w:sz w:val="20"/>
                <w:szCs w:val="20"/>
                <w:color w:val="auto"/>
              </w:rPr>
            </w:pPr>
            <w:r>
              <w:rPr>
                <w:rFonts w:ascii="Arial" w:cs="Arial" w:eastAsia="Arial" w:hAnsi="Arial"/>
                <w:sz w:val="16"/>
                <w:szCs w:val="16"/>
                <w:b w:val="1"/>
                <w:bCs w:val="1"/>
                <w:color w:val="auto"/>
                <w:w w:val="98"/>
              </w:rPr>
              <w:t>Initial ACL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vMerge w:val="restart"/>
          </w:tcPr>
          <w:p>
            <w:pPr>
              <w:jc w:val="right"/>
              <w:ind w:right="160"/>
              <w:spacing w:after="0"/>
              <w:rPr>
                <w:sz w:val="20"/>
                <w:szCs w:val="20"/>
                <w:color w:val="auto"/>
              </w:rPr>
            </w:pPr>
            <w:r>
              <w:rPr>
                <w:rFonts w:ascii="Arial" w:cs="Arial" w:eastAsia="Arial" w:hAnsi="Arial"/>
                <w:sz w:val="16"/>
                <w:szCs w:val="16"/>
                <w:b w:val="1"/>
                <w:bCs w:val="1"/>
                <w:color w:val="auto"/>
                <w:w w:val="95"/>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61"/>
              <w:spacing w:after="0"/>
              <w:rPr>
                <w:sz w:val="20"/>
                <w:szCs w:val="20"/>
                <w:color w:val="auto"/>
              </w:rPr>
            </w:pPr>
            <w:r>
              <w:rPr>
                <w:rFonts w:ascii="Arial" w:cs="Arial" w:eastAsia="Arial" w:hAnsi="Arial"/>
                <w:sz w:val="16"/>
                <w:szCs w:val="16"/>
                <w:b w:val="1"/>
                <w:bCs w:val="1"/>
                <w:color w:val="auto"/>
                <w:w w:val="95"/>
              </w:rPr>
              <w:t>Ending</w:t>
            </w:r>
          </w:p>
        </w:tc>
        <w:tc>
          <w:tcPr>
            <w:tcW w:w="0" w:type="dxa"/>
            <w:vAlign w:val="bottom"/>
          </w:tcPr>
          <w:p>
            <w:pPr>
              <w:spacing w:after="0"/>
              <w:rPr>
                <w:sz w:val="1"/>
                <w:szCs w:val="1"/>
                <w:color w:val="auto"/>
              </w:rPr>
            </w:pPr>
          </w:p>
        </w:tc>
      </w:tr>
      <w:tr>
        <w:trPr>
          <w:trHeight w:val="103"/>
        </w:trPr>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84"/>
              </w:rPr>
              <w:t>Recoveries</w:t>
            </w:r>
          </w:p>
        </w:tc>
        <w:tc>
          <w:tcPr>
            <w:tcW w:w="80" w:type="dxa"/>
            <w:vAlign w:val="bottom"/>
            <w:vMerge w:val="restart"/>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5"/>
          </w:tcPr>
          <w:p>
            <w:pPr>
              <w:jc w:val="center"/>
              <w:spacing w:after="0" w:line="103" w:lineRule="exact"/>
              <w:rPr>
                <w:sz w:val="20"/>
                <w:szCs w:val="20"/>
                <w:color w:val="auto"/>
              </w:rPr>
            </w:pPr>
            <w:r>
              <w:rPr>
                <w:rFonts w:ascii="Arial" w:cs="Arial" w:eastAsia="Arial" w:hAnsi="Arial"/>
                <w:sz w:val="11"/>
                <w:szCs w:val="11"/>
                <w:b w:val="1"/>
                <w:bCs w:val="1"/>
                <w:color w:val="auto"/>
              </w:rPr>
              <w:t>- PCD loans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86"/>
              </w:rPr>
              <w:t>Recoveries</w:t>
            </w:r>
          </w:p>
        </w:tc>
        <w:tc>
          <w:tcPr>
            <w:tcW w:w="80" w:type="dxa"/>
            <w:vAlign w:val="bottom"/>
            <w:vMerge w:val="restart"/>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Balance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Offs</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Provision</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7"/>
              </w:rPr>
              <w:t>Balance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w w:val="84"/>
              </w:rPr>
              <w:t>Balance</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w w:val="93"/>
              </w:rPr>
              <w:t>Offs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6"/>
                <w:szCs w:val="16"/>
                <w:b w:val="1"/>
                <w:bCs w:val="1"/>
                <w:color w:val="auto"/>
                <w:w w:val="93"/>
              </w:rPr>
              <w:t>Provision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28"/>
        </w:trPr>
        <w:tc>
          <w:tcPr>
            <w:tcW w:w="1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Owner occupied</w:t>
            </w:r>
          </w:p>
        </w:tc>
        <w:tc>
          <w:tcPr>
            <w:tcW w:w="2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17,292</w:t>
            </w:r>
          </w:p>
        </w:tc>
        <w:tc>
          <w:tcPr>
            <w:tcW w:w="80" w:type="dxa"/>
            <w:vAlign w:val="bottom"/>
            <w:shd w:val="clear" w:color="auto" w:fill="CCEEFF"/>
          </w:tcPr>
          <w:p>
            <w:pPr>
              <w:spacing w:after="0"/>
              <w:rPr>
                <w:sz w:val="11"/>
                <w:szCs w:val="1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14,144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14,592</w:t>
            </w:r>
          </w:p>
        </w:tc>
        <w:tc>
          <w:tcPr>
            <w:tcW w:w="460" w:type="dxa"/>
            <w:vAlign w:val="bottom"/>
            <w:gridSpan w:val="2"/>
            <w:vMerge w:val="restart"/>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center"/>
              <w:ind w:left="121"/>
              <w:spacing w:after="0"/>
              <w:rPr>
                <w:sz w:val="20"/>
                <w:szCs w:val="20"/>
                <w:color w:val="auto"/>
              </w:rPr>
            </w:pPr>
            <w:r>
              <w:rPr>
                <w:rFonts w:ascii="Arial" w:cs="Arial" w:eastAsia="Arial" w:hAnsi="Arial"/>
                <w:sz w:val="16"/>
                <w:szCs w:val="16"/>
                <w:color w:val="auto"/>
                <w:w w:val="99"/>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725</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9"/>
              </w:rPr>
              <w:t>2,278</w:t>
            </w:r>
          </w:p>
        </w:tc>
        <w:tc>
          <w:tcPr>
            <w:tcW w:w="80" w:type="dxa"/>
            <w:vAlign w:val="bottom"/>
            <w:shd w:val="clear" w:color="auto" w:fill="CCEEFF"/>
          </w:tcPr>
          <w:p>
            <w:pPr>
              <w:spacing w:after="0"/>
              <w:rPr>
                <w:sz w:val="11"/>
                <w:szCs w:val="11"/>
                <w:color w:val="auto"/>
              </w:rPr>
            </w:pPr>
          </w:p>
        </w:tc>
        <w:tc>
          <w:tcPr>
            <w:tcW w:w="18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19,374</w:t>
            </w: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8"/>
              </w:rPr>
              <w:t>commercial real estate</w:t>
            </w:r>
          </w:p>
        </w:tc>
        <w:tc>
          <w:tcPr>
            <w:tcW w:w="5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480" w:type="dxa"/>
            <w:vAlign w:val="bottom"/>
            <w:gridSpan w:val="4"/>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8" w:lineRule="exact"/>
              <w:rPr>
                <w:sz w:val="20"/>
                <w:szCs w:val="20"/>
                <w:color w:val="auto"/>
              </w:rPr>
            </w:pPr>
            <w:r>
              <w:rPr>
                <w:rFonts w:ascii="Arial" w:cs="Arial" w:eastAsia="Arial" w:hAnsi="Arial"/>
                <w:sz w:val="16"/>
                <w:szCs w:val="16"/>
                <w:color w:val="auto"/>
                <w:w w:val="95"/>
              </w:rPr>
              <w:t>Income producing</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30,967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(7,531)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6"/>
                <w:szCs w:val="16"/>
                <w:color w:val="auto"/>
              </w:rPr>
              <w:t>23,391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restart"/>
          </w:tcPr>
          <w:p>
            <w:pPr>
              <w:jc w:val="right"/>
              <w:ind w:right="1"/>
              <w:spacing w:after="0"/>
              <w:rPr>
                <w:sz w:val="20"/>
                <w:szCs w:val="20"/>
                <w:color w:val="auto"/>
              </w:rPr>
            </w:pPr>
            <w:r>
              <w:rPr>
                <w:rFonts w:ascii="Arial" w:cs="Arial" w:eastAsia="Arial" w:hAnsi="Arial"/>
                <w:sz w:val="16"/>
                <w:szCs w:val="16"/>
                <w:color w:val="auto"/>
              </w:rPr>
              <w:t>21,699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6"/>
                <w:szCs w:val="16"/>
                <w:color w:val="auto"/>
              </w:rPr>
              <w:t>1,208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6"/>
                <w:szCs w:val="16"/>
                <w:color w:val="auto"/>
              </w:rPr>
              <w:t>(3,033)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1,248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1"/>
              <w:spacing w:after="0"/>
              <w:rPr>
                <w:sz w:val="20"/>
                <w:szCs w:val="20"/>
                <w:color w:val="auto"/>
              </w:rPr>
            </w:pPr>
            <w:r>
              <w:rPr>
                <w:rFonts w:ascii="Arial" w:cs="Arial" w:eastAsia="Arial" w:hAnsi="Arial"/>
                <w:sz w:val="16"/>
                <w:szCs w:val="16"/>
                <w:color w:val="auto"/>
                <w:w w:val="81"/>
              </w:rPr>
              <w:t>13,916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35,038</w:t>
            </w:r>
          </w:p>
        </w:tc>
        <w:tc>
          <w:tcPr>
            <w:tcW w:w="0" w:type="dxa"/>
            <w:vAlign w:val="bottom"/>
          </w:tcPr>
          <w:p>
            <w:pPr>
              <w:spacing w:after="0"/>
              <w:rPr>
                <w:sz w:val="1"/>
                <w:szCs w:val="1"/>
                <w:color w:val="auto"/>
              </w:rPr>
            </w:pPr>
          </w:p>
        </w:tc>
      </w:tr>
      <w:tr>
        <w:trPr>
          <w:trHeight w:val="201"/>
        </w:trPr>
        <w:tc>
          <w:tcPr>
            <w:tcW w:w="1460" w:type="dxa"/>
            <w:vAlign w:val="bottom"/>
            <w:gridSpan w:val="2"/>
          </w:tcPr>
          <w:p>
            <w:pPr>
              <w:ind w:left="20"/>
              <w:spacing w:after="0"/>
              <w:rPr>
                <w:sz w:val="20"/>
                <w:szCs w:val="20"/>
                <w:color w:val="auto"/>
              </w:rPr>
            </w:pPr>
            <w:r>
              <w:rPr>
                <w:rFonts w:ascii="Arial" w:cs="Arial" w:eastAsia="Arial" w:hAnsi="Arial"/>
                <w:sz w:val="16"/>
                <w:szCs w:val="16"/>
                <w:color w:val="auto"/>
                <w:w w:val="88"/>
              </w:rPr>
              <w:t>commercial real estate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16,414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16,243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8,589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5,150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21,524</w:t>
            </w:r>
          </w:p>
        </w:tc>
        <w:tc>
          <w:tcPr>
            <w:tcW w:w="0" w:type="dxa"/>
            <w:vAlign w:val="bottom"/>
          </w:tcPr>
          <w:p>
            <w:pPr>
              <w:spacing w:after="0"/>
              <w:rPr>
                <w:sz w:val="1"/>
                <w:szCs w:val="1"/>
                <w:color w:val="auto"/>
              </w:rPr>
            </w:pPr>
          </w:p>
        </w:tc>
      </w:tr>
      <w:tr>
        <w:trPr>
          <w:trHeight w:val="201"/>
        </w:trPr>
        <w:tc>
          <w:tcPr>
            <w:tcW w:w="2000" w:type="dxa"/>
            <w:vAlign w:val="bottom"/>
            <w:gridSpan w:val="4"/>
          </w:tcPr>
          <w:p>
            <w:pPr>
              <w:ind w:left="20"/>
              <w:spacing w:after="0"/>
              <w:rPr>
                <w:sz w:val="20"/>
                <w:szCs w:val="20"/>
                <w:color w:val="auto"/>
              </w:rPr>
            </w:pPr>
            <w:r>
              <w:rPr>
                <w:rFonts w:ascii="Arial" w:cs="Arial" w:eastAsia="Arial" w:hAnsi="Arial"/>
                <w:sz w:val="16"/>
                <w:szCs w:val="16"/>
                <w:color w:val="auto"/>
              </w:rPr>
              <w:t>Commercial construction</w:t>
            </w:r>
          </w:p>
        </w:tc>
        <w:tc>
          <w:tcPr>
            <w:tcW w:w="620" w:type="dxa"/>
            <w:vAlign w:val="bottom"/>
            <w:gridSpan w:val="2"/>
          </w:tcPr>
          <w:p>
            <w:pPr>
              <w:jc w:val="right"/>
              <w:ind w:right="1"/>
              <w:spacing w:after="0"/>
              <w:rPr>
                <w:sz w:val="20"/>
                <w:szCs w:val="20"/>
                <w:color w:val="auto"/>
              </w:rPr>
            </w:pPr>
            <w:r>
              <w:rPr>
                <w:rFonts w:ascii="Arial" w:cs="Arial" w:eastAsia="Arial" w:hAnsi="Arial"/>
                <w:sz w:val="16"/>
                <w:szCs w:val="16"/>
                <w:color w:val="auto"/>
              </w:rPr>
              <w:t>9,180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8,172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6"/>
                <w:szCs w:val="16"/>
                <w:color w:val="auto"/>
              </w:rPr>
              <w:t>14,514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658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14,851</w:t>
            </w:r>
          </w:p>
        </w:tc>
        <w:tc>
          <w:tcPr>
            <w:tcW w:w="0" w:type="dxa"/>
            <w:vAlign w:val="bottom"/>
          </w:tcPr>
          <w:p>
            <w:pPr>
              <w:spacing w:after="0"/>
              <w:rPr>
                <w:sz w:val="1"/>
                <w:szCs w:val="1"/>
                <w:color w:val="auto"/>
              </w:rPr>
            </w:pPr>
          </w:p>
        </w:tc>
      </w:tr>
      <w:tr>
        <w:trPr>
          <w:trHeight w:val="204"/>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Equipment financing</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18,100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20,305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(3,136)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w:t>
            </w:r>
          </w:p>
        </w:tc>
        <w:tc>
          <w:tcPr>
            <w:tcW w:w="0" w:type="dxa"/>
            <w:vAlign w:val="bottom"/>
          </w:tcPr>
          <w:p>
            <w:pPr>
              <w:spacing w:after="0"/>
              <w:rPr>
                <w:sz w:val="1"/>
                <w:szCs w:val="1"/>
                <w:color w:val="auto"/>
              </w:rPr>
            </w:pPr>
          </w:p>
        </w:tc>
      </w:tr>
      <w:tr>
        <w:trPr>
          <w:trHeight w:val="201"/>
        </w:trPr>
        <w:tc>
          <w:tcPr>
            <w:tcW w:w="1460" w:type="dxa"/>
            <w:vAlign w:val="bottom"/>
            <w:gridSpan w:val="2"/>
          </w:tcPr>
          <w:p>
            <w:pPr>
              <w:ind w:left="20"/>
              <w:spacing w:after="0"/>
              <w:rPr>
                <w:sz w:val="20"/>
                <w:szCs w:val="20"/>
                <w:color w:val="auto"/>
              </w:rPr>
            </w:pPr>
            <w:r>
              <w:rPr>
                <w:rFonts w:ascii="Arial" w:cs="Arial" w:eastAsia="Arial" w:hAnsi="Arial"/>
                <w:sz w:val="16"/>
                <w:szCs w:val="16"/>
                <w:color w:val="auto"/>
                <w:w w:val="93"/>
              </w:rPr>
              <w:t>Residential mortgage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6"/>
                <w:szCs w:val="16"/>
                <w:color w:val="auto"/>
              </w:rPr>
              <w:t>10,965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11,473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6"/>
                <w:szCs w:val="16"/>
                <w:color w:val="auto"/>
              </w:rPr>
              <w:t>12,826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rPr>
              <w:t>195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4,506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17,562</w:t>
            </w:r>
          </w:p>
        </w:tc>
        <w:tc>
          <w:tcPr>
            <w:tcW w:w="0" w:type="dxa"/>
            <w:vAlign w:val="bottom"/>
          </w:tcPr>
          <w:p>
            <w:pPr>
              <w:spacing w:after="0"/>
              <w:rPr>
                <w:sz w:val="1"/>
                <w:szCs w:val="1"/>
                <w:color w:val="auto"/>
              </w:rPr>
            </w:pPr>
          </w:p>
        </w:tc>
      </w:tr>
      <w:tr>
        <w:trPr>
          <w:trHeight w:val="204"/>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6,357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8,687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w:t>
            </w:r>
          </w:p>
        </w:tc>
        <w:tc>
          <w:tcPr>
            <w:tcW w:w="0" w:type="dxa"/>
            <w:vAlign w:val="bottom"/>
          </w:tcPr>
          <w:p>
            <w:pPr>
              <w:spacing w:after="0"/>
              <w:rPr>
                <w:sz w:val="1"/>
                <w:szCs w:val="1"/>
                <w:color w:val="auto"/>
              </w:rPr>
            </w:pPr>
          </w:p>
        </w:tc>
      </w:tr>
      <w:tr>
        <w:trPr>
          <w:trHeight w:val="201"/>
        </w:trPr>
        <w:tc>
          <w:tcPr>
            <w:tcW w:w="2000" w:type="dxa"/>
            <w:vAlign w:val="bottom"/>
            <w:gridSpan w:val="4"/>
          </w:tcPr>
          <w:p>
            <w:pPr>
              <w:ind w:left="20"/>
              <w:spacing w:after="0"/>
              <w:rPr>
                <w:sz w:val="20"/>
                <w:szCs w:val="20"/>
                <w:color w:val="auto"/>
              </w:rPr>
            </w:pPr>
            <w:r>
              <w:rPr>
                <w:rFonts w:ascii="Arial" w:cs="Arial" w:eastAsia="Arial" w:hAnsi="Arial"/>
                <w:sz w:val="16"/>
                <w:szCs w:val="16"/>
                <w:color w:val="auto"/>
              </w:rPr>
              <w:t>Residential construction</w:t>
            </w:r>
          </w:p>
        </w:tc>
        <w:tc>
          <w:tcPr>
            <w:tcW w:w="620" w:type="dxa"/>
            <w:vAlign w:val="bottom"/>
            <w:gridSpan w:val="2"/>
          </w:tcPr>
          <w:p>
            <w:pPr>
              <w:jc w:val="right"/>
              <w:ind w:right="1"/>
              <w:spacing w:after="0"/>
              <w:rPr>
                <w:sz w:val="20"/>
                <w:szCs w:val="20"/>
                <w:color w:val="auto"/>
              </w:rPr>
            </w:pPr>
            <w:r>
              <w:rPr>
                <w:rFonts w:ascii="Arial" w:cs="Arial" w:eastAsia="Arial" w:hAnsi="Arial"/>
                <w:sz w:val="16"/>
                <w:szCs w:val="16"/>
                <w:color w:val="auto"/>
              </w:rPr>
              <w:t>1,918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1,936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6"/>
                <w:szCs w:val="16"/>
                <w:color w:val="auto"/>
              </w:rPr>
              <w:t>1,997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4"/>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5"/>
        </w:trPr>
        <w:tc>
          <w:tcPr>
            <w:tcW w:w="1260" w:type="dxa"/>
            <w:vAlign w:val="bottom"/>
          </w:tcPr>
          <w:p>
            <w:pPr>
              <w:ind w:left="120"/>
              <w:spacing w:after="0"/>
              <w:rPr>
                <w:sz w:val="20"/>
                <w:szCs w:val="20"/>
                <w:color w:val="auto"/>
              </w:rPr>
            </w:pPr>
            <w:r>
              <w:rPr>
                <w:rFonts w:ascii="Arial" w:cs="Arial" w:eastAsia="Arial" w:hAnsi="Arial"/>
                <w:sz w:val="16"/>
                <w:szCs w:val="16"/>
                <w:color w:val="auto"/>
              </w:rPr>
              <w:t>ACL - loans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6"/>
                <w:szCs w:val="16"/>
                <w:color w:val="auto"/>
                <w:w w:val="89"/>
              </w:rPr>
              <w:t>111,616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(2,851)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2,300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(11,445)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99,620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6"/>
                <w:szCs w:val="16"/>
                <w:color w:val="auto"/>
              </w:rPr>
              <w:t>103,669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w w:val="89"/>
              </w:rPr>
              <w:t>11,152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(6,756)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w w:val="89"/>
              </w:rPr>
              <w:t>4,218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81"/>
              </w:rPr>
              <w:t>21,973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134,256</w:t>
            </w:r>
          </w:p>
        </w:tc>
        <w:tc>
          <w:tcPr>
            <w:tcW w:w="0" w:type="dxa"/>
            <w:vAlign w:val="bottom"/>
          </w:tcPr>
          <w:p>
            <w:pPr>
              <w:spacing w:after="0"/>
              <w:rPr>
                <w:sz w:val="1"/>
                <w:szCs w:val="1"/>
                <w:color w:val="auto"/>
              </w:rPr>
            </w:pPr>
          </w:p>
        </w:tc>
      </w:tr>
      <w:tr>
        <w:trPr>
          <w:trHeight w:val="150"/>
        </w:trPr>
        <w:tc>
          <w:tcPr>
            <w:tcW w:w="1260" w:type="dxa"/>
            <w:vAlign w:val="bottom"/>
            <w:shd w:val="clear" w:color="auto" w:fill="CCEEFF"/>
          </w:tcPr>
          <w:p>
            <w:pPr>
              <w:ind w:left="140"/>
              <w:spacing w:after="0" w:line="150" w:lineRule="exact"/>
              <w:rPr>
                <w:sz w:val="20"/>
                <w:szCs w:val="20"/>
                <w:color w:val="auto"/>
              </w:rPr>
            </w:pPr>
            <w:r>
              <w:rPr>
                <w:rFonts w:ascii="Arial" w:cs="Arial" w:eastAsia="Arial" w:hAnsi="Arial"/>
                <w:sz w:val="16"/>
                <w:szCs w:val="16"/>
                <w:color w:val="auto"/>
                <w:w w:val="98"/>
              </w:rPr>
              <w:t>ACL - unfunded</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10,844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11,255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12,100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center"/>
              <w:ind w:left="121"/>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11,920</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6"/>
                <w:szCs w:val="16"/>
                <w:color w:val="auto"/>
              </w:rPr>
              <w:t>Total ACL</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w w:val="89"/>
              </w:rPr>
              <w:t>122,460</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(2,851)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2,300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(11,034)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110,875</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115,769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w w:val="89"/>
              </w:rPr>
              <w:t>11,152</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(6,756)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4,218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1"/>
              </w:rPr>
              <w:t>21,793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3"/>
          </w:tcPr>
          <w:p>
            <w:pPr>
              <w:jc w:val="right"/>
              <w:ind w:right="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146,176</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1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7"/>
          </w:tcPr>
          <w:p>
            <w:pPr>
              <w:jc w:val="right"/>
              <w:ind w:right="81"/>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880" w:type="dxa"/>
            <w:vAlign w:val="bottom"/>
            <w:tcBorders>
              <w:bottom w:val="single" w:sz="8" w:color="auto"/>
            </w:tcBorders>
            <w:gridSpan w:val="19"/>
          </w:tcPr>
          <w:p>
            <w:pPr>
              <w:jc w:val="right"/>
              <w:ind w:right="380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6020" w:type="dxa"/>
            <w:vAlign w:val="bottom"/>
            <w:tcBorders>
              <w:bottom w:val="single" w:sz="8" w:color="auto"/>
            </w:tcBorders>
            <w:gridSpan w:val="38"/>
          </w:tcPr>
          <w:p>
            <w:pPr>
              <w:jc w:val="right"/>
              <w:ind w:right="59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w w:val="89"/>
              </w:rPr>
              <w:t>Dec.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4"/>
          </w:tcPr>
          <w:p>
            <w:pPr>
              <w:jc w:val="center"/>
              <w:ind w:right="1"/>
              <w:spacing w:after="0" w:line="142" w:lineRule="exact"/>
              <w:rPr>
                <w:sz w:val="20"/>
                <w:szCs w:val="20"/>
                <w:color w:val="auto"/>
              </w:rPr>
            </w:pPr>
            <w:r>
              <w:rPr>
                <w:rFonts w:ascii="Arial" w:cs="Arial" w:eastAsia="Arial" w:hAnsi="Arial"/>
                <w:sz w:val="16"/>
                <w:szCs w:val="16"/>
                <w:b w:val="1"/>
                <w:bCs w:val="1"/>
                <w:color w:val="auto"/>
                <w:w w:val="95"/>
              </w:rPr>
              <w:t>Initial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Beginning</w:t>
            </w:r>
          </w:p>
        </w:tc>
        <w:tc>
          <w:tcPr>
            <w:tcW w:w="8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5"/>
              </w:rPr>
              <w:t>Charge-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w w:val="89"/>
              </w:rPr>
              <w:t>(Release)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Ending</w:t>
            </w:r>
          </w:p>
        </w:tc>
        <w:tc>
          <w:tcPr>
            <w:tcW w:w="700" w:type="dxa"/>
            <w:vAlign w:val="bottom"/>
            <w:gridSpan w:val="4"/>
            <w:vMerge w:val="continue"/>
          </w:tcPr>
          <w:p>
            <w:pPr>
              <w:spacing w:after="0"/>
              <w:rPr>
                <w:sz w:val="12"/>
                <w:szCs w:val="12"/>
                <w:color w:val="auto"/>
              </w:rPr>
            </w:pPr>
          </w:p>
        </w:tc>
        <w:tc>
          <w:tcPr>
            <w:tcW w:w="74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w w:val="99"/>
              </w:rPr>
              <w:t>Adoption</w:t>
            </w:r>
          </w:p>
        </w:tc>
        <w:tc>
          <w:tcPr>
            <w:tcW w:w="920" w:type="dxa"/>
            <w:vAlign w:val="bottom"/>
            <w:gridSpan w:val="6"/>
            <w:vMerge w:val="restart"/>
          </w:tcPr>
          <w:p>
            <w:pPr>
              <w:jc w:val="right"/>
              <w:ind w:right="141"/>
              <w:spacing w:after="0"/>
              <w:rPr>
                <w:sz w:val="20"/>
                <w:szCs w:val="20"/>
                <w:color w:val="auto"/>
              </w:rPr>
            </w:pPr>
            <w:r>
              <w:rPr>
                <w:rFonts w:ascii="Arial" w:cs="Arial" w:eastAsia="Arial" w:hAnsi="Arial"/>
                <w:sz w:val="16"/>
                <w:szCs w:val="16"/>
                <w:b w:val="1"/>
                <w:bCs w:val="1"/>
                <w:color w:val="auto"/>
                <w:w w:val="86"/>
              </w:rPr>
              <w:t>Beginning</w:t>
            </w:r>
          </w:p>
        </w:tc>
        <w:tc>
          <w:tcPr>
            <w:tcW w:w="480" w:type="dxa"/>
            <w:vAlign w:val="bottom"/>
            <w:gridSpan w:val="4"/>
          </w:tcPr>
          <w:p>
            <w:pPr>
              <w:jc w:val="center"/>
              <w:spacing w:after="0" w:line="148" w:lineRule="exact"/>
              <w:rPr>
                <w:sz w:val="20"/>
                <w:szCs w:val="20"/>
                <w:color w:val="auto"/>
              </w:rPr>
            </w:pPr>
            <w:r>
              <w:rPr>
                <w:rFonts w:ascii="Arial" w:cs="Arial" w:eastAsia="Arial" w:hAnsi="Arial"/>
                <w:sz w:val="16"/>
                <w:szCs w:val="16"/>
                <w:b w:val="1"/>
                <w:bCs w:val="1"/>
                <w:color w:val="auto"/>
                <w:w w:val="98"/>
              </w:rPr>
              <w:t>ACL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89"/>
              </w:rPr>
              <w:t>Charge-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w w:val="89"/>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88"/>
              </w:rPr>
              <w:t>Ending</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3"/>
              </w:rPr>
              <w:t>Recoveries</w:t>
            </w:r>
          </w:p>
        </w:tc>
        <w:tc>
          <w:tcPr>
            <w:tcW w:w="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40"/>
              <w:spacing w:after="0" w:line="148"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480" w:type="dxa"/>
            <w:vAlign w:val="bottom"/>
            <w:gridSpan w:val="4"/>
          </w:tcPr>
          <w:p>
            <w:pPr>
              <w:jc w:val="center"/>
              <w:ind w:right="1"/>
              <w:spacing w:after="0" w:line="148" w:lineRule="exact"/>
              <w:rPr>
                <w:sz w:val="20"/>
                <w:szCs w:val="20"/>
                <w:color w:val="auto"/>
              </w:rPr>
            </w:pPr>
            <w:r>
              <w:rPr>
                <w:rFonts w:ascii="Arial" w:cs="Arial" w:eastAsia="Arial" w:hAnsi="Arial"/>
                <w:sz w:val="16"/>
                <w:szCs w:val="16"/>
                <w:b w:val="1"/>
                <w:bCs w:val="1"/>
                <w:color w:val="auto"/>
                <w:w w:val="94"/>
              </w:rPr>
              <w:t>PCD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84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w w:val="93"/>
              </w:rPr>
              <w:t>Recoveries</w:t>
            </w:r>
          </w:p>
        </w:tc>
        <w:tc>
          <w:tcPr>
            <w:tcW w:w="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4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Offs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w w:val="87"/>
              </w:rPr>
              <w:t>Provision</w:t>
            </w:r>
          </w:p>
        </w:tc>
        <w:tc>
          <w:tcPr>
            <w:tcW w:w="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7"/>
              </w:rPr>
              <w:t>Balance</w:t>
            </w:r>
          </w:p>
        </w:tc>
        <w:tc>
          <w:tcPr>
            <w:tcW w:w="700" w:type="dxa"/>
            <w:vAlign w:val="bottom"/>
            <w:gridSpan w:val="4"/>
          </w:tcPr>
          <w:p>
            <w:pPr>
              <w:ind w:left="40"/>
              <w:spacing w:after="0"/>
              <w:rPr>
                <w:sz w:val="20"/>
                <w:szCs w:val="20"/>
                <w:color w:val="auto"/>
              </w:rPr>
            </w:pPr>
            <w:r>
              <w:rPr>
                <w:rFonts w:ascii="Arial" w:cs="Arial" w:eastAsia="Arial" w:hAnsi="Arial"/>
                <w:sz w:val="16"/>
                <w:szCs w:val="16"/>
                <w:b w:val="1"/>
                <w:bCs w:val="1"/>
                <w:color w:val="auto"/>
              </w:rPr>
              <w:t>Balance</w:t>
            </w:r>
          </w:p>
        </w:tc>
        <w:tc>
          <w:tcPr>
            <w:tcW w:w="740" w:type="dxa"/>
            <w:vAlign w:val="bottom"/>
            <w:gridSpan w:val="5"/>
          </w:tcPr>
          <w:p>
            <w:pPr>
              <w:ind w:left="20"/>
              <w:spacing w:after="0"/>
              <w:rPr>
                <w:sz w:val="20"/>
                <w:szCs w:val="20"/>
                <w:color w:val="auto"/>
              </w:rPr>
            </w:pPr>
            <w:r>
              <w:rPr>
                <w:rFonts w:ascii="Arial" w:cs="Arial" w:eastAsia="Arial" w:hAnsi="Arial"/>
                <w:sz w:val="16"/>
                <w:szCs w:val="16"/>
                <w:b w:val="1"/>
                <w:bCs w:val="1"/>
                <w:color w:val="auto"/>
              </w:rPr>
              <w:t>of CECL</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5"/>
          </w:tcPr>
          <w:p>
            <w:pPr>
              <w:jc w:val="center"/>
              <w:spacing w:after="0" w:line="203" w:lineRule="exact"/>
              <w:rPr>
                <w:sz w:val="20"/>
                <w:szCs w:val="20"/>
                <w:color w:val="auto"/>
              </w:rPr>
            </w:pPr>
            <w:r>
              <w:rPr>
                <w:rFonts w:ascii="Arial" w:cs="Arial" w:eastAsia="Arial" w:hAnsi="Arial"/>
                <w:sz w:val="16"/>
                <w:szCs w:val="16"/>
                <w:b w:val="1"/>
                <w:bCs w:val="1"/>
                <w:color w:val="auto"/>
                <w:w w:val="79"/>
              </w:rPr>
              <w:t xml:space="preserve">loans </w:t>
            </w:r>
            <w:r>
              <w:rPr>
                <w:rFonts w:ascii="Arial" w:cs="Arial" w:eastAsia="Arial" w:hAnsi="Arial"/>
                <w:sz w:val="20"/>
                <w:szCs w:val="20"/>
                <w:b w:val="1"/>
                <w:bCs w:val="1"/>
                <w:color w:val="auto"/>
                <w:w w:val="79"/>
                <w:vertAlign w:val="superscript"/>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Offs</w:t>
            </w:r>
          </w:p>
        </w:tc>
        <w:tc>
          <w:tcPr>
            <w:tcW w:w="840" w:type="dxa"/>
            <w:vAlign w:val="bottom"/>
            <w:gridSpan w:val="5"/>
            <w:vMerge w:val="continue"/>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w w:val="87"/>
              </w:rPr>
              <w:t>Provision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4"/>
              </w:rPr>
              <w:t>Balance</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Owner occupied</w:t>
            </w:r>
          </w:p>
        </w:tc>
        <w:tc>
          <w:tcPr>
            <w:tcW w:w="740" w:type="dxa"/>
            <w:vAlign w:val="bottom"/>
            <w:tcBorders>
              <w:top w:val="single" w:sz="8" w:color="auto"/>
            </w:tcBorders>
            <w:gridSpan w:val="3"/>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3"/>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5"/>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6"/>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commercial real</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89"/>
              </w:rPr>
              <w:t>20,673</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 (1,503)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(5,958)</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14,144</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3"/>
              </w:rPr>
              <w:t>$ 11,404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(1,616)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9,788</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560" w:type="dxa"/>
            <w:vAlign w:val="bottom"/>
            <w:gridSpan w:val="3"/>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w w:val="91"/>
              </w:rPr>
              <w:t>(6)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5,588</w:t>
            </w:r>
          </w:p>
        </w:tc>
        <w:tc>
          <w:tcPr>
            <w:tcW w:w="180" w:type="dxa"/>
            <w:vAlign w:val="bottom"/>
            <w:gridSpan w:val="3"/>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19,374</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estate</w:t>
            </w:r>
          </w:p>
        </w:tc>
        <w:tc>
          <w:tcPr>
            <w:tcW w:w="20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4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480" w:type="dxa"/>
            <w:vAlign w:val="bottom"/>
            <w:gridSpan w:val="4"/>
            <w:vMerge w:val="continue"/>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240" w:type="dxa"/>
            <w:vAlign w:val="bottom"/>
            <w:gridSpan w:val="59"/>
          </w:tcPr>
          <w:p>
            <w:pPr>
              <w:ind w:left="20"/>
              <w:spacing w:after="0" w:line="148" w:lineRule="exact"/>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148"/>
        </w:trPr>
        <w:tc>
          <w:tcPr>
            <w:tcW w:w="11240" w:type="dxa"/>
            <w:vAlign w:val="bottom"/>
            <w:gridSpan w:val="59"/>
          </w:tcPr>
          <w:p>
            <w:pPr>
              <w:ind w:left="20"/>
              <w:spacing w:after="0" w:line="148" w:lineRule="exact"/>
              <w:rPr>
                <w:sz w:val="20"/>
                <w:szCs w:val="20"/>
                <w:color w:val="auto"/>
              </w:rPr>
            </w:pPr>
            <w:r>
              <w:rPr>
                <w:rFonts w:ascii="Arial" w:cs="Arial" w:eastAsia="Arial" w:hAnsi="Arial"/>
                <w:sz w:val="16"/>
                <w:szCs w:val="16"/>
                <w:color w:val="auto"/>
              </w:rPr>
              <w:t>producing</w:t>
            </w: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8" w:lineRule="exact"/>
              <w:rPr>
                <w:sz w:val="20"/>
                <w:szCs w:val="20"/>
                <w:color w:val="auto"/>
              </w:rPr>
            </w:pPr>
            <w:r>
              <w:rPr>
                <w:rFonts w:ascii="Arial" w:cs="Arial" w:eastAsia="Arial" w:hAnsi="Arial"/>
                <w:sz w:val="16"/>
                <w:szCs w:val="16"/>
                <w:color w:val="auto"/>
              </w:rPr>
              <w:t>commercial real</w:t>
            </w:r>
          </w:p>
        </w:tc>
        <w:tc>
          <w:tcPr>
            <w:tcW w:w="200" w:type="dxa"/>
            <w:vAlign w:val="bottom"/>
          </w:tcPr>
          <w:p>
            <w:pPr>
              <w:spacing w:after="0"/>
              <w:rPr>
                <w:sz w:val="12"/>
                <w:szCs w:val="12"/>
                <w:color w:val="auto"/>
              </w:rPr>
            </w:pPr>
          </w:p>
        </w:tc>
        <w:tc>
          <w:tcPr>
            <w:tcW w:w="54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w w:val="89"/>
              </w:rPr>
              <w:t>41,737</w:t>
            </w: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7"/>
              </w:rPr>
              <w:t>(18,476)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23,391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85"/>
              </w:rPr>
              <w:t>12,306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12,276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6"/>
                <w:szCs w:val="16"/>
                <w:color w:val="auto"/>
              </w:rPr>
              <w:t>1,208</w:t>
            </w:r>
          </w:p>
        </w:tc>
        <w:tc>
          <w:tcPr>
            <w:tcW w:w="800" w:type="dxa"/>
            <w:vAlign w:val="bottom"/>
            <w:gridSpan w:val="6"/>
            <w:vMerge w:val="restart"/>
          </w:tcPr>
          <w:p>
            <w:pPr>
              <w:jc w:val="right"/>
              <w:spacing w:after="0"/>
              <w:rPr>
                <w:sz w:val="20"/>
                <w:szCs w:val="20"/>
                <w:color w:val="auto"/>
              </w:rPr>
            </w:pPr>
            <w:r>
              <w:rPr>
                <w:rFonts w:ascii="Arial" w:cs="Arial" w:eastAsia="Arial" w:hAnsi="Arial"/>
                <w:sz w:val="16"/>
                <w:szCs w:val="16"/>
                <w:color w:val="auto"/>
              </w:rPr>
              <w:t>(8,033)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28,157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35,038</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6"/>
                <w:szCs w:val="16"/>
                <w:color w:val="auto"/>
              </w:rPr>
              <w:t>estate</w:t>
            </w:r>
          </w:p>
        </w:tc>
        <w:tc>
          <w:tcPr>
            <w:tcW w:w="2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vMerge w:val="continue"/>
          </w:tcPr>
          <w:p>
            <w:pPr>
              <w:spacing w:after="0"/>
              <w:rPr>
                <w:sz w:val="17"/>
                <w:szCs w:val="17"/>
                <w:color w:val="auto"/>
              </w:rPr>
            </w:pPr>
          </w:p>
        </w:tc>
        <w:tc>
          <w:tcPr>
            <w:tcW w:w="8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60" w:type="dxa"/>
            <w:vAlign w:val="bottom"/>
            <w:shd w:val="clear" w:color="auto" w:fill="CCEEFF"/>
          </w:tcPr>
          <w:p>
            <w:pPr>
              <w:ind w:left="20"/>
              <w:spacing w:after="0" w:line="150" w:lineRule="exact"/>
              <w:rPr>
                <w:sz w:val="20"/>
                <w:szCs w:val="20"/>
                <w:color w:val="auto"/>
              </w:rPr>
            </w:pPr>
            <w:r>
              <w:rPr>
                <w:rFonts w:ascii="Arial" w:cs="Arial" w:eastAsia="Arial" w:hAnsi="Arial"/>
                <w:sz w:val="16"/>
                <w:szCs w:val="16"/>
                <w:color w:val="auto"/>
              </w:rPr>
              <w:t>Commercial &amp;</w:t>
            </w:r>
          </w:p>
        </w:tc>
        <w:tc>
          <w:tcPr>
            <w:tcW w:w="2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89"/>
              </w:rPr>
              <w:t>22,019</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(8,614)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9,278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800" w:type="dxa"/>
            <w:vAlign w:val="bottom"/>
            <w:gridSpan w:val="6"/>
            <w:vMerge w:val="restart"/>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11,609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21,524</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4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vMerge w:val="continue"/>
            <w:shd w:val="clear" w:color="auto" w:fill="CCEEFF"/>
          </w:tcPr>
          <w:p>
            <w:pPr>
              <w:spacing w:after="0"/>
              <w:rPr>
                <w:sz w:val="17"/>
                <w:szCs w:val="17"/>
                <w:color w:val="auto"/>
              </w:rPr>
            </w:pPr>
          </w:p>
        </w:tc>
        <w:tc>
          <w:tcPr>
            <w:tcW w:w="800" w:type="dxa"/>
            <w:vAlign w:val="bottom"/>
            <w:gridSpan w:val="6"/>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8" w:lineRule="exact"/>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2"/>
                <w:szCs w:val="12"/>
                <w:color w:val="auto"/>
              </w:rPr>
            </w:pPr>
          </w:p>
        </w:tc>
        <w:tc>
          <w:tcPr>
            <w:tcW w:w="54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w w:val="89"/>
              </w:rPr>
              <w:t>10,952</w:t>
            </w: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8,172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9,668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(2,583)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rPr>
              <w:t>7,085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color w:val="auto"/>
              </w:rPr>
              <w:t>74</w:t>
            </w:r>
          </w:p>
        </w:tc>
        <w:tc>
          <w:tcPr>
            <w:tcW w:w="800" w:type="dxa"/>
            <w:vAlign w:val="bottom"/>
            <w:gridSpan w:val="6"/>
            <w:vMerge w:val="restart"/>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916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7,502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14,851</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8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60" w:type="dxa"/>
            <w:vAlign w:val="bottom"/>
            <w:shd w:val="clear" w:color="auto" w:fill="CCEEFF"/>
          </w:tcPr>
          <w:p>
            <w:pPr>
              <w:ind w:left="20"/>
              <w:spacing w:after="0" w:line="150" w:lineRule="exact"/>
              <w:rPr>
                <w:sz w:val="20"/>
                <w:szCs w:val="20"/>
                <w:color w:val="auto"/>
              </w:rPr>
            </w:pPr>
            <w:r>
              <w:rPr>
                <w:rFonts w:ascii="Arial" w:cs="Arial" w:eastAsia="Arial" w:hAnsi="Arial"/>
                <w:sz w:val="16"/>
                <w:szCs w:val="16"/>
                <w:color w:val="auto"/>
              </w:rPr>
              <w:t>Equipment</w:t>
            </w:r>
          </w:p>
        </w:tc>
        <w:tc>
          <w:tcPr>
            <w:tcW w:w="2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89"/>
              </w:rPr>
              <w:t>16,820</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2,804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5,871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13,255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800" w:type="dxa"/>
            <w:vAlign w:val="bottom"/>
            <w:gridSpan w:val="6"/>
            <w:vMerge w:val="restart"/>
            <w:shd w:val="clear" w:color="auto" w:fill="CCEEFF"/>
          </w:tcPr>
          <w:p>
            <w:pPr>
              <w:jc w:val="right"/>
              <w:spacing w:after="0"/>
              <w:rPr>
                <w:sz w:val="20"/>
                <w:szCs w:val="20"/>
                <w:color w:val="auto"/>
              </w:rPr>
            </w:pPr>
            <w:r>
              <w:rPr>
                <w:rFonts w:ascii="Arial" w:cs="Arial" w:eastAsia="Arial" w:hAnsi="Arial"/>
                <w:sz w:val="16"/>
                <w:szCs w:val="16"/>
                <w:color w:val="auto"/>
              </w:rPr>
              <w:t>(6,366)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7,086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15,176</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w:t>
            </w:r>
          </w:p>
        </w:tc>
        <w:tc>
          <w:tcPr>
            <w:tcW w:w="2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4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800" w:type="dxa"/>
            <w:vAlign w:val="bottom"/>
            <w:gridSpan w:val="6"/>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20"/>
              <w:spacing w:after="0" w:line="148" w:lineRule="exact"/>
              <w:rPr>
                <w:sz w:val="20"/>
                <w:szCs w:val="20"/>
                <w:color w:val="auto"/>
              </w:rPr>
            </w:pPr>
            <w:r>
              <w:rPr>
                <w:rFonts w:ascii="Arial" w:cs="Arial" w:eastAsia="Arial" w:hAnsi="Arial"/>
                <w:sz w:val="16"/>
                <w:szCs w:val="16"/>
                <w:color w:val="auto"/>
              </w:rPr>
              <w:t>Residential</w:t>
            </w:r>
          </w:p>
        </w:tc>
        <w:tc>
          <w:tcPr>
            <w:tcW w:w="200" w:type="dxa"/>
            <w:vAlign w:val="bottom"/>
          </w:tcPr>
          <w:p>
            <w:pPr>
              <w:spacing w:after="0"/>
              <w:rPr>
                <w:sz w:val="12"/>
                <w:szCs w:val="12"/>
                <w:color w:val="auto"/>
              </w:rPr>
            </w:pPr>
          </w:p>
        </w:tc>
        <w:tc>
          <w:tcPr>
            <w:tcW w:w="54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w w:val="89"/>
              </w:rPr>
              <w:t>15,341</w:t>
            </w: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(3,919)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11,473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8,081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rPr>
              <w:t>1,569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rPr>
              <w:t>9,650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color w:val="auto"/>
                <w:w w:val="74"/>
              </w:rPr>
              <w:t>195</w:t>
            </w:r>
          </w:p>
        </w:tc>
        <w:tc>
          <w:tcPr>
            <w:tcW w:w="800" w:type="dxa"/>
            <w:vAlign w:val="bottom"/>
            <w:gridSpan w:val="6"/>
            <w:vMerge w:val="restart"/>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7,685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17,562</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6"/>
                <w:szCs w:val="16"/>
                <w:color w:val="auto"/>
              </w:rPr>
              <w:t>mortgage</w:t>
            </w:r>
          </w:p>
        </w:tc>
        <w:tc>
          <w:tcPr>
            <w:tcW w:w="2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8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8,417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74"/>
              </w:rPr>
              <w:t>209</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w:t>
            </w: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8" w:lineRule="exact"/>
              <w:rPr>
                <w:sz w:val="20"/>
                <w:szCs w:val="20"/>
                <w:color w:val="auto"/>
              </w:rPr>
            </w:pPr>
            <w:r>
              <w:rPr>
                <w:rFonts w:ascii="Arial" w:cs="Arial" w:eastAsia="Arial" w:hAnsi="Arial"/>
                <w:sz w:val="16"/>
                <w:szCs w:val="16"/>
                <w:color w:val="auto"/>
              </w:rPr>
              <w:t>Residential</w:t>
            </w:r>
          </w:p>
        </w:tc>
        <w:tc>
          <w:tcPr>
            <w:tcW w:w="200" w:type="dxa"/>
            <w:vAlign w:val="bottom"/>
          </w:tcPr>
          <w:p>
            <w:pPr>
              <w:spacing w:after="0"/>
              <w:rPr>
                <w:sz w:val="12"/>
                <w:szCs w:val="12"/>
                <w:color w:val="auto"/>
              </w:rPr>
            </w:pPr>
          </w:p>
        </w:tc>
        <w:tc>
          <w:tcPr>
            <w:tcW w:w="54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rPr>
              <w:t>764</w:t>
            </w: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2,504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(1,771)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rPr>
              <w:t>733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w:t>
            </w:r>
          </w:p>
        </w:tc>
        <w:tc>
          <w:tcPr>
            <w:tcW w:w="800" w:type="dxa"/>
            <w:vAlign w:val="bottom"/>
            <w:gridSpan w:val="6"/>
            <w:vMerge w:val="restart"/>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287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5"/>
        </w:trPr>
        <w:tc>
          <w:tcPr>
            <w:tcW w:w="1260" w:type="dxa"/>
            <w:vAlign w:val="bottom"/>
          </w:tcPr>
          <w:p>
            <w:pPr>
              <w:ind w:left="140"/>
              <w:spacing w:after="0"/>
              <w:rPr>
                <w:sz w:val="20"/>
                <w:szCs w:val="20"/>
                <w:color w:val="auto"/>
              </w:rPr>
            </w:pPr>
            <w:r>
              <w:rPr>
                <w:rFonts w:ascii="Arial" w:cs="Arial" w:eastAsia="Arial" w:hAnsi="Arial"/>
                <w:sz w:val="16"/>
                <w:szCs w:val="16"/>
                <w:color w:val="auto"/>
              </w:rPr>
              <w:t>ACL - loans</w:t>
            </w:r>
          </w:p>
        </w:tc>
        <w:tc>
          <w:tcPr>
            <w:tcW w:w="740" w:type="dxa"/>
            <w:vAlign w:val="bottom"/>
            <w:tcBorders>
              <w:top w:val="single" w:sz="8" w:color="auto"/>
            </w:tcBorders>
            <w:gridSpan w:val="3"/>
          </w:tcPr>
          <w:p>
            <w:pPr>
              <w:jc w:val="right"/>
              <w:ind w:right="3"/>
              <w:spacing w:after="0"/>
              <w:rPr>
                <w:sz w:val="20"/>
                <w:szCs w:val="20"/>
                <w:color w:val="auto"/>
              </w:rPr>
            </w:pPr>
            <w:r>
              <w:rPr>
                <w:rFonts w:ascii="Arial" w:cs="Arial" w:eastAsia="Arial" w:hAnsi="Arial"/>
                <w:sz w:val="16"/>
                <w:szCs w:val="16"/>
                <w:color w:val="auto"/>
              </w:rPr>
              <w:t>137,010</w:t>
            </w:r>
          </w:p>
        </w:tc>
        <w:tc>
          <w:tcPr>
            <w:tcW w:w="80" w:type="dxa"/>
            <w:vAlign w:val="bottom"/>
          </w:tcPr>
          <w:p>
            <w:pPr>
              <w:spacing w:after="0"/>
              <w:rPr>
                <w:sz w:val="16"/>
                <w:szCs w:val="16"/>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(12,215)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12,425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7"/>
              </w:rPr>
              <w:t>(37,600)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99,620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62,089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6,880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68,969</w:t>
            </w: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w w:val="85"/>
              </w:rPr>
              <w:t>11,152</w:t>
            </w: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(25,620)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8,819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70,936</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134,256</w:t>
            </w:r>
          </w:p>
        </w:tc>
        <w:tc>
          <w:tcPr>
            <w:tcW w:w="0" w:type="dxa"/>
            <w:vAlign w:val="bottom"/>
          </w:tcPr>
          <w:p>
            <w:pPr>
              <w:spacing w:after="0"/>
              <w:rPr>
                <w:sz w:val="1"/>
                <w:szCs w:val="1"/>
                <w:color w:val="auto"/>
              </w:rPr>
            </w:pPr>
          </w:p>
        </w:tc>
      </w:tr>
      <w:tr>
        <w:trPr>
          <w:trHeight w:val="150"/>
        </w:trPr>
        <w:tc>
          <w:tcPr>
            <w:tcW w:w="11240" w:type="dxa"/>
            <w:vAlign w:val="bottom"/>
            <w:gridSpan w:val="59"/>
            <w:shd w:val="clear" w:color="auto" w:fill="CCEEFF"/>
          </w:tcPr>
          <w:p>
            <w:pPr>
              <w:ind w:left="140"/>
              <w:spacing w:after="0" w:line="150" w:lineRule="exact"/>
              <w:rPr>
                <w:sz w:val="20"/>
                <w:szCs w:val="20"/>
                <w:color w:val="auto"/>
              </w:rPr>
            </w:pPr>
            <w:r>
              <w:rPr>
                <w:rFonts w:ascii="Arial" w:cs="Arial" w:eastAsia="Arial" w:hAnsi="Arial"/>
                <w:sz w:val="16"/>
                <w:szCs w:val="16"/>
                <w:color w:val="auto"/>
              </w:rPr>
              <w:t>ACL -</w:t>
            </w: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40"/>
              <w:spacing w:after="0" w:line="148" w:lineRule="exact"/>
              <w:rPr>
                <w:sz w:val="20"/>
                <w:szCs w:val="20"/>
                <w:color w:val="auto"/>
              </w:rPr>
            </w:pPr>
            <w:r>
              <w:rPr>
                <w:rFonts w:ascii="Arial" w:cs="Arial" w:eastAsia="Arial" w:hAnsi="Arial"/>
                <w:sz w:val="16"/>
                <w:szCs w:val="16"/>
                <w:color w:val="auto"/>
              </w:rPr>
              <w:t>unfunded</w:t>
            </w:r>
          </w:p>
        </w:tc>
        <w:tc>
          <w:tcPr>
            <w:tcW w:w="2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89"/>
              </w:rPr>
              <w:t>10,558</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5,329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4"/>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6,591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11,920</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w:t>
            </w:r>
          </w:p>
        </w:tc>
        <w:tc>
          <w:tcPr>
            <w:tcW w:w="2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6"/>
                <w:szCs w:val="16"/>
                <w:color w:val="auto"/>
              </w:rPr>
              <w:t>Total ACL</w:t>
            </w:r>
          </w:p>
        </w:tc>
        <w:tc>
          <w:tcPr>
            <w:tcW w:w="740" w:type="dxa"/>
            <w:vAlign w:val="bottom"/>
            <w:tcBorders>
              <w:top w:val="single" w:sz="8" w:color="auto"/>
              <w:bottom w:val="single" w:sz="8" w:color="auto"/>
            </w:tcBorders>
            <w:gridSpan w:val="3"/>
          </w:tcPr>
          <w:p>
            <w:pPr>
              <w:jc w:val="right"/>
              <w:ind w:right="3"/>
              <w:spacing w:after="0"/>
              <w:rPr>
                <w:sz w:val="20"/>
                <w:szCs w:val="20"/>
                <w:color w:val="auto"/>
              </w:rPr>
            </w:pPr>
            <w:r>
              <w:rPr>
                <w:rFonts w:ascii="Arial" w:cs="Arial" w:eastAsia="Arial" w:hAnsi="Arial"/>
                <w:sz w:val="16"/>
                <w:szCs w:val="16"/>
                <w:color w:val="auto"/>
                <w:w w:val="89"/>
              </w:rPr>
              <w:t>$ 147,568</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(12,215)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12,425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7"/>
              </w:rPr>
              <w:t>(36,903)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110,875</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65,547</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8,751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74,298</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w w:val="85"/>
              </w:rPr>
              <w:t>11,152</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(25,620)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8,819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77,527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146,176</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the initial ACL related to PCD loans acquired in the Three Shores transaction.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09"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Derivatives and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Notional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r>
      <w:tr>
        <w:trPr>
          <w:trHeight w:val="213"/>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7"/>
              </w:rPr>
              <w:t>Asset</w:t>
            </w:r>
          </w:p>
        </w:tc>
        <w:tc>
          <w:tcPr>
            <w:tcW w:w="12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r>
      <w:tr>
        <w:trPr>
          <w:trHeight w:val="19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Cash flow hedge of subordinated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Fair value hedge of brokered time deposits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Customer derivative positions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1,283,735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1,283,735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24,614</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Risk participations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69,142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Mortgage banking - forward sales commitment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185,616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325,145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Dealer offsets to bifurcated embedded derivatives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10"/>
        </w:trPr>
        <w:tc>
          <w:tcPr>
            <w:tcW w:w="40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3,089,675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47,298</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3,389,643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3,219,675</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3,529,643</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w:t>
            </w:r>
          </w:p>
        </w:tc>
      </w:tr>
      <w:tr>
        <w:trPr>
          <w:trHeight w:val="212"/>
        </w:trPr>
        <w:tc>
          <w:tcPr>
            <w:tcW w:w="40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45,911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1"/>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As of September 30, 2021 and December 31, 2020,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$584,000 of losses from AOCI into earnings related to these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and December 31, 2020, United had interest rate swaps that were designated as fair value hedges of fixed-rate brokered time deposits. The swaps involved the receipt of fixed-rate amounts from a counterparty in exchange for United making variable rate payments over the life of the agreements.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hedging relationships, all of which are interest rate contracts, on the consolidated statement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Three Months Ended September</w:t>
            </w:r>
          </w:p>
        </w:tc>
        <w:tc>
          <w:tcPr>
            <w:tcW w:w="25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Total interest expense presented in the consolidated statements of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(23,547)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(45,561)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hedging relationships on interest expense: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Net income (expense) recognized on fair value hedges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expense recognized on cash flow hedges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0" w:firstLine="37"/>
        <w:spacing w:after="0" w:line="246" w:lineRule="auto"/>
        <w:tabs>
          <w:tab w:leader="none" w:pos="19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Includes premium amortization expense excluded from the assessment of hedge effectiveness of $119,000 and $119,000 for three months ended September 30, 2021 and 2020, respectively, and $353,000 and $211,000 for the nine months ended September 30, 2021 and 2020, respectively.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5"/>
          </w:tcPr>
          <w:p>
            <w:pPr>
              <w:ind w:left="136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4180" w:type="dxa"/>
            <w:vAlign w:val="bottom"/>
            <w:gridSpan w:val="4"/>
          </w:tcPr>
          <w:p>
            <w:pPr>
              <w:ind w:left="138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58"/>
        </w:trPr>
        <w:tc>
          <w:tcPr>
            <w:tcW w:w="24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Hedge Accounting Basis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400"/>
              <w:spacing w:after="0"/>
              <w:rPr>
                <w:sz w:val="20"/>
                <w:szCs w:val="20"/>
                <w:color w:val="auto"/>
              </w:rPr>
            </w:pPr>
            <w:r>
              <w:rPr>
                <w:rFonts w:ascii="Arial" w:cs="Arial" w:eastAsia="Arial" w:hAnsi="Arial"/>
                <w:sz w:val="16"/>
                <w:szCs w:val="16"/>
                <w:color w:val="auto"/>
                <w:w w:val="93"/>
              </w:rPr>
              <w:t>(20,216)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10"/>
          </w:tcPr>
          <w:p>
            <w:pPr>
              <w:jc w:val="right"/>
              <w:ind w:right="299"/>
              <w:spacing w:after="0"/>
              <w:rPr>
                <w:sz w:val="20"/>
                <w:szCs w:val="20"/>
                <w:color w:val="auto"/>
              </w:rPr>
            </w:pPr>
            <w:r>
              <w:rPr>
                <w:rFonts w:ascii="Arial" w:cs="Arial" w:eastAsia="Arial" w:hAnsi="Arial"/>
                <w:sz w:val="16"/>
                <w:szCs w:val="16"/>
                <w:b w:val="1"/>
                <w:bCs w:val="1"/>
                <w:color w:val="auto"/>
                <w:w w:val="93"/>
              </w:rPr>
              <w:t>Amount of Gain (Loss) Recognized in Income on Derivatives</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 (Loss)</w:t>
            </w:r>
          </w:p>
        </w:tc>
        <w:tc>
          <w:tcPr>
            <w:tcW w:w="24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100" w:type="dxa"/>
            <w:vAlign w:val="bottom"/>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2320" w:type="dxa"/>
            <w:vAlign w:val="bottom"/>
            <w:gridSpan w:val="5"/>
            <w:vMerge w:val="restart"/>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8"/>
                <w:szCs w:val="8"/>
                <w:color w:val="auto"/>
              </w:rPr>
            </w:pPr>
          </w:p>
        </w:tc>
        <w:tc>
          <w:tcPr>
            <w:tcW w:w="2140" w:type="dxa"/>
            <w:vAlign w:val="bottom"/>
            <w:gridSpan w:val="4"/>
            <w:vMerge w:val="restart"/>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1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Recognized in Income on</w:t>
            </w:r>
          </w:p>
        </w:tc>
        <w:tc>
          <w:tcPr>
            <w:tcW w:w="240" w:type="dxa"/>
            <w:vAlign w:val="bottom"/>
          </w:tcPr>
          <w:p>
            <w:pPr>
              <w:spacing w:after="0"/>
              <w:rPr>
                <w:sz w:val="10"/>
                <w:szCs w:val="10"/>
                <w:color w:val="auto"/>
              </w:rPr>
            </w:pPr>
          </w:p>
        </w:tc>
        <w:tc>
          <w:tcPr>
            <w:tcW w:w="232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180" w:type="dxa"/>
            <w:vAlign w:val="bottom"/>
            <w:gridSpan w:val="2"/>
            <w:vMerge w:val="continue"/>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2,258</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 banking derivatives</w:t>
            </w:r>
          </w:p>
        </w:tc>
        <w:tc>
          <w:tcPr>
            <w:tcW w:w="2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Mortgage loan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4"/>
        </w:trPr>
        <w:tc>
          <w:tcPr>
            <w:tcW w:w="4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36,162</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(22,148)</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Arial" w:cs="Arial" w:eastAsia="Arial" w:hAnsi="Arial"/>
                <w:sz w:val="16"/>
                <w:szCs w:val="16"/>
                <w:color w:val="auto"/>
              </w:rPr>
              <w:t>Net core deposit intangible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Arial" w:cs="Arial" w:eastAsia="Arial" w:hAnsi="Arial"/>
                <w:sz w:val="16"/>
                <w:szCs w:val="16"/>
                <w:color w:val="auto"/>
              </w:rPr>
              <w:t>Customer relationship intangible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2"/>
          </w:tcPr>
          <w:p>
            <w:pPr>
              <w:jc w:val="right"/>
              <w:ind w:right="182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Less: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Pr>
          <w:p>
            <w:pPr>
              <w:ind w:left="1960"/>
              <w:spacing w:after="0"/>
              <w:rPr>
                <w:sz w:val="20"/>
                <w:szCs w:val="20"/>
                <w:color w:val="auto"/>
              </w:rPr>
            </w:pPr>
            <w:r>
              <w:rPr>
                <w:rFonts w:ascii="Arial" w:cs="Arial" w:eastAsia="Arial" w:hAnsi="Arial"/>
                <w:sz w:val="16"/>
                <w:szCs w:val="16"/>
                <w:color w:val="auto"/>
              </w:rPr>
              <w:t>Net customer relationship intangible</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2"/>
          </w:tcPr>
          <w:p>
            <w:pPr>
              <w:jc w:val="right"/>
              <w:ind w:right="182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Total intangibles subject to amortization, net</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367,809</w:t>
            </w:r>
          </w:p>
        </w:tc>
        <w:tc>
          <w:tcPr>
            <w:tcW w:w="1760" w:type="dxa"/>
            <w:vAlign w:val="bottom"/>
            <w:tcBorders>
              <w:bottom w:val="single" w:sz="8" w:color="CCEEFF"/>
            </w:tcBorders>
          </w:tcPr>
          <w:p>
            <w:pPr>
              <w:spacing w:after="0"/>
              <w:rPr>
                <w:sz w:val="18"/>
                <w:szCs w:val="18"/>
                <w:color w:val="auto"/>
              </w:rPr>
            </w:pPr>
          </w:p>
        </w:tc>
      </w:tr>
      <w:tr>
        <w:trPr>
          <w:trHeight w:val="238"/>
        </w:trPr>
        <w:tc>
          <w:tcPr>
            <w:tcW w:w="59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381,823</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FinTrust customer relationship intangible discussed in Note 4, during the third quarter of 2021, United purchased the customer list of another financial advisory firm for $420,000. All consideration paid was allocated to a customer relationship intangible.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60" w:type="dxa"/>
            <w:vAlign w:val="bottom"/>
            <w:gridSpan w:val="5"/>
          </w:tcPr>
          <w:p>
            <w:pPr>
              <w:ind w:left="1400"/>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21"/>
                <w:szCs w:val="21"/>
                <w:b w:val="1"/>
                <w:bCs w:val="1"/>
                <w:color w:val="auto"/>
                <w:vertAlign w:val="superscript"/>
              </w:rPr>
              <w:t>(1)</w:t>
            </w:r>
          </w:p>
        </w:tc>
      </w:tr>
      <w:tr>
        <w:trPr>
          <w:trHeight w:val="155"/>
        </w:trPr>
        <w:tc>
          <w:tcPr>
            <w:tcW w:w="17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2"/>
              </w:rPr>
              <w:t>Nine Months Ended</w:t>
            </w:r>
          </w:p>
        </w:tc>
        <w:tc>
          <w:tcPr>
            <w:tcW w:w="1720" w:type="dxa"/>
            <w:vAlign w:val="bottom"/>
          </w:tcPr>
          <w:p>
            <w:pPr>
              <w:spacing w:after="0"/>
              <w:rPr>
                <w:sz w:val="13"/>
                <w:szCs w:val="13"/>
                <w:color w:val="auto"/>
              </w:rPr>
            </w:pPr>
          </w:p>
        </w:tc>
      </w:tr>
      <w:tr>
        <w:trPr>
          <w:trHeight w:val="210"/>
        </w:trPr>
        <w:tc>
          <w:tcPr>
            <w:tcW w:w="1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342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9"/>
              </w:rPr>
              <w:t>September 30,</w:t>
            </w:r>
          </w:p>
        </w:tc>
      </w:tr>
      <w:tr>
        <w:trPr>
          <w:trHeight w:val="199"/>
        </w:trPr>
        <w:tc>
          <w:tcPr>
            <w:tcW w:w="5640" w:type="dxa"/>
            <w:vAlign w:val="bottom"/>
            <w:gridSpan w:val="2"/>
          </w:tcPr>
          <w:p>
            <w:pPr>
              <w:ind w:left="17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367,809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367,809</w:t>
            </w:r>
          </w:p>
        </w:tc>
        <w:tc>
          <w:tcPr>
            <w:tcW w:w="1720" w:type="dxa"/>
            <w:vAlign w:val="bottom"/>
            <w:tcBorders>
              <w:top w:val="single" w:sz="8" w:color="CCEEFF"/>
            </w:tcBorders>
            <w:shd w:val="clear" w:color="auto" w:fill="CCEEFF"/>
          </w:tcPr>
          <w:p>
            <w:pPr>
              <w:spacing w:after="0"/>
              <w:rPr>
                <w:sz w:val="18"/>
                <w:szCs w:val="18"/>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of FinTrust</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14,163</w:t>
            </w:r>
          </w:p>
        </w:tc>
        <w:tc>
          <w:tcPr>
            <w:tcW w:w="1720" w:type="dxa"/>
            <w:vAlign w:val="bottom"/>
            <w:tcBorders>
              <w:bottom w:val="single" w:sz="8" w:color="CCEEFF"/>
            </w:tcBorders>
          </w:tcPr>
          <w:p>
            <w:pPr>
              <w:spacing w:after="0"/>
              <w:rPr>
                <w:sz w:val="18"/>
                <w:szCs w:val="18"/>
                <w:color w:val="auto"/>
              </w:rPr>
            </w:pP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381,972</w:t>
            </w:r>
          </w:p>
        </w:tc>
        <w:tc>
          <w:tcPr>
            <w:tcW w:w="1720" w:type="dxa"/>
            <w:vAlign w:val="bottom"/>
            <w:tcBorders>
              <w:bottom w:val="single" w:sz="8" w:color="CCEEFF"/>
            </w:tcBorders>
            <w:shd w:val="clear" w:color="auto" w:fill="CCEEFF"/>
          </w:tcPr>
          <w:p>
            <w:pPr>
              <w:spacing w:after="0"/>
              <w:rPr>
                <w:sz w:val="20"/>
                <w:szCs w:val="20"/>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r>
        <w:trPr>
          <w:trHeight w:val="204"/>
        </w:trPr>
        <w:tc>
          <w:tcPr>
            <w:tcW w:w="1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5640" w:type="dxa"/>
            <w:vAlign w:val="bottom"/>
            <w:gridSpan w:val="2"/>
            <w:shd w:val="clear" w:color="auto" w:fill="CCEEFF"/>
          </w:tcPr>
          <w:p>
            <w:pPr>
              <w:ind w:left="1720"/>
              <w:spacing w:after="0"/>
              <w:rPr>
                <w:sz w:val="20"/>
                <w:szCs w:val="20"/>
                <w:color w:val="auto"/>
              </w:rPr>
            </w:pPr>
            <w:r>
              <w:rPr>
                <w:rFonts w:ascii="Arial" w:cs="Arial" w:eastAsia="Arial" w:hAnsi="Arial"/>
                <w:sz w:val="16"/>
                <w:szCs w:val="16"/>
                <w:b w:val="1"/>
                <w:bCs w:val="1"/>
                <w:color w:val="auto"/>
              </w:rPr>
              <w:t>2020</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6"/>
        </w:trPr>
        <w:tc>
          <w:tcPr>
            <w:tcW w:w="1700" w:type="dxa"/>
            <w:vAlign w:val="bottom"/>
          </w:tcPr>
          <w:p>
            <w:pPr>
              <w:spacing w:after="0"/>
              <w:rPr>
                <w:sz w:val="17"/>
                <w:szCs w:val="17"/>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beginning of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327,425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327,425</w:t>
            </w:r>
          </w:p>
        </w:tc>
        <w:tc>
          <w:tcPr>
            <w:tcW w:w="1720" w:type="dxa"/>
            <w:vAlign w:val="bottom"/>
          </w:tcPr>
          <w:p>
            <w:pPr>
              <w:spacing w:after="0"/>
              <w:rPr>
                <w:sz w:val="17"/>
                <w:szCs w:val="17"/>
                <w:color w:val="auto"/>
              </w:rPr>
            </w:pPr>
          </w:p>
        </w:tc>
      </w:tr>
      <w:tr>
        <w:trPr>
          <w:trHeight w:val="216"/>
        </w:trPr>
        <w:tc>
          <w:tcPr>
            <w:tcW w:w="1700" w:type="dxa"/>
            <w:vAlign w:val="bottom"/>
            <w:shd w:val="clear" w:color="auto" w:fill="CCEEFF"/>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Three Shores</w:t>
            </w: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41,593</w:t>
            </w:r>
          </w:p>
        </w:tc>
        <w:tc>
          <w:tcPr>
            <w:tcW w:w="1720" w:type="dxa"/>
            <w:vAlign w:val="bottom"/>
            <w:shd w:val="clear" w:color="auto" w:fill="CCEEFF"/>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369,018</w:t>
            </w:r>
          </w:p>
        </w:tc>
        <w:tc>
          <w:tcPr>
            <w:tcW w:w="172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8"/>
        <w:spacing w:after="0" w:line="280" w:lineRule="auto"/>
        <w:tabs>
          <w:tab w:leader="none" w:pos="162"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Goodwill balances presented are shown net of accumulated impairment losses of $306 million incurred prior to 2020. Gross goodwill for September 30, 2021 and December 31, 2020 totaled $688 million and $673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aggregate amortization expense for future periods for finite lived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6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r>
      <w:tr>
        <w:trPr>
          <w:trHeight w:val="213"/>
        </w:trPr>
        <w:tc>
          <w:tcPr>
            <w:tcW w:w="348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3,557</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Arial" w:cs="Arial" w:eastAsia="Arial" w:hAnsi="Arial"/>
                <w:sz w:val="16"/>
                <w:szCs w:val="16"/>
                <w:color w:val="auto"/>
              </w:rPr>
              <w:t>2023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Arial" w:cs="Arial" w:eastAsia="Arial" w:hAnsi="Arial"/>
                <w:sz w:val="16"/>
                <w:szCs w:val="16"/>
                <w:color w:val="auto"/>
              </w:rPr>
              <w:t>2024</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2,418</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Arial" w:cs="Arial" w:eastAsia="Arial" w:hAnsi="Arial"/>
                <w:sz w:val="16"/>
                <w:szCs w:val="16"/>
                <w:color w:val="auto"/>
              </w:rPr>
              <w:t>2025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7,178</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19,022</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239,205</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150,718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150,718</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278,254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278,254</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2,057,786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2,057,786</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715,498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715,498</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143,600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145,972</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664,003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664,003</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1,283</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68,424</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11,646</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23,062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23,062</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250,851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4,125,845</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38,612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4,415,308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21,616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26,065</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37,737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8"/>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152,972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152,972</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1,485,585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1,485,585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71,767</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1,687</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9,584</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16,216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16,216</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10,779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138,430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3,277,132</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35,207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3,450,769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29,003</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1"/>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Residential</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rights</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4"/>
              </w:rPr>
              <w:t>servicing rights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Bonds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rights</w:t>
            </w:r>
          </w:p>
        </w:tc>
        <w:tc>
          <w:tcPr>
            <w:tcW w:w="12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6"/>
              </w:rPr>
              <w:t>servicing rights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Bonds</w:t>
            </w:r>
          </w:p>
        </w:tc>
        <w:tc>
          <w:tcPr>
            <w:tcW w:w="0" w:type="dxa"/>
            <w:vAlign w:val="bottom"/>
          </w:tcPr>
          <w:p>
            <w:pPr>
              <w:spacing w:after="0"/>
              <w:rPr>
                <w:sz w:val="1"/>
                <w:szCs w:val="1"/>
                <w:color w:val="auto"/>
              </w:rPr>
            </w:pPr>
          </w:p>
        </w:tc>
      </w:tr>
      <w:tr>
        <w:trPr>
          <w:trHeight w:val="169"/>
        </w:trPr>
        <w:tc>
          <w:tcPr>
            <w:tcW w:w="234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Arial" w:cs="Arial" w:eastAsia="Arial" w:hAnsi="Arial"/>
                <w:sz w:val="13"/>
                <w:szCs w:val="13"/>
                <w:color w:val="auto"/>
              </w:rPr>
              <w:t>Fair value adjustments</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included in OCI</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earnings</w:t>
            </w: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7,017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4,449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23,062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46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Transfers into Level 3</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Sales and settlements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OCI</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Arial" w:cs="Arial" w:eastAsia="Arial" w:hAnsi="Arial"/>
                <w:sz w:val="13"/>
                <w:szCs w:val="13"/>
                <w:color w:val="auto"/>
              </w:rPr>
              <w:t>Fair value adjustments</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(4,023)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470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4,871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(6,077)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(5,687)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480" w:type="dxa"/>
            <w:vAlign w:val="bottom"/>
          </w:tcPr>
          <w:p>
            <w:pPr>
              <w:ind w:left="140"/>
              <w:spacing w:after="0"/>
              <w:rPr>
                <w:sz w:val="20"/>
                <w:szCs w:val="20"/>
                <w:color w:val="auto"/>
              </w:rPr>
            </w:pPr>
            <w:r>
              <w:rPr>
                <w:rFonts w:ascii="Arial" w:cs="Arial" w:eastAsia="Arial" w:hAnsi="Arial"/>
                <w:sz w:val="13"/>
                <w:szCs w:val="13"/>
                <w:color w:val="auto"/>
              </w:rPr>
              <w:t>included in earnings</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significant Level 3 inputs for fair value on a recurring basis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Valuation</w:t>
            </w: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Significant Unobservable</w:t>
            </w:r>
          </w:p>
        </w:tc>
        <w:tc>
          <w:tcPr>
            <w:tcW w:w="27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September 30, 2021</w:t>
            </w:r>
          </w:p>
        </w:tc>
        <w:tc>
          <w:tcPr>
            <w:tcW w:w="264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3"/>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Technique</w:t>
            </w:r>
          </w:p>
        </w:tc>
        <w:tc>
          <w:tcPr>
            <w:tcW w:w="2120" w:type="dxa"/>
            <w:vAlign w:val="bottom"/>
            <w:gridSpan w:val="2"/>
          </w:tcPr>
          <w:p>
            <w:pPr>
              <w:ind w:left="780"/>
              <w:spacing w:after="0"/>
              <w:rPr>
                <w:sz w:val="20"/>
                <w:szCs w:val="20"/>
                <w:color w:val="auto"/>
              </w:rPr>
            </w:pPr>
            <w:r>
              <w:rPr>
                <w:rFonts w:ascii="Arial" w:cs="Arial" w:eastAsia="Arial" w:hAnsi="Arial"/>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48"/>
        </w:trPr>
        <w:tc>
          <w:tcPr>
            <w:tcW w:w="242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6"/>
                <w:szCs w:val="16"/>
                <w:color w:val="auto"/>
              </w:rPr>
              <w:t>Discounted cash</w:t>
            </w:r>
          </w:p>
        </w:tc>
        <w:tc>
          <w:tcPr>
            <w:tcW w:w="212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0.0% - 38.8%</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 - 44.1%</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3.5 - 39.3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2.7 - 33.6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mortgage servicing</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9.6 - 18.5</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8.7 - 19.5</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Indicative bid</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Multiple factors, including</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provided by a</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but not limited to, current</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broker</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operations, financial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condition, cash flows, and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similar financing transactions</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executed in the market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spacing w:after="0" w:line="166" w:lineRule="exact"/>
              <w:rPr>
                <w:sz w:val="20"/>
                <w:szCs w:val="20"/>
                <w:color w:val="auto"/>
              </w:rPr>
            </w:pPr>
            <w:r>
              <w:rPr>
                <w:rFonts w:ascii="Arial" w:cs="Arial" w:eastAsia="Arial" w:hAnsi="Arial"/>
                <w:sz w:val="16"/>
                <w:szCs w:val="16"/>
                <w:color w:val="auto"/>
              </w:rPr>
              <w:t>Discounted cash</w:t>
            </w:r>
          </w:p>
        </w:tc>
        <w:tc>
          <w:tcPr>
            <w:tcW w:w="21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Discount rate</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3.6 - 3.8</w:t>
            </w:r>
          </w:p>
        </w:tc>
        <w:tc>
          <w:tcPr>
            <w:tcW w:w="10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auto"/>
              </w:rPr>
              <w:t>flow</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 mortgage</w:t>
            </w: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Internal model</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Pull through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66"/>
        </w:trPr>
        <w:tc>
          <w:tcPr>
            <w:tcW w:w="24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 assets and liabilities -</w:t>
            </w:r>
          </w:p>
        </w:tc>
        <w:tc>
          <w:tcPr>
            <w:tcW w:w="1320" w:type="dxa"/>
            <w:vAlign w:val="bottom"/>
            <w:gridSpan w:val="2"/>
          </w:tcPr>
          <w:p>
            <w:pPr>
              <w:spacing w:after="0" w:line="166" w:lineRule="exact"/>
              <w:rPr>
                <w:sz w:val="20"/>
                <w:szCs w:val="20"/>
                <w:color w:val="auto"/>
              </w:rPr>
            </w:pPr>
            <w:r>
              <w:rPr>
                <w:rFonts w:ascii="Arial" w:cs="Arial" w:eastAsia="Arial" w:hAnsi="Arial"/>
                <w:sz w:val="16"/>
                <w:szCs w:val="16"/>
                <w:color w:val="auto"/>
              </w:rPr>
              <w:t>Dealer priced</w:t>
            </w:r>
          </w:p>
        </w:tc>
        <w:tc>
          <w:tcPr>
            <w:tcW w:w="21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Dealer priced</w:t>
            </w:r>
          </w:p>
        </w:tc>
        <w:tc>
          <w:tcPr>
            <w:tcW w:w="1500" w:type="dxa"/>
            <w:vAlign w:val="bottom"/>
            <w:gridSpan w:val="2"/>
            <w:vMerge w:val="restart"/>
          </w:tcPr>
          <w:p>
            <w:pPr>
              <w:ind w:left="1100"/>
              <w:spacing w:after="0"/>
              <w:rPr>
                <w:sz w:val="20"/>
                <w:szCs w:val="20"/>
                <w:color w:val="auto"/>
              </w:rPr>
            </w:pPr>
            <w:r>
              <w:rPr>
                <w:rFonts w:ascii="Arial" w:cs="Arial" w:eastAsia="Arial" w:hAnsi="Arial"/>
                <w:sz w:val="16"/>
                <w:szCs w:val="16"/>
                <w:color w:val="auto"/>
              </w:rPr>
              <w:t>N/A</w:t>
            </w:r>
          </w:p>
        </w:tc>
        <w:tc>
          <w:tcPr>
            <w:tcW w:w="1240" w:type="dxa"/>
            <w:vAlign w:val="bottom"/>
            <w:gridSpan w:val="2"/>
            <w:vMerge w:val="restart"/>
          </w:tcPr>
          <w:p>
            <w:pPr>
              <w:ind w:left="820"/>
              <w:spacing w:after="0"/>
              <w:rPr>
                <w:sz w:val="20"/>
                <w:szCs w:val="20"/>
                <w:color w:val="auto"/>
              </w:rPr>
            </w:pPr>
            <w:r>
              <w:rPr>
                <w:rFonts w:ascii="Arial" w:cs="Arial" w:eastAsia="Arial" w:hAnsi="Arial"/>
                <w:sz w:val="16"/>
                <w:szCs w:val="16"/>
                <w:color w:val="auto"/>
              </w:rPr>
              <w:t>N/A</w:t>
            </w:r>
          </w:p>
        </w:tc>
        <w:tc>
          <w:tcPr>
            <w:tcW w:w="1520" w:type="dxa"/>
            <w:vAlign w:val="bottom"/>
            <w:gridSpan w:val="2"/>
            <w:vMerge w:val="restart"/>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Mortgage Loans Held for Sale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center"/>
              <w:ind w:right="339"/>
              <w:spacing w:after="0"/>
              <w:rPr>
                <w:sz w:val="20"/>
                <w:szCs w:val="20"/>
                <w:color w:val="auto"/>
              </w:rPr>
            </w:pPr>
            <w:r>
              <w:rPr>
                <w:rFonts w:ascii="Arial" w:cs="Arial" w:eastAsia="Arial" w:hAnsi="Arial"/>
                <w:sz w:val="16"/>
                <w:szCs w:val="16"/>
                <w:b w:val="1"/>
                <w:bCs w:val="1"/>
                <w:color w:val="auto"/>
                <w:w w:val="90"/>
              </w:rPr>
              <w:t>December 31, 2020</w:t>
            </w:r>
          </w:p>
        </w:tc>
        <w:tc>
          <w:tcPr>
            <w:tcW w:w="1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principal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8"/>
              </w:rPr>
              <w:t>66,068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99,746</w:t>
            </w:r>
          </w:p>
        </w:tc>
        <w:tc>
          <w:tcPr>
            <w:tcW w:w="4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6"/>
                <w:szCs w:val="16"/>
                <w:color w:val="auto"/>
                <w:w w:val="98"/>
              </w:rPr>
              <w:t>68,424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105,433</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1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Gain (Loss) Recognized on Mortgage Loans Held for Sale</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0" w:type="dxa"/>
            <w:vAlign w:val="bottom"/>
            <w:vMerge w:val="restart"/>
          </w:tcPr>
          <w:p>
            <w:pPr>
              <w:ind w:left="116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jc w:val="center"/>
              <w:ind w:right="80"/>
              <w:spacing w:after="0" w:line="158" w:lineRule="exact"/>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center"/>
              <w:ind w:right="160"/>
              <w:spacing w:after="0" w:line="158" w:lineRule="exact"/>
              <w:rPr>
                <w:sz w:val="20"/>
                <w:szCs w:val="20"/>
                <w:color w:val="auto"/>
              </w:rPr>
            </w:pPr>
            <w:r>
              <w:rPr>
                <w:rFonts w:ascii="Arial" w:cs="Arial" w:eastAsia="Arial" w:hAnsi="Arial"/>
                <w:sz w:val="16"/>
                <w:szCs w:val="16"/>
                <w:b w:val="1"/>
                <w:bCs w:val="1"/>
                <w:color w:val="auto"/>
                <w:w w:val="93"/>
              </w:rPr>
              <w:t>Nine Months Ended</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6"/>
          </w:tcPr>
          <w:p>
            <w:pPr>
              <w:jc w:val="center"/>
              <w:ind w:right="14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3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5,029</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September 30, 2021 and December 31, 2020, for which a nonrecurring fair value adjustment was recorded during the year-to-date periods presented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2,817</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72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1,079,925</w:t>
            </w: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11,091,417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11,045,904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11,045,904</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16,865,417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16,864,366</w:t>
            </w: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268,747</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HTM debt securities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437,193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437,193</w:t>
            </w: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11,209,717</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15,232,274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15,232,274</w:t>
            </w: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336,763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2021, United’s shareholders approved an increase in the number of authorized shares of common stock from 150 million to 200 million shares.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of 2020, United’s Board of Directors re-authorized a common stock repurchase program to permit the repurchase of up to $50 million of its common stock. The program is scheduled to expire on the earlier of the repurchase of common stock having an aggregate purchase price of $50 million or December 31, 2021. During the three and nine months ended September 30, 2021, 342,744 and 492,744 shares were repurchased, respectively. No shares were repurchased during the three months ended September 30, 2020. During the nine months ended September 30, 2020, 826,482 shares were repurchased. As of September 30, 2021, United had remaining authorization to repurchase up to $34.9 million of outstanding common stock under the program.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United has an equity compensation plan that allows for grants of various share-based compensation. The general terms of the plan include a vesting period (usually four years) with an exercisable period not to exceed ten years. Certain restricted stock unit awards provide for accelerated vesting if there is a change in control (as defined in the plan document). As of September 30, 2021, 663,179 additional awards could be granted under the plan.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nine months ended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540" w:type="dxa"/>
            <w:vAlign w:val="bottom"/>
            <w:vMerge w:val="restart"/>
          </w:tcPr>
          <w:p>
            <w:pPr>
              <w:ind w:left="2240"/>
              <w:spacing w:after="0"/>
              <w:rPr>
                <w:sz w:val="20"/>
                <w:szCs w:val="20"/>
                <w:color w:val="auto"/>
              </w:rPr>
            </w:pPr>
            <w:r>
              <w:rPr>
                <w:rFonts w:ascii="Arial" w:cs="Arial" w:eastAsia="Arial" w:hAnsi="Arial"/>
                <w:sz w:val="16"/>
                <w:szCs w:val="16"/>
                <w:b w:val="1"/>
                <w:bCs w:val="1"/>
                <w:color w:val="auto"/>
              </w:rPr>
              <w:t>Restricted Stock Unit Awards</w:t>
            </w:r>
          </w:p>
        </w:tc>
        <w:tc>
          <w:tcPr>
            <w:tcW w:w="100" w:type="dxa"/>
            <w:vAlign w:val="bottom"/>
            <w:vMerge w:val="restart"/>
          </w:tcPr>
          <w:p>
            <w:pPr>
              <w:spacing w:after="0"/>
              <w:rPr>
                <w:sz w:val="14"/>
                <w:szCs w:val="14"/>
                <w:color w:val="auto"/>
              </w:rPr>
            </w:pP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20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6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Value ($000)</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298,481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869,245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28,529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and 2020, expense of $4.42 million and $5.57 million, respectively, was recognized related to restricted stock unit and performance stock unit awards granted to United employees, which was included in salaries and employee benefits expense. In addition, for the nine months ended September 30, 2021 and 2020, $397,000 and $367,000, respectively, was recognized in other expense for restricted stock unit awards granted to members of United’s Board of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stock-based compensation expense of $1.23 million and $1.52 million was included in the determination of income tax expense for the nine months ended September 30, 2021 and 2020, respectively. As of September 30, 2021, there was $17.2 million of unrecognized expense related to non-vested restricted stock unit and performance stock unit awards granted under the plan. That cost is expected to be recognized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Reclassifications Out of AOCI</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The following table presents the details regarding amounts reclassified out of AOCI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3"/>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180"/>
              <w:spacing w:after="0" w:line="163" w:lineRule="exact"/>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4"/>
                <w:szCs w:val="14"/>
                <w:color w:val="auto"/>
              </w:rPr>
            </w:pPr>
          </w:p>
        </w:tc>
        <w:tc>
          <w:tcPr>
            <w:tcW w:w="1660" w:type="dxa"/>
            <w:vAlign w:val="bottom"/>
            <w:gridSpan w:val="3"/>
          </w:tcPr>
          <w:p>
            <w:pPr>
              <w:jc w:val="right"/>
              <w:spacing w:after="0" w:line="163" w:lineRule="exact"/>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6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6"/>
                <w:szCs w:val="16"/>
                <w:b w:val="1"/>
                <w:bCs w:val="1"/>
                <w:color w:val="auto"/>
                <w:w w:val="95"/>
              </w:rPr>
              <w:t>Affected Line Item in the Statement Where</w:t>
            </w:r>
          </w:p>
        </w:tc>
      </w:tr>
      <w:tr>
        <w:trPr>
          <w:trHeight w:val="207"/>
        </w:trPr>
        <w:tc>
          <w:tcPr>
            <w:tcW w:w="3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Details about AOCI Components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32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Net Income is Presented</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on AFS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746</w:t>
            </w:r>
          </w:p>
        </w:tc>
        <w:tc>
          <w:tcPr>
            <w:tcW w:w="3280" w:type="dxa"/>
            <w:vAlign w:val="bottom"/>
          </w:tcPr>
          <w:p>
            <w:pPr>
              <w:ind w:left="140"/>
              <w:spacing w:after="0"/>
              <w:rPr>
                <w:sz w:val="20"/>
                <w:szCs w:val="20"/>
                <w:color w:val="auto"/>
              </w:rPr>
            </w:pPr>
            <w:r>
              <w:rPr>
                <w:rFonts w:ascii="Arial" w:cs="Arial" w:eastAsia="Arial" w:hAnsi="Arial"/>
                <w:sz w:val="16"/>
                <w:szCs w:val="16"/>
                <w:color w:val="auto"/>
              </w:rPr>
              <w:t>Securities gains, net</w:t>
            </w:r>
          </w:p>
        </w:tc>
      </w:tr>
      <w:tr>
        <w:trPr>
          <w:trHeight w:val="216"/>
        </w:trPr>
        <w:tc>
          <w:tcPr>
            <w:tcW w:w="3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(191)</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r>
      <w:tr>
        <w:trPr>
          <w:trHeight w:val="213"/>
        </w:trPr>
        <w:tc>
          <w:tcPr>
            <w:tcW w:w="3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555</w:t>
            </w:r>
          </w:p>
        </w:tc>
        <w:tc>
          <w:tcPr>
            <w:tcW w:w="3280" w:type="dxa"/>
            <w:vAlign w:val="bottom"/>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r>
      <w:tr>
        <w:trPr>
          <w:trHeight w:val="183"/>
        </w:trPr>
        <w:tc>
          <w:tcPr>
            <w:tcW w:w="3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213"/>
        </w:trPr>
        <w:tc>
          <w:tcPr>
            <w:tcW w:w="5660" w:type="dxa"/>
            <w:vAlign w:val="bottom"/>
            <w:gridSpan w:val="7"/>
          </w:tcPr>
          <w:p>
            <w:pPr>
              <w:ind w:left="20"/>
              <w:spacing w:after="0"/>
              <w:rPr>
                <w:sz w:val="20"/>
                <w:szCs w:val="20"/>
                <w:color w:val="auto"/>
              </w:rPr>
            </w:pPr>
            <w:r>
              <w:rPr>
                <w:rFonts w:ascii="Arial" w:cs="Arial" w:eastAsia="Arial" w:hAnsi="Arial"/>
                <w:sz w:val="16"/>
                <w:szCs w:val="16"/>
                <w:color w:val="auto"/>
                <w:w w:val="94"/>
              </w:rPr>
              <w:t>Amortization of losses included in net income on AFS securities transferred to HTM:</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9"/>
        </w:trPr>
        <w:tc>
          <w:tcPr>
            <w:tcW w:w="3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(723)</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securities interest revenue</w:t>
            </w:r>
          </w:p>
        </w:tc>
      </w:tr>
      <w:tr>
        <w:trPr>
          <w:trHeight w:val="213"/>
        </w:trPr>
        <w:tc>
          <w:tcPr>
            <w:tcW w:w="3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w:t>
            </w: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(550)</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4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63"/>
        </w:trPr>
        <w:tc>
          <w:tcPr>
            <w:tcW w:w="3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80" w:type="dxa"/>
            <w:vAlign w:val="bottom"/>
          </w:tcPr>
          <w:p>
            <w:pPr>
              <w:spacing w:after="0"/>
              <w:rPr>
                <w:sz w:val="14"/>
                <w:szCs w:val="14"/>
                <w:color w:val="auto"/>
              </w:rPr>
            </w:pPr>
          </w:p>
        </w:tc>
      </w:tr>
      <w:tr>
        <w:trPr>
          <w:trHeight w:val="216"/>
        </w:trPr>
        <w:tc>
          <w:tcPr>
            <w:tcW w:w="68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Reclassifications related to derivative financial instruments accounted for as cash flow hedges:</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480"/>
              <w:spacing w:after="0"/>
              <w:rPr>
                <w:sz w:val="20"/>
                <w:szCs w:val="20"/>
                <w:color w:val="auto"/>
              </w:rPr>
            </w:pPr>
            <w:r>
              <w:rPr>
                <w:rFonts w:ascii="Arial" w:cs="Arial" w:eastAsia="Arial" w:hAnsi="Arial"/>
                <w:sz w:val="16"/>
                <w:szCs w:val="16"/>
                <w:color w:val="auto"/>
                <w:w w:val="96"/>
              </w:rPr>
              <w:t>(153)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0"/>
              </w:rPr>
              <w:t>(197)</w:t>
            </w:r>
          </w:p>
        </w:tc>
        <w:tc>
          <w:tcPr>
            <w:tcW w:w="3280" w:type="dxa"/>
            <w:vAlign w:val="bottom"/>
          </w:tcPr>
          <w:p>
            <w:pPr>
              <w:ind w:left="140"/>
              <w:spacing w:after="0"/>
              <w:rPr>
                <w:sz w:val="20"/>
                <w:szCs w:val="20"/>
                <w:color w:val="auto"/>
              </w:rPr>
            </w:pPr>
            <w:r>
              <w:rPr>
                <w:rFonts w:ascii="Arial" w:cs="Arial" w:eastAsia="Arial" w:hAnsi="Arial"/>
                <w:sz w:val="16"/>
                <w:szCs w:val="16"/>
                <w:color w:val="auto"/>
              </w:rPr>
              <w:t>Long-term debt interest expense</w:t>
            </w:r>
          </w:p>
        </w:tc>
      </w:tr>
      <w:tr>
        <w:trPr>
          <w:trHeight w:val="216"/>
        </w:trPr>
        <w:tc>
          <w:tcPr>
            <w:tcW w:w="3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r>
      <w:tr>
        <w:trPr>
          <w:trHeight w:val="212"/>
        </w:trPr>
        <w:tc>
          <w:tcPr>
            <w:tcW w:w="3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6"/>
              </w:rPr>
              <w:t>(114)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(147)</w:t>
            </w:r>
          </w:p>
        </w:tc>
        <w:tc>
          <w:tcPr>
            <w:tcW w:w="3280" w:type="dxa"/>
            <w:vAlign w:val="bottom"/>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r>
      <w:tr>
        <w:trPr>
          <w:trHeight w:val="183"/>
        </w:trPr>
        <w:tc>
          <w:tcPr>
            <w:tcW w:w="3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213"/>
        </w:trPr>
        <w:tc>
          <w:tcPr>
            <w:tcW w:w="4440" w:type="dxa"/>
            <w:vAlign w:val="bottom"/>
            <w:gridSpan w:val="4"/>
          </w:tcPr>
          <w:p>
            <w:pPr>
              <w:ind w:left="20"/>
              <w:spacing w:after="0"/>
              <w:rPr>
                <w:sz w:val="20"/>
                <w:szCs w:val="20"/>
                <w:color w:val="auto"/>
              </w:rPr>
            </w:pPr>
            <w:r>
              <w:rPr>
                <w:rFonts w:ascii="Arial" w:cs="Arial" w:eastAsia="Arial" w:hAnsi="Arial"/>
                <w:sz w:val="16"/>
                <w:szCs w:val="16"/>
                <w:color w:val="auto"/>
                <w:w w:val="97"/>
              </w:rPr>
              <w:t>Reclassifications related to defined benefit pension plan activity:</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6"/>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(398)</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Salaries and employee benefits expense</w:t>
            </w:r>
          </w:p>
        </w:tc>
      </w:tr>
      <w:tr>
        <w:trPr>
          <w:trHeight w:val="213"/>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Actuarial losses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6"/>
              </w:rPr>
              <w:t>(143)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(245)</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r>
      <w:tr>
        <w:trPr>
          <w:trHeight w:val="212"/>
        </w:trPr>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6"/>
              </w:rPr>
              <w:t>(260)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(643)</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before tax</w:t>
            </w:r>
          </w:p>
        </w:tc>
      </w:tr>
      <w:tr>
        <w:trPr>
          <w:trHeight w:val="213"/>
        </w:trPr>
        <w:tc>
          <w:tcPr>
            <w:tcW w:w="3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w:t>
            </w:r>
          </w:p>
        </w:tc>
      </w:tr>
      <w:tr>
        <w:trPr>
          <w:trHeight w:val="238"/>
        </w:trPr>
        <w:tc>
          <w:tcPr>
            <w:tcW w:w="3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96"/>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(479)</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r>
        <w:trPr>
          <w:trHeight w:val="163"/>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41"/>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96"/>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(621)</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3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5"/>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73,816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47,607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104,587</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(1,719)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(1,814)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(1,814)</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Undistributed earnings allocated to participating securities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71,649</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45,437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211,283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87,211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87,129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81,815</w:t>
            </w: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stock units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2"/>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87,355</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87,205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4"/>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United had no potentially dilutive instruments outstanding that were not included in the above analysis.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Regulatory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United and the Bank were categorized as well-capitalized under the regulatory framework for prompt corrective action in effect at such time. To be categorized as well-capitalized at September 30, 2021, United and the Bank must have exceeded the well-capitalized guideline ratios in effect at such time, as set forth in the table below, and have met certain other requirements. Management believes that United and the Bank exceeded all well-capitalized requirements at September 30, 2021, and there have been no conditions or events since quarter-end that would change the status of well-capitalized.</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Regulatory capital ratios at September 30, 2021 and December 31, 2020,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United Community Banks, Inc.</w:t>
            </w:r>
          </w:p>
        </w:tc>
        <w:tc>
          <w:tcPr>
            <w:tcW w:w="140" w:type="dxa"/>
            <w:vAlign w:val="bottom"/>
          </w:tcPr>
          <w:p>
            <w:pPr>
              <w:spacing w:after="0"/>
              <w:rPr>
                <w:sz w:val="16"/>
                <w:szCs w:val="16"/>
                <w:color w:val="auto"/>
              </w:rPr>
            </w:pPr>
          </w:p>
        </w:tc>
        <w:tc>
          <w:tcPr>
            <w:tcW w:w="26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(Consolidated)</w:t>
            </w: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Well-</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80" w:type="dxa"/>
            <w:vAlign w:val="bottom"/>
          </w:tcPr>
          <w:p>
            <w:pPr>
              <w:ind w:left="78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80" w:type="dxa"/>
            <w:vAlign w:val="bottom"/>
          </w:tcPr>
          <w:p>
            <w:pPr>
              <w:ind w:left="7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1,632,925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1,506,750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1,756,494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1,729,347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1,603,172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1,756,494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1,929,850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1,854,368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1,836,997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1,743,045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12,929,134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12,240,440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12,897,800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12,207,940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18,897,989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17,276,853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18,863,193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17,246,878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As of September 30, 2021 and December 31, 2020 the additional capital conservation buffer in effect was 2.50%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3,422,609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3,052,657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September 30, 2021, United had committed to fund an additional $8.43 million related to future capital calls that are not reflected in the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Aquesta</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quarter-end, on October 1, 2021, United completed the acquisition of Aquesta Financial Holdings, Inc. and its wholly-owned subsidiary, Aquesta Bank, collectively referred to as “Aquesta”. Aquesta is headquartered in Cornelius, North Carolina and operates a network of branches primarily located in the Charlotte metropolitan area. As of September 30, 2021, Aquesta reported total assets of $754 million, total loans of $500 million and total deposits of $658 million.</w:t>
      </w:r>
    </w:p>
    <w:p>
      <w:pPr>
        <w:spacing w:after="0" w:line="2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Aquesta shareholders received $132 million in total consideration, of which $89.6 million was United common stock (2.73 million shares), $40.5 million was cash and $1.48 million was comprised of option and warrant equity instruments.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Announced Acquisition of Reliant</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July 14, 2021, United announced an agreement to acquire Reliant Bancorp, Inc. and its wholly-owned subsidiary, Reliant Bank, collectively referred to as “Reliant”. Reliant is headquartered in Brentwood, Tennessee, a suburb of Nashville, Tennessee and operates a 25 branch network in Tennessee, located primarily in the Nashville area, as well as branches in Clarksville and Chattanooga. It also has a manufactured housing finance group based in Knoxville. As of September 30, 2021, Reliant reported total assets of $3.01 billion, total loans of $2.39 billion, and total deposits of $2.55 billion. The merger, which is subject to regulatory approval, the approval of Reliant shareholders, and other customary conditions, is expected to close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discussion of our financial condition at September 30, 2021 and December 31, 2020 and our results of operations for the three and nine months ended September 30, 2021 and 2020.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2020 10-K, and the other reports we have filed with the SEC after we filed the 2020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through a 162 branch network throughout Georgia, South Carolina, North Carolina, Tennessee and Florida. We have grown organically as well as through strategic acquisitions. At September 30, 2021, we had consolidated total assets of $19.5 billion and 2,480 full-time equivalent employees.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July 1, 2021, the Bank moved its headquarters from Blairsville, Georgia to Greenville, South Carolina and became a South Carolina state-chartered bank subject to examination and reporting requirements of the South Carolina Board of Financial Institutions. Prior to that, the Bank was a Georgia state-chartered bank subject to examination and reporting requirements of the Georgia Department of Banking and Finance. Also effective July 1, 2021, the Holding Company, which remains headquartered in Blairsville, Georgia, elected to become a financial holding company, which allows us to engage in a broader range of financial activities. Neither of these changes had a material impact on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23" w:lineRule="exact"/>
        <w:rPr>
          <w:sz w:val="20"/>
          <w:szCs w:val="20"/>
          <w:color w:val="auto"/>
        </w:rPr>
      </w:pPr>
    </w:p>
    <w:p>
      <w:pPr>
        <w:jc w:val="both"/>
        <w:ind w:left="660" w:hanging="328"/>
        <w:spacing w:after="0" w:line="30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1, 2020, we acquired Three Shores including its wholly-owned banking subsidiary, Seaside, headquartered in Orlando, Florida. Seaside was a premier commercial lender with a strong wealth management platform and operated a 14-branch network located in key Florida metropolitan markets. We acquired $2.13 billion of assets, $1.43 billion in loans and assumed $1.80 billion of deposits in the acquisition.</w:t>
      </w:r>
    </w:p>
    <w:p>
      <w:pPr>
        <w:spacing w:after="0" w:line="182"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which expands our Advisory Services division. As of September 30, 2021, FinTrust had assets under management of $2.10 billion across its advisory, retirement planning and brokerage businesses.</w:t>
      </w:r>
    </w:p>
    <w:p>
      <w:pPr>
        <w:spacing w:after="0" w:line="213" w:lineRule="exact"/>
        <w:rPr>
          <w:rFonts w:ascii="Arial" w:cs="Arial" w:eastAsia="Arial" w:hAnsi="Arial"/>
          <w:sz w:val="18"/>
          <w:szCs w:val="18"/>
          <w:b w:val="1"/>
          <w:bCs w:val="1"/>
          <w:color w:val="auto"/>
        </w:rPr>
      </w:pPr>
    </w:p>
    <w:p>
      <w:pPr>
        <w:jc w:val="both"/>
        <w:ind w:left="660" w:hanging="328"/>
        <w:spacing w:after="0" w:line="311" w:lineRule="auto"/>
        <w:tabs>
          <w:tab w:leader="none" w:pos="655"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Subsequent to quarter-end, on October 1, 2021, we acquired Aquesta, a bank headquartered in Cornelius, North Carolina. Aquesta’s high-touch customer service is delivered to retail and business customers through a network of branches primarily located in the Charlotte metropolitan area. As of September 30, 2021, Aquesta reported total assets of $754 million, total loans of $500 million and total deposits of $658 million.</w:t>
      </w:r>
    </w:p>
    <w:p>
      <w:pPr>
        <w:spacing w:after="0" w:line="175" w:lineRule="exact"/>
        <w:rPr>
          <w:rFonts w:ascii="Arial" w:cs="Arial" w:eastAsia="Arial" w:hAnsi="Arial"/>
          <w:sz w:val="16"/>
          <w:szCs w:val="16"/>
          <w:b w:val="1"/>
          <w:bCs w:val="1"/>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On July 14, 2021, we announced an agreement to acquire Reliant, which we plan to complete in the first quarter of 2022. Reliant is headquartered in Brentwood, Tennessee, a suburb of Nashville, Tennessee and operates a 25 branch network in Tennessee, located primarily in some of the Nashville area’s most attractive markets, as well as in Clarksville and Chattanooga, Tennessee. It also has a manufactured housing finance group based in Knoxville. As of September 30, 2021, Reliant reported total assets of $3.01 billion, total loans of $2.39 billion, and total deposits of $2.55 billion.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monitor the impact of the COVID-19 pandemic on our business and to offer assistance to our customers affected by its economic effects, through payment deferrals and participation in the CARES Act and PPP loan program. Loans with active COVID-19 payment deferrals have decreased by 87% since December 31, 2020, with $8.87 million outstanding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net income and diluted earnings per common share of $73.8 million and $0.82, respectively, for the third quarter of 2021 compared to $47.6 million and $0.52, respectively, for the same period in 2020. Operating net income (non-GAAP), which excludes merger-related and other charges, was $74.9 million for the third quarter of 2021, compared to $50.4 million for the same period in 2020. The increase in net income and operating net income was driven by increased net interest revenue and a release of provision for credit losses partly offset by a decrease in noninterest income and an increase in noninterest expense during the third quarter of 2021.</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revenue increased to $141 million for the third quarter of 2021, compared to $128 million for the third quarter of 2020. Growth in our investment portfolio, accelerated recognition of PPP loan net deferred fees upon forgiveness, as well as a reduction of rates paid on deposits provided for much of the increase. The net interest margin decreased to 3.12% for the three months ended September 30, 2021 from 3.27% for the same period in 2020 primarily due to the effect of falling interest rates on our asset sensitive balance sheet and interest-earning assets shifting to be more heavily comprised of investment securities, which are generally lower-yielding than loans.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 negative provision for credit losses of $11.0 million for the third quarter of 2021, compared to $21.8 million of provision expense for the third quarter of 2020. The negative provision in 2021 resulted from a downward adjustment to the ACL, reflecting an improved economic forecast combined with low net charge-offs during the quarter. The provision for credit losses for the third quarter of 2020 reflected the expected macroeconomic effects of the COVID-19 pandemic and associated expected increase in net charge-offs. Net charge-offs for the third quarter of 2021 totaled $551,000 compared to $2.54 million for the same period in 2020.</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Noninterest income of $40.1 million for the third quarter of 2021 was down $8.59 million, or 18%, from the third quarter of 2020. Lower gains on sales of mortgage loans and related fees drove most of the decrease, down $11.3 million compared to the same period of 2020. The decrease reflects the demand in the real estate mortgage market, which has started to level out after the initial surge in response to falling interest rates in early 2020. This decrease was partially offset by increases in wealth management fees, which reflects the addition of FinTrust’s wealth management business, and gains on sales of other loans driven by higher sales volume of equipment financing receivables.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expense of $96.7 million for the third quarter of 2021, was relatively flat compared to the same period of 2020 as a result of the net effect of several fluctuations in noninterest expense items. Most notably, salaries and employee benefits expense increased $1.39 million, primarily as a result of the addition of FinTrust employees, while merger-related and other charges decreased $1.92 million. See Table 8 of MD&amp;A for further detail on noninterest expense activity during the third quarter of 2021 compared to 2020.</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nine months ended September 30, 2021 and 2020, we reported net income of $218 million and $105 million, respectively, and diluted earnings per common share of $2.42 and $1.25, respectively. Operating net income (non-GAAP) for the nine months ended September 30, 2021 and 2020, of $221 million and $108 million, respectively, excluded merger-related charges for both periods. Net interest revenue and net interest margin for the nine months ended September 30, 2021 were $411 million and 3.17%, respectively, compared to $356 million and 3.55%, respectively, for the same period in 2020. Results of operations for the nine months ended September 30, 2021 were largely driven by the same factors affecting the quarter, however the results for the nine months ended also reflect the of effect of the acquisition of Three Shores on July 1, 2020 and PPP loans for the full first nine months of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third quarter and first nine months of 2021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accounting and reporting policies are in accordance with GAAP and conform to general practices within the banking industry. Our more critical accounting and reporting policies include accounting for the ACL and fair value measurements, both of which involve the use of estimates and require significant judgments by management. Different assumptions in the application of these policies could result in material changes in our consolidated financial position or consolidated results of operations. Our critical accounting policies are discussed in MD&amp;A in our 2020 10-K. There have been no significant changes to our critical accounting policies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each quarter. Management uses these non-GAAP measures because it believes they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3"/>
          <w:szCs w:val="13"/>
          <w:b w:val="1"/>
          <w:bCs w:val="1"/>
          <w:color w:val="auto"/>
        </w:rPr>
        <w:t>UNITED COMMUNITY BANKS,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Table 1 - 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Selected Financial Information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(in thousands, except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center"/>
              <w:ind w:right="77"/>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4"/>
          </w:tcPr>
          <w:p>
            <w:pPr>
              <w:jc w:val="right"/>
              <w:ind w:right="117"/>
              <w:spacing w:after="0" w:line="131" w:lineRule="exact"/>
              <w:rPr>
                <w:sz w:val="20"/>
                <w:szCs w:val="20"/>
                <w:color w:val="auto"/>
              </w:rPr>
            </w:pPr>
            <w:r>
              <w:rPr>
                <w:rFonts w:ascii="Arial" w:cs="Arial" w:eastAsia="Arial" w:hAnsi="Arial"/>
                <w:sz w:val="13"/>
                <w:szCs w:val="13"/>
                <w:b w:val="1"/>
                <w:bCs w:val="1"/>
                <w:color w:val="auto"/>
                <w:w w:val="89"/>
              </w:rPr>
              <w:t>For the Nine Months Ended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Third Quarter</w:t>
            </w: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Third Quarter</w:t>
            </w: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0"/>
              </w:rPr>
              <w:t>Second</w:t>
            </w: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First Quarter</w:t>
            </w:r>
          </w:p>
        </w:tc>
        <w:tc>
          <w:tcPr>
            <w:tcW w:w="16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Fourth</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6"/>
              </w:rPr>
              <w:t>Third Quarter</w:t>
            </w:r>
          </w:p>
        </w:tc>
        <w:tc>
          <w:tcPr>
            <w:tcW w:w="9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6"/>
              </w:rPr>
              <w:t>2021 - 2020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Quarter</w:t>
            </w:r>
          </w:p>
        </w:tc>
        <w:tc>
          <w:tcPr>
            <w:tcW w:w="9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Quarter</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Change</w:t>
            </w: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INCOME SUMMARY</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revenue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147,675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145,809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141,542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156,071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141,773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435,026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401,925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6,636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7,433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9,478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10,676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13,319</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23,547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45,561</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interest revenue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141,039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138,376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132,064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145,395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128,454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411,479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356,364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3"/>
                <w:szCs w:val="13"/>
                <w:color w:val="auto"/>
              </w:rPr>
              <w:t>(Release of) provision for credit losses</w:t>
            </w: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(11,034)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(13,588)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2,907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21,793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(36,903)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77,527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40,095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35,841</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44,705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41,375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48,682</w:t>
            </w:r>
          </w:p>
        </w:tc>
        <w:tc>
          <w:tcPr>
            <w:tcW w:w="9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120,641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114,734</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b w:val="1"/>
                <w:bCs w:val="1"/>
                <w:color w:val="auto"/>
              </w:rPr>
              <w:t>Total revenue</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192,168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187,805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189,050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183,863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155,343</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569,023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393,571</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96,749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95,540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95,194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106,490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95,981</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287,483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261,499</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color w:val="auto"/>
              </w:rPr>
              <w:t>Income before income tax expense</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95,419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92,265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93,856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77,373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59,362</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281,540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132,072</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21,603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22,005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20,150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17,871</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11,755</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63,758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27,485</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b w:val="1"/>
                <w:bCs w:val="1"/>
                <w:color w:val="auto"/>
              </w:rPr>
              <w:t>Net income</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73,816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70,260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73,706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59,502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47,607</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217,782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104,587</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Merger-related and other charges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3,361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4,566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40" w:type="dxa"/>
            <w:vAlign w:val="bottom"/>
          </w:tcPr>
          <w:p>
            <w:pPr>
              <w:ind w:left="20"/>
              <w:spacing w:after="0" w:line="122" w:lineRule="exact"/>
              <w:rPr>
                <w:sz w:val="20"/>
                <w:szCs w:val="20"/>
                <w:color w:val="auto"/>
              </w:rPr>
            </w:pPr>
            <w:r>
              <w:rPr>
                <w:rFonts w:ascii="Arial" w:cs="Arial" w:eastAsia="Arial" w:hAnsi="Arial"/>
                <w:sz w:val="13"/>
                <w:szCs w:val="13"/>
                <w:color w:val="auto"/>
              </w:rPr>
              <w:t>Income tax benefit of merger-related and other</w:t>
            </w:r>
          </w:p>
        </w:tc>
        <w:tc>
          <w:tcPr>
            <w:tcW w:w="20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(909)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(788)</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charges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40" w:type="dxa"/>
            <w:vAlign w:val="bottom"/>
            <w:tcBorders>
              <w:bottom w:val="single" w:sz="8" w:color="CCEEFF"/>
            </w:tcBorders>
            <w:shd w:val="clear" w:color="auto" w:fill="CCEEFF"/>
          </w:tcPr>
          <w:p>
            <w:pPr>
              <w:ind w:left="140"/>
              <w:spacing w:after="0" w:line="175" w:lineRule="exact"/>
              <w:rPr>
                <w:sz w:val="20"/>
                <w:szCs w:val="20"/>
                <w:color w:val="auto"/>
              </w:rPr>
            </w:pPr>
            <w:r>
              <w:rPr>
                <w:rFonts w:ascii="Arial" w:cs="Arial" w:eastAsia="Arial" w:hAnsi="Arial"/>
                <w:sz w:val="13"/>
                <w:szCs w:val="13"/>
                <w:b w:val="1"/>
                <w:bCs w:val="1"/>
                <w:color w:val="auto"/>
              </w:rPr>
              <w:t xml:space="preserve">Net income - operating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74,925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71,092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74,914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61,402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50,449</w:t>
            </w:r>
          </w:p>
        </w:tc>
        <w:tc>
          <w:tcPr>
            <w:tcW w:w="98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220,931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108,365</w:t>
            </w:r>
          </w:p>
        </w:tc>
        <w:tc>
          <w:tcPr>
            <w:tcW w:w="8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PERFORMANCE MEASURES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Per common share: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 net income - GAAP</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0.66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0.52</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1.25</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6"/>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Diluted net income - operating </w:t>
            </w:r>
            <w:r>
              <w:rPr>
                <w:rFonts w:ascii="Arial" w:cs="Arial" w:eastAsia="Arial" w:hAnsi="Arial"/>
                <w:sz w:val="16"/>
                <w:szCs w:val="16"/>
                <w:color w:val="auto"/>
                <w:vertAlign w:val="superscript"/>
              </w:rPr>
              <w:t>(1)</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0.83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0.79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0.68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1.29</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dividends declared</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0.54</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2740" w:type="dxa"/>
            <w:vAlign w:val="bottom"/>
          </w:tcPr>
          <w:p>
            <w:pPr>
              <w:ind w:left="220"/>
              <w:spacing w:after="0"/>
              <w:rPr>
                <w:sz w:val="20"/>
                <w:szCs w:val="20"/>
                <w:color w:val="auto"/>
              </w:rPr>
            </w:pPr>
            <w:r>
              <w:rPr>
                <w:rFonts w:ascii="Arial" w:cs="Arial" w:eastAsia="Arial" w:hAnsi="Arial"/>
                <w:sz w:val="13"/>
                <w:szCs w:val="13"/>
                <w:color w:val="auto"/>
              </w:rPr>
              <w:t>Book value</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23.25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22.81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22.15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21.45</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21.45</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6"/>
                <w:szCs w:val="16"/>
                <w:color w:val="auto"/>
                <w:vertAlign w:val="superscript"/>
              </w:rPr>
              <w:t>(3)</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18.49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17.09</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17.09</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Key performance ratios: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Return on common equity - GAAP </w:t>
            </w:r>
            <w:r>
              <w:rPr>
                <w:rFonts w:ascii="Arial" w:cs="Arial" w:eastAsia="Arial" w:hAnsi="Arial"/>
                <w:sz w:val="16"/>
                <w:szCs w:val="16"/>
                <w:color w:val="auto"/>
                <w:vertAlign w:val="superscript"/>
              </w:rPr>
              <w:t>(2)(4)</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w w:val="97"/>
              </w:rPr>
              <w:t xml:space="preserve">Return on common equity - operating </w:t>
            </w:r>
            <w:r>
              <w:rPr>
                <w:rFonts w:ascii="Arial" w:cs="Arial" w:eastAsia="Arial" w:hAnsi="Arial"/>
                <w:sz w:val="16"/>
                <w:szCs w:val="16"/>
                <w:color w:val="auto"/>
                <w:w w:val="97"/>
                <w:vertAlign w:val="superscript"/>
              </w:rPr>
              <w:t>(1)(2)(4)</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14.48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14.25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12.77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ind w:left="220"/>
              <w:spacing w:after="0" w:line="122" w:lineRule="exact"/>
              <w:rPr>
                <w:sz w:val="20"/>
                <w:szCs w:val="20"/>
                <w:color w:val="auto"/>
              </w:rPr>
            </w:pPr>
            <w:r>
              <w:rPr>
                <w:rFonts w:ascii="Arial" w:cs="Arial" w:eastAsia="Arial" w:hAnsi="Arial"/>
                <w:sz w:val="13"/>
                <w:szCs w:val="13"/>
                <w:color w:val="auto"/>
                <w:w w:val="94"/>
              </w:rPr>
              <w:t>Return on tangible common equity - operating</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18.23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17.81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19.68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16.23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13.52</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18.55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20"/>
              <w:spacing w:after="0"/>
              <w:rPr>
                <w:sz w:val="20"/>
                <w:szCs w:val="20"/>
                <w:color w:val="auto"/>
              </w:rPr>
            </w:pPr>
            <w:r>
              <w:rPr>
                <w:rFonts w:ascii="Arial" w:cs="Arial" w:eastAsia="Arial" w:hAnsi="Arial"/>
                <w:sz w:val="8"/>
                <w:szCs w:val="8"/>
                <w:color w:val="auto"/>
              </w:rPr>
              <w:t>(1)(2)(3)(4)</w:t>
            </w:r>
          </w:p>
        </w:tc>
        <w:tc>
          <w:tcPr>
            <w:tcW w:w="2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16"/>
                <w:szCs w:val="16"/>
                <w:color w:val="auto"/>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0.93</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line="175"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16"/>
                <w:szCs w:val="16"/>
                <w:color w:val="auto"/>
                <w:vertAlign w:val="superscript"/>
              </w:rPr>
              <w:t>(1)(4)</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0.97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20"/>
              <w:spacing w:after="0"/>
              <w:rPr>
                <w:sz w:val="20"/>
                <w:szCs w:val="20"/>
                <w:color w:val="auto"/>
              </w:rPr>
            </w:pPr>
            <w:r>
              <w:rPr>
                <w:rFonts w:ascii="Arial" w:cs="Arial" w:eastAsia="Arial" w:hAnsi="Arial"/>
                <w:sz w:val="13"/>
                <w:szCs w:val="13"/>
                <w:color w:val="auto"/>
              </w:rPr>
              <w:t>Dividend payout ratio - GAAP</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24.39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24.36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23.17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27.27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34.62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43.20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Dividend payout ratio - operating </w:t>
            </w:r>
            <w:r>
              <w:rPr>
                <w:rFonts w:ascii="Arial" w:cs="Arial" w:eastAsia="Arial" w:hAnsi="Arial"/>
                <w:sz w:val="16"/>
                <w:szCs w:val="16"/>
                <w:color w:val="auto"/>
                <w:vertAlign w:val="superscript"/>
              </w:rPr>
              <w:t>(1)</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32.73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41.86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Net interest margin (FTE) </w:t>
            </w:r>
            <w:r>
              <w:rPr>
                <w:rFonts w:ascii="Arial" w:cs="Arial" w:eastAsia="Arial" w:hAnsi="Arial"/>
                <w:sz w:val="16"/>
                <w:szCs w:val="16"/>
                <w:color w:val="auto"/>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Efficiency ratio - GAAP</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53.11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54.53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54.14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16"/>
                <w:szCs w:val="16"/>
                <w:color w:val="auto"/>
                <w:vertAlign w:val="superscript"/>
              </w:rPr>
              <w:t>(1)</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52.33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53.92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55.42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52.24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52.97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54.34</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Equity to total assets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w w:val="95"/>
              </w:rPr>
              <w:t xml:space="preserve">Tangible common equity to tangible assets </w:t>
            </w:r>
            <w:r>
              <w:rPr>
                <w:rFonts w:ascii="Arial" w:cs="Arial" w:eastAsia="Arial" w:hAnsi="Arial"/>
                <w:sz w:val="16"/>
                <w:szCs w:val="16"/>
                <w:color w:val="auto"/>
                <w:w w:val="95"/>
                <w:vertAlign w:val="superscript"/>
              </w:rPr>
              <w:t>(3)</w:t>
            </w:r>
          </w:p>
        </w:tc>
        <w:tc>
          <w:tcPr>
            <w:tcW w:w="2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8.81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8.89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ASSET QUALITY</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Nonperforming loans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44,923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46,123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61,599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49,084</w:t>
            </w:r>
          </w:p>
        </w:tc>
        <w:tc>
          <w:tcPr>
            <w:tcW w:w="9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44,923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49,084</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Foreclosed properties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412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224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596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647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953</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412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953</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NPAs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45,335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46,347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56,496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62,246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50,037</w:t>
            </w:r>
          </w:p>
        </w:tc>
        <w:tc>
          <w:tcPr>
            <w:tcW w:w="9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45,335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50,037</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ACL - loans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99,620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111,616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126,866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137,010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134,256</w:t>
            </w:r>
          </w:p>
        </w:tc>
        <w:tc>
          <w:tcPr>
            <w:tcW w:w="980" w:type="dxa"/>
            <w:vAlign w:val="bottom"/>
            <w:gridSpan w:val="2"/>
          </w:tcPr>
          <w:p>
            <w:pPr>
              <w:jc w:val="right"/>
              <w:ind w:right="7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99,620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134,256</w:t>
            </w:r>
          </w:p>
        </w:tc>
        <w:tc>
          <w:tcPr>
            <w:tcW w:w="800" w:type="dxa"/>
            <w:vAlign w:val="bottom"/>
            <w:gridSpan w:val="2"/>
          </w:tcPr>
          <w:p>
            <w:pPr>
              <w:jc w:val="right"/>
              <w:ind w:right="7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charge-offs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2,538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16,801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ACL - loans to loans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0.89 %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0.98 %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0.89 %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16"/>
                <w:szCs w:val="16"/>
                <w:color w:val="auto"/>
                <w:vertAlign w:val="superscript"/>
              </w:rPr>
              <w:t>(4)</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NPAs to loans and foreclosed properties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NPAs to total assets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AVERAGE BALANCES </w:t>
            </w:r>
            <w:r>
              <w:rPr>
                <w:rFonts w:ascii="Arial" w:cs="Arial" w:eastAsia="Arial" w:hAnsi="Arial"/>
                <w:sz w:val="13"/>
                <w:szCs w:val="13"/>
                <w:i w:val="1"/>
                <w:iCs w:val="1"/>
                <w:color w:val="auto"/>
              </w:rPr>
              <w:t>($ in millions)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Loans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11,205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11,617</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11,433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11,595</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11,644</w:t>
            </w:r>
          </w:p>
        </w:tc>
        <w:tc>
          <w:tcPr>
            <w:tcW w:w="980" w:type="dxa"/>
            <w:vAlign w:val="bottom"/>
            <w:gridSpan w:val="2"/>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11,417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10,088</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5,122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4,631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2,750</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4,587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2,560</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Earning assets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18,078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17,540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16,782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16,394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15,715</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17,473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13,498</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19,322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18,792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17,013</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18,717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14,718</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Deposits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16,637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16,132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15,366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15,057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14,460</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16,050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12,490</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Shareholders’ equity</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1,994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1,948</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1,763</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Common shares - basic (thousands)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87,211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87,289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87,322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87,258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87,129</w:t>
            </w: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87,274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81,815</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 diluted (thousands)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87,355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87,333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87,205</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81,876</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AT PERIOD END </w:t>
            </w:r>
            <w:r>
              <w:rPr>
                <w:rFonts w:ascii="Arial" w:cs="Arial" w:eastAsia="Arial" w:hAnsi="Arial"/>
                <w:sz w:val="13"/>
                <w:szCs w:val="13"/>
                <w:i w:val="1"/>
                <w:iCs w:val="1"/>
                <w:color w:val="auto"/>
              </w:rPr>
              <w:t>($ in millions)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Loans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11,191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11,391</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11,679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11,371</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11,799</w:t>
            </w:r>
          </w:p>
        </w:tc>
        <w:tc>
          <w:tcPr>
            <w:tcW w:w="980" w:type="dxa"/>
            <w:vAlign w:val="bottom"/>
            <w:gridSpan w:val="2"/>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11,191</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11,799</w:t>
            </w:r>
          </w:p>
        </w:tc>
        <w:tc>
          <w:tcPr>
            <w:tcW w:w="800" w:type="dxa"/>
            <w:vAlign w:val="bottom"/>
            <w:gridSpan w:val="2"/>
          </w:tcPr>
          <w:p>
            <w:pPr>
              <w:jc w:val="right"/>
              <w:ind w:right="7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5,335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4,928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3,645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3,089</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3,089</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19,481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18,896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18,557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17,794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17,153</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19,481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17,153</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16,865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16,328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15,993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14,603</w:t>
            </w:r>
          </w:p>
        </w:tc>
        <w:tc>
          <w:tcPr>
            <w:tcW w:w="9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14,603</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Shareholders’ equity</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2,122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2,086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2,008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1,967</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2,122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1,967</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outstanding (thousands)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86,559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86,777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86,675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86,611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86,559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86,611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firstLine="8"/>
        <w:spacing w:after="0" w:line="261" w:lineRule="auto"/>
        <w:tabs>
          <w:tab w:leader="none" w:pos="138"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 xml:space="preserve">Excludes merger-related and other charges. </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Net income less preferred stock dividends, divided by average realized common equity, which excludes AOCI. </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Excludes effect of acquisition related intangibles and associated amortization.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Annualized.</w:t>
      </w:r>
    </w:p>
    <w:p>
      <w:pPr>
        <w:sectPr>
          <w:pgSz w:w="11900" w:h="16838" w:orient="portrait"/>
          <w:cols w:equalWidth="0" w:num="1">
            <w:col w:w="11240"/>
          </w:cols>
          <w:pgMar w:left="320" w:top="729"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(Continued) - Non-GAAP Performance Measures Reconciliation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Selected Financial Information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108"/>
              <w:spacing w:after="0" w:line="141" w:lineRule="exact"/>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Third Quarter</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First Quarter</w:t>
            </w:r>
          </w:p>
        </w:tc>
        <w:tc>
          <w:tcPr>
            <w:tcW w:w="10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0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(GAAP)</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96,749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95,540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95,194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106,490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95,981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287,483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261,499</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Merger-related and other charges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(3,361)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Expenses - operating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95,312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94,462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93,651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104,038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92,620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283,425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256,933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Net income (GAAP)</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73,816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70,260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73,706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59,502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47,607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217,782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104,587</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5"/>
              </w:rPr>
              <w:t>Income tax benefit of merger-related and other charges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 operating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74,925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71,092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74,914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61,402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50,449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220,931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108,365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Diluted income per common share (GAAP)</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0.82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Diluted income per common share - operating</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0.68</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Book value per common share (GAAP)</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21.90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book value per common share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18.68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17.56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Return on common equity (GAAP)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14.26 %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8.11 %</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0.41</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0.63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color w:val="auto"/>
              </w:rPr>
              <w:t>Return on common equity - operating</w:t>
            </w:r>
          </w:p>
        </w:tc>
        <w:tc>
          <w:tcPr>
            <w:tcW w:w="3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12.77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Return on tangible common equity - operating</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18.23 %</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13.52 %</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18.55 %</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62" w:right="339" w:bottom="1440" w:gutter="0" w:footer="0" w:header="0"/>
        </w:sectPr>
      </w:pPr>
    </w:p>
    <w:p>
      <w:pPr>
        <w:ind w:left="20" w:right="680"/>
        <w:spacing w:after="0" w:line="324" w:lineRule="auto"/>
        <w:rPr>
          <w:sz w:val="20"/>
          <w:szCs w:val="20"/>
          <w:color w:val="auto"/>
        </w:rPr>
      </w:pPr>
      <w:r>
        <w:rPr>
          <w:rFonts w:ascii="Arial" w:cs="Arial" w:eastAsia="Arial" w:hAnsi="Arial"/>
          <w:sz w:val="12"/>
          <w:szCs w:val="12"/>
          <w:b w:val="1"/>
          <w:bCs w:val="1"/>
          <w:color w:val="auto"/>
        </w:rPr>
        <w:t xml:space="preserve">Return on assets reconciliation </w:t>
      </w:r>
      <w:r>
        <w:rPr>
          <w:rFonts w:ascii="Arial" w:cs="Arial" w:eastAsia="Arial" w:hAnsi="Arial"/>
          <w:sz w:val="12"/>
          <w:szCs w:val="12"/>
          <w:color w:val="auto"/>
        </w:rPr>
        <w:t>Return on assets (GAAP)</w:t>
      </w: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Return on assets - operating</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Dividend payout ratio reconciliation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payout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Dividend payout ratio - operating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jc w:val="right"/>
              <w:spacing w:after="0"/>
              <w:rPr>
                <w:sz w:val="20"/>
                <w:szCs w:val="20"/>
                <w:color w:val="auto"/>
              </w:rPr>
            </w:pPr>
            <w:r>
              <w:rPr>
                <w:rFonts w:ascii="Arial" w:cs="Arial" w:eastAsia="Arial" w:hAnsi="Arial"/>
                <w:sz w:val="14"/>
                <w:szCs w:val="14"/>
                <w:color w:val="auto"/>
              </w:rPr>
              <w:t>1.48 %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1.07 %</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0.93 %</w:t>
            </w:r>
          </w:p>
        </w:tc>
      </w:tr>
      <w:tr>
        <w:trPr>
          <w:trHeight w:val="195"/>
        </w:trPr>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0.04</w:t>
            </w:r>
          </w:p>
        </w:tc>
      </w:tr>
      <w:tr>
        <w:trPr>
          <w:trHeight w:val="185"/>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1.54 %</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35"/>
        </w:trPr>
        <w:tc>
          <w:tcPr>
            <w:tcW w:w="1080" w:type="dxa"/>
            <w:vAlign w:val="bottom"/>
          </w:tcPr>
          <w:p>
            <w:pPr>
              <w:jc w:val="right"/>
              <w:spacing w:after="0"/>
              <w:rPr>
                <w:sz w:val="20"/>
                <w:szCs w:val="20"/>
                <w:color w:val="auto"/>
              </w:rPr>
            </w:pPr>
            <w:r>
              <w:rPr>
                <w:rFonts w:ascii="Arial" w:cs="Arial" w:eastAsia="Arial" w:hAnsi="Arial"/>
                <w:sz w:val="14"/>
                <w:szCs w:val="14"/>
                <w:color w:val="auto"/>
              </w:rPr>
              <w:t>24.39 %</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24.36 %</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23.17 %</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27.27 %</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34.62 %</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23.97 %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43.20 %</w:t>
            </w:r>
          </w:p>
        </w:tc>
      </w:tr>
      <w:tr>
        <w:trPr>
          <w:trHeight w:val="195"/>
        </w:trPr>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(0.29)</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(0.80)</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r>
      <w:tr>
        <w:trPr>
          <w:trHeight w:val="185"/>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24.05 %</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22.89 %</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32.73 %</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23.67 %</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41.86 %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-1036955</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-796290</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-522605</wp:posOffset>
            </wp:positionV>
            <wp:extent cx="71323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-282575</wp:posOffset>
            </wp:positionV>
            <wp:extent cx="713232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-16510</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600" w:space="720"/>
            <w:col w:w="7920"/>
          </w:cols>
          <w:pgMar w:left="320" w:top="1062" w:right="3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Efficiency ratio reconciliation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Efficiency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Efficiency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ind w:left="580"/>
              <w:spacing w:after="0"/>
              <w:rPr>
                <w:sz w:val="20"/>
                <w:szCs w:val="20"/>
                <w:color w:val="auto"/>
              </w:rPr>
            </w:pPr>
            <w:r>
              <w:rPr>
                <w:rFonts w:ascii="Arial" w:cs="Arial" w:eastAsia="Arial" w:hAnsi="Arial"/>
                <w:sz w:val="14"/>
                <w:szCs w:val="14"/>
                <w:color w:val="auto"/>
                <w:w w:val="93"/>
              </w:rPr>
              <w:t>53.11 %</w:t>
            </w:r>
          </w:p>
        </w:tc>
        <w:tc>
          <w:tcPr>
            <w:tcW w:w="8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54.53 %</w:t>
            </w:r>
          </w:p>
        </w:tc>
        <w:tc>
          <w:tcPr>
            <w:tcW w:w="100" w:type="dxa"/>
            <w:vAlign w:val="bottom"/>
          </w:tcPr>
          <w:p>
            <w:pPr>
              <w:spacing w:after="0"/>
              <w:rPr>
                <w:sz w:val="15"/>
                <w:szCs w:val="15"/>
                <w:color w:val="auto"/>
              </w:rPr>
            </w:pPr>
          </w:p>
        </w:tc>
        <w:tc>
          <w:tcPr>
            <w:tcW w:w="1060" w:type="dxa"/>
            <w:vAlign w:val="bottom"/>
          </w:tcPr>
          <w:p>
            <w:pPr>
              <w:ind w:left="540"/>
              <w:spacing w:after="0"/>
              <w:rPr>
                <w:sz w:val="20"/>
                <w:szCs w:val="20"/>
                <w:color w:val="auto"/>
              </w:rPr>
            </w:pPr>
            <w:r>
              <w:rPr>
                <w:rFonts w:ascii="Arial" w:cs="Arial" w:eastAsia="Arial" w:hAnsi="Arial"/>
                <w:sz w:val="14"/>
                <w:szCs w:val="14"/>
                <w:color w:val="auto"/>
                <w:w w:val="97"/>
              </w:rPr>
              <w:t>53.55 %</w:t>
            </w:r>
          </w:p>
        </w:tc>
        <w:tc>
          <w:tcPr>
            <w:tcW w:w="10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56.73 %</w:t>
            </w:r>
          </w:p>
        </w:tc>
        <w:tc>
          <w:tcPr>
            <w:tcW w:w="8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54.14 %</w:t>
            </w:r>
          </w:p>
        </w:tc>
        <w:tc>
          <w:tcPr>
            <w:tcW w:w="8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53.72 %</w:t>
            </w:r>
          </w:p>
        </w:tc>
        <w:tc>
          <w:tcPr>
            <w:tcW w:w="10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55.30 %</w:t>
            </w:r>
          </w:p>
        </w:tc>
      </w:tr>
      <w:tr>
        <w:trPr>
          <w:trHeight w:val="195"/>
        </w:trPr>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(0.78)</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6"/>
                <w:szCs w:val="16"/>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(0.96)</w:t>
            </w:r>
          </w:p>
        </w:tc>
      </w:tr>
      <w:tr>
        <w:trPr>
          <w:trHeight w:val="185"/>
        </w:trPr>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52.33 %</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53.92 %</w:t>
            </w:r>
          </w:p>
        </w:tc>
        <w:tc>
          <w:tcPr>
            <w:tcW w:w="100" w:type="dxa"/>
            <w:vAlign w:val="bottom"/>
          </w:tcPr>
          <w:p>
            <w:pPr>
              <w:spacing w:after="0"/>
              <w:rPr>
                <w:sz w:val="16"/>
                <w:szCs w:val="16"/>
                <w:color w:val="auto"/>
              </w:rPr>
            </w:pPr>
          </w:p>
        </w:tc>
        <w:tc>
          <w:tcPr>
            <w:tcW w:w="10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7"/>
              </w:rPr>
              <w:t>52.68 %</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55.42 %</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52.24 %</w:t>
            </w:r>
          </w:p>
        </w:tc>
        <w:tc>
          <w:tcPr>
            <w:tcW w:w="8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52.97 %</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54.34 %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-402590</wp:posOffset>
            </wp:positionV>
            <wp:extent cx="713232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-162560</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600" w:space="720"/>
            <w:col w:w="7920"/>
          </w:cols>
          <w:pgMar w:left="320" w:top="1062"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Tangible common equity to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reconciliation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ind w:left="20"/>
              <w:spacing w:after="0"/>
              <w:rPr>
                <w:sz w:val="20"/>
                <w:szCs w:val="20"/>
                <w:color w:val="auto"/>
              </w:rPr>
            </w:pPr>
            <w:r>
              <w:rPr>
                <w:rFonts w:ascii="Arial" w:cs="Arial" w:eastAsia="Arial" w:hAnsi="Arial"/>
                <w:sz w:val="14"/>
                <w:szCs w:val="14"/>
                <w:color w:val="auto"/>
              </w:rPr>
              <w:t>Equity to total assets (GAAP)</w:t>
            </w:r>
          </w:p>
        </w:tc>
        <w:tc>
          <w:tcPr>
            <w:tcW w:w="1080" w:type="dxa"/>
            <w:vAlign w:val="bottom"/>
          </w:tcPr>
          <w:p>
            <w:pPr>
              <w:jc w:val="right"/>
              <w:spacing w:after="0"/>
              <w:rPr>
                <w:sz w:val="20"/>
                <w:szCs w:val="20"/>
                <w:color w:val="auto"/>
              </w:rPr>
            </w:pPr>
            <w:r>
              <w:rPr>
                <w:rFonts w:ascii="Arial" w:cs="Arial" w:eastAsia="Arial" w:hAnsi="Arial"/>
                <w:sz w:val="14"/>
                <w:szCs w:val="14"/>
                <w:color w:val="auto"/>
              </w:rPr>
              <w:t>10.89 %</w:t>
            </w:r>
          </w:p>
        </w:tc>
        <w:tc>
          <w:tcPr>
            <w:tcW w:w="8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w w:val="93"/>
              </w:rPr>
              <w:t>11.04 %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10.95 %</w:t>
            </w:r>
          </w:p>
        </w:tc>
        <w:tc>
          <w:tcPr>
            <w:tcW w:w="10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11.29 %</w:t>
            </w:r>
          </w:p>
        </w:tc>
        <w:tc>
          <w:tcPr>
            <w:tcW w:w="8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w w:val="93"/>
              </w:rPr>
              <w:t>11.47 %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10.89 %</w:t>
            </w:r>
          </w:p>
        </w:tc>
        <w:tc>
          <w:tcPr>
            <w:tcW w:w="1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11.47 %</w:t>
            </w:r>
          </w:p>
        </w:tc>
      </w:tr>
      <w:tr>
        <w:trPr>
          <w:trHeight w:val="19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(2.02)</w:t>
            </w: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preferred equity</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(0.54)</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(0.56)</w:t>
            </w: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common equity to tangible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8.53 %</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8.81 %</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8.89 %</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indicate the relationship between interest revenue and expense and the average amounts of assets and liabilities, which provides further insight into net interest spread and net interest margin for the periods indicated. The following discussion provides additional detail on the average balances and net interest revenue for the periods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quarter: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Average PPP loans for the third quarter of 2021 decreased $1.03 billion compared to the third quarter of 2020, which mostly reflects SBA loan forgiveness. This was the primary driver of the decrease in average total loans for the third quarter of 2021 compared to the same period of 2020 and more than offset organic loan growth for the period. The forgiveness of PPP loans and strong growth in deposits generated additional liquidity, which we deployed into our investment portfolio, resulting in increases in average securities of $2.37 billion for the three months ended September 30, 2021 compared to the same period of 2020. This additional liquidity was also reflected in our cash balances.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revenue for the third quarter was $141 million, while FTE net interest revenue was $142 million, representing a 10% increase from the third quarter of 2020. The increase was mostly driven by the growth in the investment portfolio, accelerated recognition of net deferred PPP loan fees upon forgiveness and our ability to decrease our rates paid on deposits in a historically low interest rate environment. Deferred fees recognized on PPP loans totaled $12.9 million for the three months ended September 30, 2021, compared to $5.15 million for the comparable period of 2020. Additionally, rates paid on interest-bearing deposits fell 27 basis points compared to the third quarter of 2020, which contributed to the $5.86 million decrease in interest paid on these deposits compared to the same period of 2020. The impact of the decrease in interest rates on interest expense more than offset the impact of the growth in interest-bearing deposits of $970 million.</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an increase in net interest revenue, the net interest spread and net interest margin for the third quarter of 2021 decreased 4 basis points and 15 basis points, respectively, from the same period of 2020 primarily due to a mix shift in our interest-earning assets. The average interest-earning asset mix for the three months ended September 30, 2021 compared to the same period of 2020 was comprised more heavily of investment securities and cash, both of which are lower-yielding than loans, which contributed to the net interest margin and spread compression.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contrast to the three months ended, average loans for the nine months ended September 30, 2021 increased compared to the same period of 2020, reflecting loans acquired from Three Shores for the full nine months of 2021 and higher average PPP loans, which combined contributed approximately $821 million to the increase. Consistent with the quarter, additional liquidity provided by deposit growth and PPP loan forgiveness resulted in higher average cash balances and deployment of excess liquidity into our investment portfolio. Average securities increased $2.03 billion for the nine months ended September 30, 2021 compared to the same period of 2020.</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revenue for the first nine months of 2021 was $411 million, while FTE net interest revenue was $415 million, representing a 16% increase from the first nine months of 2020. The increase was primarily driven by the loan growth discussed above and accelerated recognition of net deferred PPP loan fees of $33.7 million. These sources of income were partially offset by the impact of historically low interest rates on our asset sensitive balance sheet. Consistent with the quarter, during the nine months ended September 30, 2021, the average interest rate paid on interest-bearing deposits decreased 42 basis points compared to the same period of 2020, which contributed to a net reduction in interest expense of $23.4 million compared to the nine months ended September 30, 2020, despite growth in average interest-bearing deposits of $1.86 billion. The net interest spread and net interest margin for the first nine months of 2021 decreased 23 basis points and 38 basis points, respectively, from the same period of 2020 primarily due to the same factors impacting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FTE)</w:t>
            </w: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11,204,653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128,185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11,644,202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126,342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4.32 %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249,959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1,751,222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1,321,445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18,077,931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15,715,255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142,681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1,002,810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1,074,529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19,321,705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17,013,478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3,594,670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2,890,735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1,120,843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864,849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10,256,971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9,287,327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10,514,164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9,621,567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17,202,684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15,065,017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19,321,705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17,013,478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142,055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3.02 %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3.06 %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3.27 %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right="100" w:hanging="332"/>
        <w:spacing w:after="0" w:line="250" w:lineRule="auto"/>
        <w:tabs>
          <w:tab w:leader="none" w:pos="327" w:val="left"/>
        </w:tabs>
        <w:numPr>
          <w:ilvl w:val="0"/>
          <w:numId w:val="13"/>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tabs>
          <w:tab w:leader="none" w:pos="32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340" w:right="380" w:hanging="332"/>
        <w:spacing w:after="0" w:line="241" w:lineRule="auto"/>
        <w:tabs>
          <w:tab w:leader="none" w:pos="327" w:val="left"/>
        </w:tabs>
        <w:numPr>
          <w:ilvl w:val="0"/>
          <w:numId w:val="13"/>
        </w:numPr>
        <w:rPr>
          <w:rFonts w:ascii="Arial" w:cs="Arial" w:eastAsia="Arial" w:hAnsi="Arial"/>
          <w:sz w:val="9"/>
          <w:szCs w:val="9"/>
          <w:color w:val="auto"/>
        </w:rPr>
      </w:pPr>
      <w:r>
        <w:rPr>
          <w:rFonts w:ascii="Arial" w:cs="Arial" w:eastAsia="Arial" w:hAnsi="Arial"/>
          <w:sz w:val="14"/>
          <w:szCs w:val="14"/>
          <w:color w:val="auto"/>
        </w:rPr>
        <w:t>AFS securities are shown at amortized cost. Pretax unrealized gains of $39.6 million and $77.0 million in 2021 and 2020, respectively, are included in other assets for purposes of this presentation.</w:t>
      </w:r>
    </w:p>
    <w:p>
      <w:pPr>
        <w:ind w:left="320" w:hanging="312"/>
        <w:spacing w:after="0"/>
        <w:tabs>
          <w:tab w:leader="none" w:pos="320" w:val="left"/>
        </w:tabs>
        <w:numPr>
          <w:ilvl w:val="0"/>
          <w:numId w:val="13"/>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00"/>
          </w:cols>
          <w:pgMar w:left="320" w:top="97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type w:val="continuous"/>
        </w:sectPr>
      </w:pPr>
    </w:p>
    <w:bookmarkStart w:id="43" w:name="page44"/>
    <w:bookmarkEnd w:id="43"/>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6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5"/>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11,417,285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380,765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10,087,630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351,536</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w w:val="96"/>
              </w:rPr>
              <w:t>4.65 %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381,323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8,979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6,699</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1,468,487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17,473,194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438,051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13,498,257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404,435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1,007,669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964,511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18,717,064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14,718,438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3,452,206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2,583,911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1,064,045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788,681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9,989,886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8,133,041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10,277,391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8,391,871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311,749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16,648,820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2,068,244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1,763,179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18,717,064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14,718,438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414,504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358,874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3.04 %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6"/>
                <w:szCs w:val="16"/>
                <w:color w:val="auto"/>
                <w:w w:val="96"/>
              </w:rPr>
              <w:t>3.27 %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6"/>
              </w:rPr>
              <w:t>3.55 %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80" w:right="280" w:hanging="280"/>
        <w:spacing w:after="0" w:line="250" w:lineRule="auto"/>
        <w:tabs>
          <w:tab w:leader="none" w:pos="267" w:val="left"/>
        </w:tabs>
        <w:numPr>
          <w:ilvl w:val="0"/>
          <w:numId w:val="14"/>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tabs>
          <w:tab w:leader="none" w:pos="26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280" w:right="540" w:hanging="280"/>
        <w:spacing w:after="0" w:line="241" w:lineRule="auto"/>
        <w:tabs>
          <w:tab w:leader="none" w:pos="267" w:val="left"/>
        </w:tabs>
        <w:numPr>
          <w:ilvl w:val="0"/>
          <w:numId w:val="14"/>
        </w:numPr>
        <w:rPr>
          <w:rFonts w:ascii="Arial" w:cs="Arial" w:eastAsia="Arial" w:hAnsi="Arial"/>
          <w:sz w:val="9"/>
          <w:szCs w:val="9"/>
          <w:color w:val="auto"/>
        </w:rPr>
      </w:pPr>
      <w:r>
        <w:rPr>
          <w:rFonts w:ascii="Arial" w:cs="Arial" w:eastAsia="Arial" w:hAnsi="Arial"/>
          <w:sz w:val="14"/>
          <w:szCs w:val="14"/>
          <w:color w:val="auto"/>
        </w:rPr>
        <w:t>Securities AFS are shown at amortized cost. Pretax unrealized gains of $40.3 million and $65.5 million in 2021 and 2020, respectively, are included in other assets for purposes of this presentation.</w:t>
      </w:r>
    </w:p>
    <w:p>
      <w:pPr>
        <w:ind w:left="260" w:hanging="260"/>
        <w:spacing w:after="0"/>
        <w:tabs>
          <w:tab w:leader="none" w:pos="260"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320"/>
          </w:cols>
          <w:pgMar w:left="2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72" w:right="359" w:bottom="1440" w:gutter="0" w:footer="0" w:header="0"/>
          <w:type w:val="continuous"/>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00"/>
        <w:spacing w:after="0" w:line="297"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rPr>
              <w:t>Three Months Ended September 30, 2021</w:t>
            </w: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b w:val="1"/>
                <w:bCs w:val="1"/>
                <w:color w:val="auto"/>
                <w:w w:val="91"/>
              </w:rPr>
              <w:t>Nine Months Ended September 30, 2021</w:t>
            </w:r>
          </w:p>
        </w:tc>
      </w:tr>
      <w:tr>
        <w:trPr>
          <w:trHeight w:val="210"/>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1"/>
          </w:tcPr>
          <w:p>
            <w:pPr>
              <w:ind w:left="160"/>
              <w:spacing w:after="0"/>
              <w:rPr>
                <w:sz w:val="20"/>
                <w:szCs w:val="20"/>
                <w:color w:val="auto"/>
              </w:rPr>
            </w:pPr>
            <w:r>
              <w:rPr>
                <w:rFonts w:ascii="Arial" w:cs="Arial" w:eastAsia="Arial" w:hAnsi="Arial"/>
                <w:sz w:val="16"/>
                <w:szCs w:val="16"/>
                <w:b w:val="1"/>
                <w:bCs w:val="1"/>
                <w:color w:val="auto"/>
              </w:rPr>
              <w:t>Compared to 2020 Increase (Decrease) Due to Changes in</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Rate</w:t>
            </w: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2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29,229</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2,266</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09"/>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75,862</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33,616</w:t>
            </w:r>
          </w:p>
        </w:tc>
      </w:tr>
      <w:tr>
        <w:trPr>
          <w:trHeight w:val="199"/>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(14,339)</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(23,363)</w:t>
            </w:r>
          </w:p>
        </w:tc>
      </w:tr>
      <w:tr>
        <w:trPr>
          <w:trHeight w:val="207"/>
        </w:trPr>
        <w:tc>
          <w:tcPr>
            <w:tcW w:w="4080" w:type="dxa"/>
            <w:vAlign w:val="bottom"/>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advances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w:t>
            </w:r>
          </w:p>
        </w:tc>
      </w:tr>
      <w:tr>
        <w:trPr>
          <w:trHeight w:val="21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r>
      <w:tr>
        <w:trPr>
          <w:trHeight w:val="206"/>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(22,014)</w:t>
            </w:r>
          </w:p>
        </w:tc>
      </w:tr>
      <w:tr>
        <w:trPr>
          <w:trHeight w:val="199"/>
        </w:trPr>
        <w:tc>
          <w:tcPr>
            <w:tcW w:w="4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72,477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55,630</w:t>
            </w:r>
          </w:p>
        </w:tc>
      </w:tr>
      <w:tr>
        <w:trPr>
          <w:trHeight w:val="21"/>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negative provisions for credit losses of $11.0 million and $36.9 million for the three and nine months ended September 30, 2021, respectively, compared to $21.8 million and $77.5 million in provision expense for the same periods in 2020, respectively. The amount of provision recorded in each period was the amount required such that the total ACL reflected the appropriate balance as determined by management reflecting expected life of loan losses. The negative provision expense for the three and nine months ended September 30, 2021 compared to the same periods of 2020 was primarily a result of an improved economic forecast combined with low net charge-offs recognized during the third quarter and net recoveries recorded during the first nine months of 2021. The amount of net recoveries recorded during the first nine months of 2021 was mostly attributable to one large commercial credit recovery during the first quarter, strong recoveries from a number of other credits and lower charge-offs during the second and third quarters. The provision for credit losses for the third quarter and first nine months of 2020 was elevated due to a relatively stressed economic forecast amidst the COVID-19 pandemic.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Pr>
          <w:p>
            <w:pPr>
              <w:spacing w:after="0"/>
              <w:rPr>
                <w:sz w:val="16"/>
                <w:szCs w:val="16"/>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Nine Months Ended</w:t>
            </w:r>
          </w:p>
        </w:tc>
        <w:tc>
          <w:tcPr>
            <w:tcW w:w="160" w:type="dxa"/>
            <w:vAlign w:val="bottom"/>
          </w:tcPr>
          <w:p>
            <w:pPr>
              <w:spacing w:after="0"/>
              <w:rPr>
                <w:sz w:val="16"/>
                <w:szCs w:val="16"/>
                <w:color w:val="auto"/>
              </w:rPr>
            </w:pPr>
          </w:p>
        </w:tc>
        <w:tc>
          <w:tcPr>
            <w:tcW w:w="1180" w:type="dxa"/>
            <w:vAlign w:val="bottom"/>
            <w:gridSpan w:val="3"/>
            <w:vMerge w:val="restart"/>
          </w:tcPr>
          <w:p>
            <w:pPr>
              <w:ind w:left="640"/>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5"/>
              </w:rPr>
              <w:t>Percent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5"/>
              </w:rPr>
              <w:t>Percent</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charges and fees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service charges and fees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w w:val="95"/>
              </w:rPr>
              <w:t>Mortgage loan gains and related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Wealth management fees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gains, net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lending and loan servicing</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fees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 gains (losses)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BOLI</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management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noninterest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Total noninterest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third quarter and first nine months of 2021, total service charges and fees increased compared to the respective periods of 2020, which was mostly driven by the addition of Three Shores customers and the receipt of larger vendor rebates. While overdraft fee income has started to normalize, overdraft fees have remained at relatively low levels since the onset of the COVID-19 pandemic. During the first nine months of 2020, the decrease in overdraft fees was attributable to lower transaction volume due to widespread economic shutdowns combined with government stimulus payments disbursed during the second quarter of 2020, both of which increased transaction deposit account balances. During the first nine months of 2021, transaction deposit account balances remained elevated due to government stimulus payments and customer preferences to allocate more funds to transaction deposit accounts rather than time deposits in the current low interest rate environment.</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Mortgage loan gains and related fees consists primarily of fees earned on mortgage originations, gains on the sale of mortgages in the secondary market and fair value adjustments to our mortgage servicing asset. We recognize the majority of gains on mortgages when customers enter into mortgage rate lock commitments, making our mortgage pipeline a significant driver of mortgage gains in any given period. The change in mortgage loan gains and related fees is strongly tied to the interest rate environment. Customer demand, primarily driven by interest rates, as well as the market-driven gain on sale spread are also primary drivers of mortgage income. From the second quarter of 2020 through the first quarter of 2021, we experienced a strong demand for mortgage refinances and home purchases following the drop in interest rates in early 2020. Since the second quarter of 2021, the demand for refinances has decreased as rates have started to increase, which in turn has also resulted in a decrease in volume of mortgage rate locks. However, the demand for home purchases remained strong for the three and nine months ended September 30, 2021 resulting in higher purchase originations compared to the respective periods of 2020. Offsetting strong mortgage origination demand, during the three months ended September 30, 2021 and 2020, we recorded negative adjustments related to fair value and decay to the mortgage servicing rights asset of $1.32 million and $1.18 million, respectively. Additionally, our gain on sale spread for the third quarter of 2021 of 4.82% decreased compared to 5.43% for the third quarter of 2020 contributing to the decrease in mortgage loan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b w:val="1"/>
          <w:bCs w:val="1"/>
          <w:color w:val="auto"/>
        </w:rPr>
        <w:t>Table 6 - Selected Mortgage Metrics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38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rate locks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909,834</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w w:val="98"/>
              </w:rPr>
              <w:t>(20)%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2,425,571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2,512,327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rate locks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3,022</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8,899</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(20)</w:t>
            </w:r>
          </w:p>
        </w:tc>
      </w:tr>
      <w:tr>
        <w:trPr>
          <w:trHeight w:val="219"/>
        </w:trPr>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Mortgage loans sold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319,232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402,265</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1,062,373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1,056,783</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mortgage loans sold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1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 originated: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354,378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327,269</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1,053,849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788,767</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34</w:t>
            </w: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Refinances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214,018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241,863</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849,421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730,012</w:t>
            </w:r>
          </w:p>
        </w:tc>
        <w:tc>
          <w:tcPr>
            <w:tcW w:w="1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568,396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569,132</w:t>
            </w:r>
          </w:p>
        </w:tc>
        <w:tc>
          <w:tcPr>
            <w:tcW w:w="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1,903,270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1,518,779</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25</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loans originated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2,102</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5,667</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r>
    </w:tbl>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based on market conditions. Gains on the sale of other loans for the first nine months of 2021 increased compared to the same period of 2020 mostly due to the sale of equipment financing loans and leases and USDA renewable energy loans in the second quarter of 2021. The following table presents loans sold and the corresponding gains or losses recognized on the sale for the periods indicated.</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Other Loan Sales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6"/>
                <w:szCs w:val="16"/>
                <w:b w:val="1"/>
                <w:bCs w:val="1"/>
                <w:color w:val="auto"/>
              </w:rPr>
              <w:t>Three Months Ended September 30,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c>
          <w:tcPr>
            <w:tcW w:w="640" w:type="dxa"/>
            <w:vAlign w:val="bottom"/>
            <w:tcBorders>
              <w:top w:val="single" w:sz="8" w:color="auto"/>
              <w:bottom w:val="single" w:sz="8" w:color="auto"/>
            </w:tcBorders>
          </w:tcPr>
          <w:p>
            <w:pPr>
              <w:spacing w:after="0"/>
              <w:rPr>
                <w:sz w:val="18"/>
                <w:szCs w:val="18"/>
                <w:color w:val="auto"/>
              </w:rPr>
            </w:pPr>
          </w:p>
        </w:tc>
      </w:tr>
      <w:tr>
        <w:trPr>
          <w:trHeight w:val="207"/>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7"/>
                <w:szCs w:val="17"/>
                <w:color w:val="auto"/>
              </w:rPr>
            </w:pPr>
          </w:p>
        </w:tc>
      </w:tr>
      <w:tr>
        <w:trPr>
          <w:trHeight w:val="209"/>
        </w:trPr>
        <w:tc>
          <w:tcPr>
            <w:tcW w:w="302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Gain (Loss)</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r>
      <w:tr>
        <w:trPr>
          <w:trHeight w:val="21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r>
      <w:tr>
        <w:trPr>
          <w:trHeight w:val="237"/>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wealth management fees during the third quarter and first nine months of 2021 compared to the same periods of 2020 was primarily a result of the growth of our wealth management business through the acquisitions of FinTrust and Three Shores. FinTrust is the main driver of the increase for the three months ended September 30, 2021, while Three Shores, which was acquired July 1, 2020, also contributed to much of the increase during the first nine months of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other noninterest income for the three and nine months ended September 30, 2021 compared to the same periods of 2020 was primarily driven by the following factors:</w:t>
      </w:r>
    </w:p>
    <w:p>
      <w:pPr>
        <w:spacing w:after="0" w:line="89" w:lineRule="exact"/>
        <w:rPr>
          <w:sz w:val="20"/>
          <w:szCs w:val="20"/>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investment performance for the three and nine months ended September 30, 2021, yielded net higher positive fair value adjustments when compared to the same periods of 2020. The nine months ended September 30, 2020 included losses recorded during the first half of 2020 resulting from the COVID-19 pandemic related market disruption. These losses were more than offset by gains recorded during the third quarter of 2020 as the pandemic outlook improved.</w:t>
      </w:r>
    </w:p>
    <w:p>
      <w:pPr>
        <w:spacing w:after="0" w:line="9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Lending and loan servicing fees for the third quarter of 2021 decreased compared to the third quarter of 2020, but increased for the nine months ended 2021 compared to the same period of 2020. Volume-driven fee income from our equipment finance business increased for the three and nine months ended September 30, 2021, which was a main driver for the increase in lending and loan servicing fees for the nine months ended September 30, 2021. However, for the third quarter of 2021, this increase was more than offset by a negative adjustment to our SBA servicing asset, which resulted primarily from payoffs and paydowns, compared to a positive adjustment during the third quarter of 2020.</w:t>
      </w:r>
    </w:p>
    <w:p>
      <w:pPr>
        <w:spacing w:after="0" w:line="6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BOLI income decreased compared to the three and nine months ended September 30, 2020, which included death benefit gains of $274,000 and $1.37 million, respectively.</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derivative income also decreased for the three and nine months ended September 30, 2021 compared to the same periods of 2020 due to increases in interest rates negatively impacting the demand for customer derivative products.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Noninterest Expenses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6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(1,162)</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1,295</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9"/>
        </w:trPr>
        <w:tc>
          <w:tcPr>
            <w:tcW w:w="2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FDIC assessments and other regulatory</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46"/>
        </w:trPr>
        <w:tc>
          <w:tcPr>
            <w:tcW w:w="2760" w:type="dxa"/>
            <w:vAlign w:val="bottom"/>
          </w:tcPr>
          <w:p>
            <w:pPr>
              <w:ind w:left="140"/>
              <w:spacing w:after="0" w:line="146" w:lineRule="exact"/>
              <w:rPr>
                <w:sz w:val="20"/>
                <w:szCs w:val="20"/>
                <w:color w:val="auto"/>
              </w:rPr>
            </w:pPr>
            <w:r>
              <w:rPr>
                <w:rFonts w:ascii="Arial" w:cs="Arial" w:eastAsia="Arial" w:hAnsi="Arial"/>
                <w:sz w:val="16"/>
                <w:szCs w:val="16"/>
                <w:color w:val="auto"/>
              </w:rPr>
              <w:t>Total excluding merger-related and</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95,312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92,620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2,692</w:t>
            </w: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283,425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256,933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26,492</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Arial" w:cs="Arial" w:eastAsia="Arial" w:hAnsi="Arial"/>
                <w:sz w:val="16"/>
                <w:szCs w:val="16"/>
                <w:color w:val="auto"/>
              </w:rPr>
              <w:t>other charges</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140"/>
              <w:spacing w:after="0"/>
              <w:rPr>
                <w:sz w:val="20"/>
                <w:szCs w:val="20"/>
                <w:color w:val="auto"/>
              </w:rPr>
            </w:pPr>
            <w:r>
              <w:rPr>
                <w:rFonts w:ascii="Arial" w:cs="Arial" w:eastAsia="Arial" w:hAnsi="Arial"/>
                <w:sz w:val="16"/>
                <w:szCs w:val="16"/>
                <w:color w:val="auto"/>
              </w:rPr>
              <w:t>Total noninterest expenses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96,749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95,981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25,984</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Salaries and employee benefits for the third quarter of 2021 increased compared to the same quarter of 2020 primarily due to the addition of FinTrust employees, higher brokerage and equipment finance commissions as well as other incentives reflective of strong performance during the quarter. These increases were partially offset by higher deferred loan origination costs resulting from increased loan production. The increase also reflected our merit-based salary increases awarded during the second quarter of 2021. In addition to these factors, the increase in salaries and employee benefits for the nine months ended September 30, 2021 compared to the same period of 2020 was also attributable to the addition of Three Shores employees beginning on July 1, 2020 and higher mortgage commissions as a result of strong mortgage production for first nine months of 2021. Full-time equivalent headcount totaled 2,480 at September 30, 2021, up from 2,414 at September 30, 2020.</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Communications and equipment expense increased for the third quarter and first nine months of 2021 compared to the same periods of 2020 primarily due to incremental software contract costs. The increase in occupancy costs for the nine months ended September 30, 2021 was mostly attributable to the addition of operating lease costs associated with the acquired Three Shores’ locations. Advertising and public relations expense for the three and nine months ended September 30, 2021 decreased relative to the same periods of 2020 as 2020 included contributions to the United Community Bank Foundation in its inaugural year. Lending and loan servicing expense for the third quarter of 2021 decreased compared to the same period of 2020 partially due to lower mortgage production volume. The increase in outside services - electronic banking primarily related to increased ATM network and internet banking costs.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Merger-related and other charges for the third quarter and first nine months of 2021 primarily consisted of expenses associated with the acquisitions of Three Shores, FinTrust and Aquesta. Merger-related and other charges for the three and nine months ended September 30, 2020 were mostly related to the acquisition of Three Shores.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assets at September 30, 2021 and December 31, 2020 were $19.5 billion and $17.8 billion, respectively. Total liabilities at September 30, 2021 and December 31, 2020 were $17.4 billion and $15.8 billion, respectively. Shareholders’ equity totaled $2.12 billion and $2.01 billion at September 30, 2021 and December 31, 2020, respectively. The increase in assets was primarily evident in our investment portfolio, which we have strategically grown by $1.69 billion during 2021 to deploy excess liquidity provided by PPP loan forgiveness and growth in our customer deposits.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loan portfolio is our largest category of interest-earning assets. The following table presents a summary of the loan portfolio by loan type, of which approximately 73% was secured by real estate at September 30,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9 - Loans Outstanding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of total loans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of total loans</w:t>
            </w:r>
          </w:p>
        </w:tc>
      </w:tr>
      <w:tr>
        <w:trPr>
          <w:trHeight w:val="212"/>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2,148,946</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2,542,106</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2,540,750</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219"/>
        </w:trPr>
        <w:tc>
          <w:tcPr>
            <w:tcW w:w="4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1,879,466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947,023</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967,305</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1,016,903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r>
      <w:tr>
        <w:trPr>
          <w:trHeight w:val="207"/>
        </w:trPr>
        <w:tc>
          <w:tcPr>
            <w:tcW w:w="496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8,534,444</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8,960,888</w:t>
            </w:r>
          </w:p>
        </w:tc>
        <w:tc>
          <w:tcPr>
            <w:tcW w:w="10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1,532,625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661,352</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697,117</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141,736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38"/>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11,191,037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September 30, 2021 and December 31, 2020 included $150 million and $646 million of PPP loans,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6"/>
          <w:szCs w:val="16"/>
          <w:i w:val="1"/>
          <w:iCs w:val="1"/>
          <w:color w:val="auto"/>
        </w:rPr>
        <w:t>Lending Activities</w:t>
      </w:r>
      <w:r>
        <w:rPr>
          <w:rFonts w:ascii="Arial" w:cs="Arial" w:eastAsia="Arial" w:hAnsi="Arial"/>
          <w:sz w:val="16"/>
          <w:szCs w:val="16"/>
          <w:color w:val="auto"/>
        </w:rPr>
        <w:t xml:space="preserve"> in our 2020 10-K.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ACL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xml:space="preserve"> section of MD&amp;A in our 2020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10 - ACL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25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54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beginning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111,616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103,669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62,089</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6,880</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adjusted beginning balance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111,616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103,669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68,969</w:t>
            </w:r>
          </w:p>
        </w:tc>
      </w:tr>
      <w:tr>
        <w:trPr>
          <w:trHeight w:val="199"/>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merger - ACL - PCD loans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11,152</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Charge-offs: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8,033</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8,118</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6,366</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347</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HELOC</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162</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1,782</w:t>
            </w:r>
          </w:p>
        </w:tc>
      </w:tr>
      <w:tr>
        <w:trPr>
          <w:trHeight w:val="21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charge-offs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25,620</w:t>
            </w:r>
          </w:p>
        </w:tc>
      </w:tr>
      <w:tr>
        <w:trPr>
          <w:trHeight w:val="193"/>
        </w:trPr>
        <w:tc>
          <w:tcPr>
            <w:tcW w:w="552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2,225</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1,430</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1,075</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916</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1,201</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379</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97</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1,028</w:t>
            </w:r>
          </w:p>
        </w:tc>
      </w:tr>
      <w:tr>
        <w:trPr>
          <w:trHeight w:val="206"/>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recoveries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8,819</w:t>
            </w:r>
          </w:p>
        </w:tc>
      </w:tr>
      <w:tr>
        <w:trPr>
          <w:trHeight w:val="21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charge-offs (recoveries)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16,801</w:t>
            </w:r>
          </w:p>
        </w:tc>
      </w:tr>
      <w:tr>
        <w:trPr>
          <w:trHeight w:val="20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(Release of) provision for credit losses - loans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(11,445)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21,973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70,936</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end of period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134,256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99,620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134,256</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unfunded commitments, beginning of period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3,458</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1,871</w:t>
            </w:r>
          </w:p>
        </w:tc>
      </w:tr>
      <w:tr>
        <w:trPr>
          <w:trHeight w:val="212"/>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unfunded commitments, adjusted beginning balance</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10,844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12,100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5,329</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credit losses - unfunded commitments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6,591</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unfunded commitments, end of period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11,920</w:t>
            </w:r>
          </w:p>
        </w:tc>
      </w:tr>
      <w:tr>
        <w:trPr>
          <w:trHeight w:val="216"/>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110,875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146,176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110,875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146,176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loans: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At period-end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11,191,037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11,798,910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11,191,037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11,798,910</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Average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11,204,653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11,644,202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11,417,285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10,087,630</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ACL - loans, as a percentage of period-end loans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average loans (annualized):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Net charge-offs</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0.22</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credit losses - loans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0.94</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reduction in the ACL since December 31, 2020 reflects an improved economic forecast, which includes an improved COVID-19 pandemic outlook, government stimulus spending, projected GDP growth and a continued low interest rate environment. Qualitative factors were used to moderate the improvement in the economic forecast for certain portfolios in recognition of continued elevated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color w:val="auto"/>
        </w:rPr>
        <w:t>levels of special mention and substandard assets at September 30, 2021, primarily due to slower improvement in several COVID-19 impacted industries.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loans by risk category for the dates indicated. See Note 6 to the consolidated financial statements in this Report for detailed descriptions of the risk categories.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11 - Risk Categories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14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10,691,234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10,781,793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11,070,628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10,846,850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11,481,859</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120"/>
              <w:spacing w:after="0"/>
              <w:rPr>
                <w:sz w:val="20"/>
                <w:szCs w:val="20"/>
                <w:color w:val="auto"/>
              </w:rPr>
            </w:pPr>
            <w:r>
              <w:rPr>
                <w:rFonts w:ascii="Arial" w:cs="Arial" w:eastAsia="Arial" w:hAnsi="Arial"/>
                <w:sz w:val="16"/>
                <w:szCs w:val="16"/>
                <w:color w:val="auto"/>
              </w:rPr>
              <w:t>Special mention</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227,708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369,964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376,250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297,245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142,480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Substandard</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222,095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238,989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231,666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226,720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174,571</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220"/>
              <w:spacing w:after="0"/>
              <w:rPr>
                <w:sz w:val="20"/>
                <w:szCs w:val="20"/>
                <w:color w:val="auto"/>
              </w:rPr>
            </w:pPr>
            <w:r>
              <w:rPr>
                <w:rFonts w:ascii="Arial" w:cs="Arial" w:eastAsia="Arial" w:hAnsi="Arial"/>
                <w:sz w:val="16"/>
                <w:szCs w:val="16"/>
                <w:color w:val="auto"/>
              </w:rPr>
              <w:t>Total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11,141,037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11,390,746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11,678,544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11,370,815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11,798,910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fourth quarter of 2020 and first quarter of 2021, we downgraded loans to certain borrowers whose financial performance was impacted by the social and economic effects of the COVID-19 pandemic, such as senior care and hotels. During the third quarter of 2021, to the extent these borrowers’ financial position strengthened as the economic outlook of the pandemic improved, we made risk grade upgrades as deemed appropriate by management.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loans as substandard when there is one or more well-defined weaknesses that jeopardize the repayment by the borrower and there is a distinct possibility that we could sustain some loss if the deficiency is not corrected. At September 30, 2021, substandard loans included accrual and nonaccrual loans of $177 million and $44.9 million, respectively. Special mention loans continue to accrue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NPAs, which include nonaccrual loans and foreclosed properties, totaled $45.3 million at September 30, 2021, compared with $62.2 million at December 31, 2020. The decrease in NPAs since December 31, 2020 is primarily a result of paydowns and payoffs of nonaccrual loans.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table below summarizes NPAs.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12 -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CCEEFF"/>
            </w:tcBorders>
          </w:tcPr>
          <w:p>
            <w:pPr>
              <w:spacing w:after="0"/>
              <w:rPr>
                <w:sz w:val="18"/>
                <w:szCs w:val="18"/>
                <w:color w:val="auto"/>
              </w:rPr>
            </w:pPr>
          </w:p>
        </w:tc>
      </w:tr>
      <w:tr>
        <w:trPr>
          <w:trHeight w:val="199"/>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Nonaccrual loans: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40" w:type="dxa"/>
            <w:vAlign w:val="bottom"/>
          </w:tcPr>
          <w:p>
            <w:pPr>
              <w:ind w:left="146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4,945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8,582</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15,149</w:t>
            </w:r>
          </w:p>
        </w:tc>
        <w:tc>
          <w:tcPr>
            <w:tcW w:w="1340" w:type="dxa"/>
            <w:vAlign w:val="bottom"/>
            <w:shd w:val="clear" w:color="auto" w:fill="CCEEFF"/>
          </w:tcPr>
          <w:p>
            <w:pPr>
              <w:spacing w:after="0"/>
              <w:rPr>
                <w:sz w:val="19"/>
                <w:szCs w:val="19"/>
                <w:color w:val="auto"/>
              </w:rPr>
            </w:pPr>
          </w:p>
        </w:tc>
      </w:tr>
      <w:tr>
        <w:trPr>
          <w:trHeight w:val="213"/>
        </w:trPr>
        <w:tc>
          <w:tcPr>
            <w:tcW w:w="6640" w:type="dxa"/>
            <w:vAlign w:val="bottom"/>
          </w:tcPr>
          <w:p>
            <w:pPr>
              <w:ind w:left="146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16,634</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Commercial construction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1,745</w:t>
            </w:r>
          </w:p>
        </w:tc>
        <w:tc>
          <w:tcPr>
            <w:tcW w:w="1340" w:type="dxa"/>
            <w:vAlign w:val="bottom"/>
            <w:shd w:val="clear" w:color="auto" w:fill="CCEEFF"/>
          </w:tcPr>
          <w:p>
            <w:pPr>
              <w:spacing w:after="0"/>
              <w:rPr>
                <w:sz w:val="19"/>
                <w:szCs w:val="19"/>
                <w:color w:val="auto"/>
              </w:rPr>
            </w:pPr>
          </w:p>
        </w:tc>
      </w:tr>
      <w:tr>
        <w:trPr>
          <w:trHeight w:val="213"/>
        </w:trPr>
        <w:tc>
          <w:tcPr>
            <w:tcW w:w="664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3,405</w:t>
            </w:r>
          </w:p>
        </w:tc>
        <w:tc>
          <w:tcPr>
            <w:tcW w:w="1340" w:type="dxa"/>
            <w:vAlign w:val="bottom"/>
            <w:tcBorders>
              <w:bottom w:val="single" w:sz="8" w:color="CCEEFF"/>
            </w:tcBorders>
          </w:tcPr>
          <w:p>
            <w:pPr>
              <w:spacing w:after="0"/>
              <w:rPr>
                <w:sz w:val="18"/>
                <w:szCs w:val="18"/>
                <w:color w:val="auto"/>
              </w:rPr>
            </w:pPr>
          </w:p>
        </w:tc>
      </w:tr>
      <w:tr>
        <w:trPr>
          <w:trHeight w:val="213"/>
        </w:trPr>
        <w:tc>
          <w:tcPr>
            <w:tcW w:w="664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Total commercial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45,515</w:t>
            </w:r>
          </w:p>
        </w:tc>
        <w:tc>
          <w:tcPr>
            <w:tcW w:w="1340" w:type="dxa"/>
            <w:vAlign w:val="bottom"/>
            <w:shd w:val="clear" w:color="auto" w:fill="CCEEFF"/>
          </w:tcPr>
          <w:p>
            <w:pPr>
              <w:spacing w:after="0"/>
              <w:rPr>
                <w:sz w:val="18"/>
                <w:szCs w:val="18"/>
                <w:color w:val="auto"/>
              </w:rPr>
            </w:pPr>
          </w:p>
        </w:tc>
      </w:tr>
      <w:tr>
        <w:trPr>
          <w:trHeight w:val="213"/>
        </w:trPr>
        <w:tc>
          <w:tcPr>
            <w:tcW w:w="6640" w:type="dxa"/>
            <w:vAlign w:val="bottom"/>
          </w:tcPr>
          <w:p>
            <w:pPr>
              <w:ind w:left="146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12,858</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HELOC</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2,487</w:t>
            </w:r>
          </w:p>
        </w:tc>
        <w:tc>
          <w:tcPr>
            <w:tcW w:w="1340" w:type="dxa"/>
            <w:vAlign w:val="bottom"/>
            <w:shd w:val="clear" w:color="auto" w:fill="CCEEFF"/>
          </w:tcPr>
          <w:p>
            <w:pPr>
              <w:spacing w:after="0"/>
              <w:rPr>
                <w:sz w:val="19"/>
                <w:szCs w:val="19"/>
                <w:color w:val="auto"/>
              </w:rPr>
            </w:pPr>
          </w:p>
        </w:tc>
      </w:tr>
      <w:tr>
        <w:trPr>
          <w:trHeight w:val="213"/>
        </w:trPr>
        <w:tc>
          <w:tcPr>
            <w:tcW w:w="6640" w:type="dxa"/>
            <w:vAlign w:val="bottom"/>
          </w:tcPr>
          <w:p>
            <w:pPr>
              <w:ind w:left="1460"/>
              <w:spacing w:after="0"/>
              <w:rPr>
                <w:sz w:val="20"/>
                <w:szCs w:val="20"/>
                <w:color w:val="auto"/>
              </w:rPr>
            </w:pPr>
            <w:r>
              <w:rPr>
                <w:rFonts w:ascii="Arial" w:cs="Arial" w:eastAsia="Arial" w:hAnsi="Arial"/>
                <w:sz w:val="16"/>
                <w:szCs w:val="16"/>
                <w:color w:val="auto"/>
              </w:rPr>
              <w:t>Residential construction</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514</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225</w:t>
            </w:r>
          </w:p>
        </w:tc>
        <w:tc>
          <w:tcPr>
            <w:tcW w:w="1340" w:type="dxa"/>
            <w:vAlign w:val="bottom"/>
            <w:shd w:val="clear" w:color="auto" w:fill="CCEEFF"/>
          </w:tcPr>
          <w:p>
            <w:pPr>
              <w:spacing w:after="0"/>
              <w:rPr>
                <w:sz w:val="19"/>
                <w:szCs w:val="19"/>
                <w:color w:val="auto"/>
              </w:rPr>
            </w:pPr>
          </w:p>
        </w:tc>
      </w:tr>
      <w:tr>
        <w:trPr>
          <w:trHeight w:val="207"/>
        </w:trPr>
        <w:tc>
          <w:tcPr>
            <w:tcW w:w="6640" w:type="dxa"/>
            <w:vAlign w:val="bottom"/>
          </w:tcPr>
          <w:p>
            <w:pPr>
              <w:ind w:left="1540"/>
              <w:spacing w:after="0"/>
              <w:rPr>
                <w:sz w:val="20"/>
                <w:szCs w:val="20"/>
                <w:color w:val="auto"/>
              </w:rPr>
            </w:pPr>
            <w:r>
              <w:rPr>
                <w:rFonts w:ascii="Arial" w:cs="Arial" w:eastAsia="Arial" w:hAnsi="Arial"/>
                <w:sz w:val="16"/>
                <w:szCs w:val="16"/>
                <w:color w:val="auto"/>
              </w:rPr>
              <w:t>Total nonaccrual loans</w:t>
            </w:r>
          </w:p>
        </w:tc>
        <w:tc>
          <w:tcPr>
            <w:tcW w:w="20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44,923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61,599</w:t>
            </w:r>
          </w:p>
        </w:tc>
        <w:tc>
          <w:tcPr>
            <w:tcW w:w="1340" w:type="dxa"/>
            <w:vAlign w:val="bottom"/>
          </w:tcPr>
          <w:p>
            <w:pPr>
              <w:spacing w:after="0"/>
              <w:rPr>
                <w:sz w:val="17"/>
                <w:szCs w:val="17"/>
                <w:color w:val="auto"/>
              </w:rPr>
            </w:pPr>
          </w:p>
        </w:tc>
      </w:tr>
      <w:tr>
        <w:trPr>
          <w:trHeight w:val="216"/>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Foreclosed properties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647</w:t>
            </w:r>
          </w:p>
        </w:tc>
        <w:tc>
          <w:tcPr>
            <w:tcW w:w="1340" w:type="dxa"/>
            <w:vAlign w:val="bottom"/>
            <w:shd w:val="clear" w:color="auto" w:fill="CCEEFF"/>
          </w:tcPr>
          <w:p>
            <w:pPr>
              <w:spacing w:after="0"/>
              <w:rPr>
                <w:sz w:val="18"/>
                <w:szCs w:val="18"/>
                <w:color w:val="auto"/>
              </w:rPr>
            </w:pPr>
          </w:p>
        </w:tc>
      </w:tr>
      <w:tr>
        <w:trPr>
          <w:trHeight w:val="213"/>
        </w:trPr>
        <w:tc>
          <w:tcPr>
            <w:tcW w:w="6640" w:type="dxa"/>
            <w:vAlign w:val="bottom"/>
          </w:tcPr>
          <w:p>
            <w:pPr>
              <w:ind w:left="1540"/>
              <w:spacing w:after="0"/>
              <w:rPr>
                <w:sz w:val="20"/>
                <w:szCs w:val="20"/>
                <w:color w:val="auto"/>
              </w:rPr>
            </w:pPr>
            <w:r>
              <w:rPr>
                <w:rFonts w:ascii="Arial" w:cs="Arial" w:eastAsia="Arial" w:hAnsi="Arial"/>
                <w:sz w:val="16"/>
                <w:szCs w:val="16"/>
                <w:color w:val="auto"/>
              </w:rPr>
              <w:t>Total NPAs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45,335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62,246</w:t>
            </w:r>
          </w:p>
        </w:tc>
        <w:tc>
          <w:tcPr>
            <w:tcW w:w="1340" w:type="dxa"/>
            <w:vAlign w:val="bottom"/>
          </w:tcPr>
          <w:p>
            <w:pPr>
              <w:spacing w:after="0"/>
              <w:rPr>
                <w:sz w:val="18"/>
                <w:szCs w:val="18"/>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40" w:type="dxa"/>
            <w:vAlign w:val="bottom"/>
          </w:tcPr>
          <w:p>
            <w:pPr>
              <w:ind w:left="1340"/>
              <w:spacing w:after="0"/>
              <w:rPr>
                <w:sz w:val="20"/>
                <w:szCs w:val="20"/>
                <w:color w:val="auto"/>
              </w:rPr>
            </w:pPr>
            <w:r>
              <w:rPr>
                <w:rFonts w:ascii="Arial" w:cs="Arial" w:eastAsia="Arial" w:hAnsi="Arial"/>
                <w:sz w:val="16"/>
                <w:szCs w:val="16"/>
                <w:color w:val="auto"/>
              </w:rPr>
              <w:t>Nonaccrual loans as a percentage of total loans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0.54 %</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NPAs as a percentage of total loans and foreclosed properties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0.55</w:t>
            </w:r>
          </w:p>
        </w:tc>
        <w:tc>
          <w:tcPr>
            <w:tcW w:w="1340" w:type="dxa"/>
            <w:vAlign w:val="bottom"/>
            <w:shd w:val="clear" w:color="auto" w:fill="CCEEFF"/>
          </w:tcPr>
          <w:p>
            <w:pPr>
              <w:spacing w:after="0"/>
              <w:rPr>
                <w:sz w:val="19"/>
                <w:szCs w:val="19"/>
                <w:color w:val="auto"/>
              </w:rPr>
            </w:pPr>
          </w:p>
        </w:tc>
      </w:tr>
      <w:tr>
        <w:trPr>
          <w:trHeight w:val="210"/>
        </w:trPr>
        <w:tc>
          <w:tcPr>
            <w:tcW w:w="6640" w:type="dxa"/>
            <w:vAlign w:val="bottom"/>
          </w:tcPr>
          <w:p>
            <w:pPr>
              <w:ind w:left="1340"/>
              <w:spacing w:after="0"/>
              <w:rPr>
                <w:sz w:val="20"/>
                <w:szCs w:val="20"/>
                <w:color w:val="auto"/>
              </w:rPr>
            </w:pPr>
            <w:r>
              <w:rPr>
                <w:rFonts w:ascii="Arial" w:cs="Arial" w:eastAsia="Arial" w:hAnsi="Arial"/>
                <w:sz w:val="16"/>
                <w:szCs w:val="16"/>
                <w:color w:val="auto"/>
              </w:rPr>
              <w:t>NPAs as a percentage of total assets</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340" w:type="dxa"/>
            <w:vAlign w:val="bottom"/>
          </w:tcPr>
          <w:p>
            <w:pPr>
              <w:spacing w:after="0"/>
              <w:rPr>
                <w:sz w:val="18"/>
                <w:szCs w:val="18"/>
                <w:color w:val="auto"/>
              </w:rPr>
            </w:pPr>
          </w:p>
        </w:tc>
      </w:tr>
    </w:tbl>
    <w:p>
      <w:pPr>
        <w:spacing w:after="0" w:line="3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2021 and December 31, 2020, we had $53.0 million and $61.6 million, respectively, in loans with terms that have been modified in TDRs. Included therein were $16.4 million and $20.6 million, respectively, of TDRs that were classified as nonaccrual and were included in nonperforming loans. The remaining TDRs with an aggregate balance of $36.6 million and $41.0 million, respectively, were performing according to their modified terms and were therefore not considered to be nonperforming assets.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CARES Act and interagency guidance granted temporary relief from TDR classification for certain loans restructured as a result of COVID-19. During 2020, we granted a significant number of payment deferral requests to our borrowers related to the economic disruption created by COVID-19. The following table presents remaining COVID-19 related deferrals. To the extent that these deferrals qualified under either the CARES Act or interagency guidance, they were not considered new TDRs as of September 30, 2021 and December 31, 2020.</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13 - COVID-19 Deferrals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35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228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2280" w:type="dxa"/>
            <w:vAlign w:val="bottom"/>
            <w:shd w:val="clear" w:color="auto" w:fill="CCEEFF"/>
          </w:tcPr>
          <w:p>
            <w:pPr>
              <w:spacing w:after="0"/>
              <w:rPr>
                <w:sz w:val="18"/>
                <w:szCs w:val="18"/>
                <w:color w:val="auto"/>
              </w:rPr>
            </w:pPr>
          </w:p>
        </w:tc>
      </w:tr>
      <w:tr>
        <w:trPr>
          <w:trHeight w:val="213"/>
        </w:trPr>
        <w:tc>
          <w:tcPr>
            <w:tcW w:w="5940" w:type="dxa"/>
            <w:vAlign w:val="bottom"/>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45,190</w:t>
            </w:r>
          </w:p>
        </w:tc>
        <w:tc>
          <w:tcPr>
            <w:tcW w:w="2280" w:type="dxa"/>
            <w:vAlign w:val="bottom"/>
          </w:tcPr>
          <w:p>
            <w:pPr>
              <w:spacing w:after="0"/>
              <w:rPr>
                <w:sz w:val="18"/>
                <w:szCs w:val="18"/>
                <w:color w:val="auto"/>
              </w:rPr>
            </w:pPr>
          </w:p>
        </w:tc>
      </w:tr>
      <w:tr>
        <w:trPr>
          <w:trHeight w:val="219"/>
        </w:trPr>
        <w:tc>
          <w:tcPr>
            <w:tcW w:w="594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2280" w:type="dxa"/>
            <w:vAlign w:val="bottom"/>
            <w:shd w:val="clear" w:color="auto" w:fill="CCEEFF"/>
          </w:tcPr>
          <w:p>
            <w:pPr>
              <w:spacing w:after="0"/>
              <w:rPr>
                <w:sz w:val="19"/>
                <w:szCs w:val="19"/>
                <w:color w:val="auto"/>
              </w:rPr>
            </w:pPr>
          </w:p>
        </w:tc>
      </w:tr>
      <w:tr>
        <w:trPr>
          <w:trHeight w:val="213"/>
        </w:trPr>
        <w:tc>
          <w:tcPr>
            <w:tcW w:w="5940" w:type="dxa"/>
            <w:vAlign w:val="bottom"/>
          </w:tcPr>
          <w:p>
            <w:pPr>
              <w:ind w:left="1920"/>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1,745</w:t>
            </w:r>
          </w:p>
        </w:tc>
        <w:tc>
          <w:tcPr>
            <w:tcW w:w="2280" w:type="dxa"/>
            <w:vAlign w:val="bottom"/>
          </w:tcPr>
          <w:p>
            <w:pPr>
              <w:spacing w:after="0"/>
              <w:rPr>
                <w:sz w:val="18"/>
                <w:szCs w:val="18"/>
                <w:color w:val="auto"/>
              </w:rPr>
            </w:pPr>
          </w:p>
        </w:tc>
      </w:tr>
      <w:tr>
        <w:trPr>
          <w:trHeight w:val="219"/>
        </w:trPr>
        <w:tc>
          <w:tcPr>
            <w:tcW w:w="594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Equipment financing</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2280" w:type="dxa"/>
            <w:vAlign w:val="bottom"/>
            <w:shd w:val="clear" w:color="auto" w:fill="CCEEFF"/>
          </w:tcPr>
          <w:p>
            <w:pPr>
              <w:spacing w:after="0"/>
              <w:rPr>
                <w:sz w:val="19"/>
                <w:szCs w:val="19"/>
                <w:color w:val="auto"/>
              </w:rPr>
            </w:pPr>
          </w:p>
        </w:tc>
      </w:tr>
      <w:tr>
        <w:trPr>
          <w:trHeight w:val="207"/>
        </w:trPr>
        <w:tc>
          <w:tcPr>
            <w:tcW w:w="5940" w:type="dxa"/>
            <w:vAlign w:val="bottom"/>
          </w:tcPr>
          <w:p>
            <w:pPr>
              <w:ind w:left="2020"/>
              <w:spacing w:after="0"/>
              <w:rPr>
                <w:sz w:val="20"/>
                <w:szCs w:val="20"/>
                <w:color w:val="auto"/>
              </w:rPr>
            </w:pPr>
            <w:r>
              <w:rPr>
                <w:rFonts w:ascii="Arial" w:cs="Arial" w:eastAsia="Arial" w:hAnsi="Arial"/>
                <w:sz w:val="16"/>
                <w:szCs w:val="16"/>
                <w:color w:val="auto"/>
              </w:rPr>
              <w:t>Total commercial</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60,865</w:t>
            </w:r>
          </w:p>
        </w:tc>
        <w:tc>
          <w:tcPr>
            <w:tcW w:w="2280" w:type="dxa"/>
            <w:vAlign w:val="bottom"/>
          </w:tcPr>
          <w:p>
            <w:pPr>
              <w:spacing w:after="0"/>
              <w:rPr>
                <w:sz w:val="17"/>
                <w:szCs w:val="17"/>
                <w:color w:val="auto"/>
              </w:rPr>
            </w:pPr>
          </w:p>
        </w:tc>
      </w:tr>
      <w:tr>
        <w:trPr>
          <w:trHeight w:val="219"/>
        </w:trPr>
        <w:tc>
          <w:tcPr>
            <w:tcW w:w="594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2280" w:type="dxa"/>
            <w:vAlign w:val="bottom"/>
            <w:shd w:val="clear" w:color="auto" w:fill="CCEEFF"/>
          </w:tcPr>
          <w:p>
            <w:pPr>
              <w:spacing w:after="0"/>
              <w:rPr>
                <w:sz w:val="19"/>
                <w:szCs w:val="19"/>
                <w:color w:val="auto"/>
              </w:rPr>
            </w:pPr>
          </w:p>
        </w:tc>
      </w:tr>
      <w:tr>
        <w:trPr>
          <w:trHeight w:val="213"/>
        </w:trPr>
        <w:tc>
          <w:tcPr>
            <w:tcW w:w="5940" w:type="dxa"/>
            <w:vAlign w:val="bottom"/>
          </w:tcPr>
          <w:p>
            <w:pPr>
              <w:ind w:left="1920"/>
              <w:spacing w:after="0"/>
              <w:rPr>
                <w:sz w:val="20"/>
                <w:szCs w:val="20"/>
                <w:color w:val="auto"/>
              </w:rPr>
            </w:pPr>
            <w:r>
              <w:rPr>
                <w:rFonts w:ascii="Arial" w:cs="Arial" w:eastAsia="Arial" w:hAnsi="Arial"/>
                <w:sz w:val="16"/>
                <w:szCs w:val="16"/>
                <w:color w:val="auto"/>
              </w:rPr>
              <w:t>HELOC</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1,012</w:t>
            </w:r>
          </w:p>
        </w:tc>
        <w:tc>
          <w:tcPr>
            <w:tcW w:w="2280" w:type="dxa"/>
            <w:vAlign w:val="bottom"/>
          </w:tcPr>
          <w:p>
            <w:pPr>
              <w:spacing w:after="0"/>
              <w:rPr>
                <w:sz w:val="18"/>
                <w:szCs w:val="18"/>
                <w:color w:val="auto"/>
              </w:rPr>
            </w:pPr>
          </w:p>
        </w:tc>
      </w:tr>
      <w:tr>
        <w:trPr>
          <w:trHeight w:val="219"/>
        </w:trPr>
        <w:tc>
          <w:tcPr>
            <w:tcW w:w="594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80" w:type="dxa"/>
            <w:vAlign w:val="bottom"/>
            <w:shd w:val="clear" w:color="auto" w:fill="CCEEFF"/>
          </w:tcPr>
          <w:p>
            <w:pPr>
              <w:spacing w:after="0"/>
              <w:rPr>
                <w:sz w:val="19"/>
                <w:szCs w:val="19"/>
                <w:color w:val="auto"/>
              </w:rPr>
            </w:pPr>
          </w:p>
        </w:tc>
      </w:tr>
      <w:tr>
        <w:trPr>
          <w:trHeight w:val="213"/>
        </w:trPr>
        <w:tc>
          <w:tcPr>
            <w:tcW w:w="5940" w:type="dxa"/>
            <w:vAlign w:val="bottom"/>
          </w:tcPr>
          <w:p>
            <w:pPr>
              <w:ind w:left="192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2280" w:type="dxa"/>
            <w:vAlign w:val="bottom"/>
          </w:tcPr>
          <w:p>
            <w:pPr>
              <w:spacing w:after="0"/>
              <w:rPr>
                <w:sz w:val="18"/>
                <w:szCs w:val="18"/>
                <w:color w:val="auto"/>
              </w:rPr>
            </w:pPr>
          </w:p>
        </w:tc>
      </w:tr>
      <w:tr>
        <w:trPr>
          <w:trHeight w:val="238"/>
        </w:trPr>
        <w:tc>
          <w:tcPr>
            <w:tcW w:w="5940" w:type="dxa"/>
            <w:vAlign w:val="bottom"/>
            <w:tcBorders>
              <w:top w:val="single" w:sz="8" w:color="CCEEFF"/>
              <w:bottom w:val="single" w:sz="8" w:color="CCEEFF"/>
            </w:tcBorders>
            <w:shd w:val="clear" w:color="auto" w:fill="CCEEFF"/>
          </w:tcPr>
          <w:p>
            <w:pPr>
              <w:ind w:left="2020"/>
              <w:spacing w:after="0"/>
              <w:rPr>
                <w:sz w:val="20"/>
                <w:szCs w:val="20"/>
                <w:color w:val="auto"/>
              </w:rPr>
            </w:pPr>
            <w:r>
              <w:rPr>
                <w:rFonts w:ascii="Arial" w:cs="Arial" w:eastAsia="Arial" w:hAnsi="Arial"/>
                <w:sz w:val="16"/>
                <w:szCs w:val="16"/>
                <w:color w:val="auto"/>
              </w:rPr>
              <w:t>Total COVID-19 deferrals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70,709</w:t>
            </w:r>
          </w:p>
        </w:tc>
        <w:tc>
          <w:tcPr>
            <w:tcW w:w="22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2021 and December 31, 2020, we had HTM debt securities with a carrying amount of $1.08 billion and $420 million, respectively, and AFS debt securities totaling $4.25 billion and $3.22 billion, respectively. The increased balances at September 30, 2021 reflect our decision to deploy liquidity generated through strong deposit growth by purchasing additional investment securities. At September 30, 2021 and December 31, 2020, the securities portfolio represented approximately 27% and 20%, respectively, of total assets.</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September 30, 2021 and December 31, 2020,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September 30, 2021 and December 31, 2020, there was no ACL related to the AFS debt securities portfolio. Losses on fixed income securities at September 30, 2021 and December 31, 2020 primarily reflected the effect of changes in interest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September 30, 2021 and December 31, 2020, the net carrying amount of goodwill was $382 million and $368 million,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of FinTrust, we recorded goodwill and a customer relationship intangible of $14.2 million and $7.53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In addition to organic growth, at September 30, 2021, the increase in core transaction deposits was also attributable to PPP-related deposits. The growth in customer deposits has allowed us to reduce our utilization of brokered deposits, which is reflected in the decrease since December 31, 2020. The decline in time deposits is mostly driven by customer preference to allocate funds to more liquid transaction deposits in the current low rate environment. The following table sets forth the deposit composition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Table 14 -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6,492,519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3,699,951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3,346,490</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4,501,189</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1,440,160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1,704,290</w:t>
            </w:r>
          </w:p>
        </w:tc>
        <w:tc>
          <w:tcPr>
            <w:tcW w:w="1500" w:type="dxa"/>
            <w:vAlign w:val="bottom"/>
            <w:tcBorders>
              <w:bottom w:val="single" w:sz="8" w:color="CCEEFF"/>
            </w:tcBorders>
          </w:tcPr>
          <w:p>
            <w:pPr>
              <w:spacing w:after="0"/>
              <w:rPr>
                <w:sz w:val="18"/>
                <w:szCs w:val="18"/>
                <w:color w:val="auto"/>
              </w:rPr>
            </w:pPr>
          </w:p>
        </w:tc>
      </w:tr>
      <w:tr>
        <w:trPr>
          <w:trHeight w:val="213"/>
        </w:trPr>
        <w:tc>
          <w:tcPr>
            <w:tcW w:w="554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16,681,622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14,942,260</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Brokered deposits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290,098</w:t>
            </w:r>
          </w:p>
        </w:tc>
        <w:tc>
          <w:tcPr>
            <w:tcW w:w="1500" w:type="dxa"/>
            <w:vAlign w:val="bottom"/>
            <w:tcBorders>
              <w:bottom w:val="single" w:sz="8" w:color="CCEEFF"/>
            </w:tcBorders>
          </w:tcPr>
          <w:p>
            <w:pPr>
              <w:spacing w:after="0"/>
              <w:rPr>
                <w:sz w:val="18"/>
                <w:szCs w:val="18"/>
                <w:color w:val="auto"/>
              </w:rPr>
            </w:pPr>
          </w:p>
        </w:tc>
      </w:tr>
      <w:tr>
        <w:trPr>
          <w:trHeight w:val="238"/>
        </w:trPr>
        <w:tc>
          <w:tcPr>
            <w:tcW w:w="55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16,865,417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2021 and December 31, 2020, we had long-term debt outstanding of $247 million and $327 million, respectively, which includes senior debentures, subordinated debentures, and trust preferred securities. As a result of the additional liquidity provided by PPP loans and core deposit growth, we repaid several of our long-term debt instruments during the first nine months of 2021 including the 2025 subordinated debentures, the Southern Bancorp Capital Trust I trust preferred securities, the 2022 senior debentures, and the 2026 subordinated debentures, which combined reduced our long-term debt outstanding by $80.6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2020 10-K and Note 15 to the consolidated financial statements in this Report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Interest Sensitivity</w:t>
      </w:r>
    </w:p>
    <w:p>
      <w:pPr>
        <w:spacing w:after="0" w:line="145" w:lineRule="exact"/>
        <w:rPr>
          <w:sz w:val="20"/>
          <w:szCs w:val="20"/>
          <w:color w:val="auto"/>
        </w:rPr>
      </w:pPr>
    </w:p>
    <w:p>
      <w:pPr>
        <w:jc w:val="center"/>
        <w:ind w:left="3480"/>
        <w:spacing w:after="0"/>
        <w:rPr>
          <w:sz w:val="20"/>
          <w:szCs w:val="20"/>
          <w:color w:val="auto"/>
        </w:rPr>
      </w:pPr>
      <w:r>
        <w:rPr>
          <w:rFonts w:ascii="Arial" w:cs="Arial" w:eastAsia="Arial" w:hAnsi="Arial"/>
          <w:sz w:val="16"/>
          <w:szCs w:val="16"/>
          <w:b w:val="1"/>
          <w:bCs w:val="1"/>
          <w:color w:val="auto"/>
        </w:rPr>
        <w:t>Increase (Decrease) in Net Interest Revenue from Base Scenario</w:t>
      </w:r>
    </w:p>
    <w:p>
      <w:pPr>
        <w:jc w:val="center"/>
        <w:ind w:left="3480"/>
        <w:spacing w:after="0"/>
        <w:rPr>
          <w:sz w:val="20"/>
          <w:szCs w:val="20"/>
          <w:color w:val="auto"/>
        </w:rPr>
      </w:pPr>
      <w:r>
        <w:rPr>
          <w:rFonts w:ascii="Arial" w:cs="Arial" w:eastAsia="Arial" w:hAnsi="Arial"/>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September 30, 2021</w:t>
            </w:r>
          </w:p>
        </w:tc>
        <w:tc>
          <w:tcPr>
            <w:tcW w:w="2240" w:type="dxa"/>
            <w:vAlign w:val="bottom"/>
            <w:tcBorders>
              <w:top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December 31, 2020</w:t>
            </w:r>
          </w:p>
        </w:tc>
        <w:tc>
          <w:tcPr>
            <w:tcW w:w="1560" w:type="dxa"/>
            <w:vAlign w:val="bottom"/>
          </w:tcPr>
          <w:p>
            <w:pPr>
              <w:spacing w:after="0"/>
              <w:rPr>
                <w:sz w:val="18"/>
                <w:szCs w:val="18"/>
                <w:color w:val="auto"/>
              </w:rPr>
            </w:pPr>
          </w:p>
        </w:tc>
      </w:tr>
      <w:tr>
        <w:trPr>
          <w:trHeight w:val="212"/>
        </w:trPr>
        <w:tc>
          <w:tcPr>
            <w:tcW w:w="15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560" w:type="dxa"/>
            <w:vAlign w:val="bottom"/>
            <w:shd w:val="clear" w:color="auto" w:fill="CCEEFF"/>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560" w:type="dxa"/>
            <w:vAlign w:val="bottom"/>
          </w:tcPr>
          <w:p>
            <w:pPr>
              <w:spacing w:after="0"/>
              <w:rPr>
                <w:sz w:val="18"/>
                <w:szCs w:val="18"/>
                <w:color w:val="auto"/>
              </w:rPr>
            </w:pPr>
          </w:p>
        </w:tc>
      </w:tr>
    </w:tbl>
    <w:p>
      <w:pPr>
        <w:spacing w:after="0" w:line="2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Management</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Effective July 1, 2021, the Bank became a South Carolina state-chartered bank, which permits the Bank to pay a dividend of up to 100% of its current year earnings without requesting approval of the South Carolina Board of Financial Institutions, provided certain conditions are met. Prior to the conversion to a South Carolina state-chartered bank, Georgia law generally limited the payment of dividends by the Bank from retained earnings of up to 50% of its prior year earnings without requesting approval of the Georgia Department of Banking and Finance. Holding Company liquidity is managed to a minimum of 15-months of anticipated cash expenditures after considering all of its liquidity needs over this period.</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we had sufficient qualifying collateral to provide borrowing capacity for FHLB advances of $1.29 billion, as well as unpledged investment securities of $4.12 billion that could be used as collateral for additional borrowings. In addition, we have the ability to attract retail deposits by competing more aggressively on pricing.</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uses and sources of cash during the nine months ended September 30, 2021 are summarized below. See the consolidated statement of cash flows in this Report for further detail.</w:t>
      </w:r>
    </w:p>
    <w:p>
      <w:pPr>
        <w:spacing w:after="0" w:line="89"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of $283 million reflects net income of $218 million adjusted for non-cash transactions, gains on sales of securities and other loans and changes in other assets and liabilities. Significant non-cash transactions for the period included a $36.9 million release of provision for credit losses and deferred income tax expense of $21.3 million.</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used in investing activities of $1.56 billion primarily consisted of purchases of AFS and HTM debt securities of $2.63 billion, partially offset by proceeds from securities sales, maturities and calls, reflecting our strategic decision to deploy excess liquidity into the securities portfolio.</w:t>
      </w:r>
    </w:p>
    <w:p>
      <w:pPr>
        <w:spacing w:after="0" w:line="89"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cash provided by financing activities of $1.48 billion was driven by strong deposit growth as our net increase in deposits totaled $1.63 billion, which was partially offset by our repayment of long-term debt of $80.6 million and dividends on common and preferred stock of $54.5 million.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our liquidity position at September 30, 2021 was sufficient to meet our expected cash flow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at September 30, 2021 was $2.12 billion, an increase of $115 million from December 31, 2020 primarily due to year-to-date earnings partially offset by dividends declared and unrealized losses on AFS debt securities.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capital ratios, as calculated under applicable regulatory guidelines, at September 30, 2021 and December 31, 2020. As of September 30, 2021, capital levels remained characterized as “well-capitalized” under prompt corrective action provisions in effect at the time.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related to capital ratios, as calculated under regulatory guidelines, as of September 30, 2021 and December 31, 2020, is provided in Note 14 to the consolidated financial statements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Capital Ratios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260"/>
              <w:spacing w:after="0"/>
              <w:rPr>
                <w:sz w:val="20"/>
                <w:szCs w:val="20"/>
                <w:color w:val="auto"/>
              </w:rPr>
            </w:pPr>
            <w:r>
              <w:rPr>
                <w:rFonts w:ascii="Arial" w:cs="Arial" w:eastAsia="Arial" w:hAnsi="Arial"/>
                <w:sz w:val="16"/>
                <w:szCs w:val="16"/>
                <w:b w:val="1"/>
                <w:bCs w:val="1"/>
                <w:color w:val="auto"/>
              </w:rPr>
              <w:t>United Community Banks, Inc.</w:t>
            </w:r>
          </w:p>
        </w:tc>
        <w:tc>
          <w:tcPr>
            <w:tcW w:w="2700" w:type="dxa"/>
            <w:vAlign w:val="bottom"/>
            <w:gridSpan w:val="3"/>
            <w:vMerge w:val="restart"/>
          </w:tcPr>
          <w:p>
            <w:pPr>
              <w:jc w:val="right"/>
              <w:ind w:right="3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Well-</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Minimum Capital Plus</w:t>
            </w: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December 31,</w:t>
            </w: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Capitalized</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Buffer</w:t>
            </w: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20" w:type="dxa"/>
            <w:vAlign w:val="bottom"/>
          </w:tcPr>
          <w:p>
            <w:pPr>
              <w:ind w:left="700"/>
              <w:spacing w:after="0"/>
              <w:rPr>
                <w:sz w:val="20"/>
                <w:szCs w:val="20"/>
                <w:color w:val="auto"/>
              </w:rPr>
            </w:pPr>
            <w:r>
              <w:rPr>
                <w:rFonts w:ascii="Arial" w:cs="Arial" w:eastAsia="Arial" w:hAnsi="Arial"/>
                <w:sz w:val="16"/>
                <w:szCs w:val="16"/>
                <w:color w:val="auto"/>
                <w:w w:val="97"/>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12.63 %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12.31 %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13.62 %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20" w:type="dxa"/>
            <w:vAlign w:val="bottom"/>
          </w:tcPr>
          <w:p>
            <w:pPr>
              <w:ind w:left="70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as of September 30, 2021 from that presented in our 2020 10-K. Our interest rate sensitivity position at September 30, 2021 is set forth in Table 15 in MD&amp;A of this Report and incorporated herein by this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10"/>
        <w:spacing w:after="0" w:line="259" w:lineRule="auto"/>
        <w:tabs>
          <w:tab w:leader="none" w:pos="45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September 30, 2021.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285"/>
        <w:spacing w:after="0" w:line="263" w:lineRule="auto"/>
        <w:tabs>
          <w:tab w:leader="none" w:pos="55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September 30, 2021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the additional risk factors related to the Aquesta acquisition and the proposed Reliant acquisition, which are set forth in the final prospectuses filed with the SEC pursuant to Rule 424(b)(3) respectively on August 6, 2021 and October 22, 2021 (and incorporated herein by this reference), there have been no material changes to the risk factors previously disclosed in the Company’s Annual Report on Form 10-K for the fiscal year ended December 31, 2020 filed with the SEC on February 25,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Unregistered Sales of Equity Securities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connection with the FinTrust acquisition, on July 6, 2021, we issued 132,299 shares of our common stock without registration under the Securities Act of 1933, as amended (the “Securities Act”) in reliance upon the exemption from registration set forth in section 4(a)(2) of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purchases of our common stock made during the quarter ended September 30, 2021 by or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or any “affiliated purchaser,” as defined by Rule 10b-18(a)(3) of the Exchange Act: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6"/>
                <w:szCs w:val="16"/>
                <w:color w:val="auto"/>
              </w:rPr>
            </w:pPr>
          </w:p>
        </w:tc>
        <w:tc>
          <w:tcPr>
            <w:tcW w:w="246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as Part of Publicly</w:t>
            </w: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for per share amounts)</w:t>
            </w:r>
          </w:p>
        </w:tc>
        <w:tc>
          <w:tcPr>
            <w:tcW w:w="120" w:type="dxa"/>
            <w:vAlign w:val="bottom"/>
            <w:vMerge w:val="restart"/>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Price Paid</w:t>
            </w: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Announced Plans</w:t>
            </w: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239"/>
              <w:spacing w:after="0" w:line="216" w:lineRule="exact"/>
              <w:rPr>
                <w:sz w:val="20"/>
                <w:szCs w:val="20"/>
                <w:color w:val="auto"/>
              </w:rPr>
            </w:pPr>
            <w:r>
              <w:rPr>
                <w:rFonts w:ascii="Arial" w:cs="Arial" w:eastAsia="Arial" w:hAnsi="Arial"/>
                <w:sz w:val="16"/>
                <w:szCs w:val="16"/>
                <w:b w:val="1"/>
                <w:bCs w:val="1"/>
                <w:color w:val="auto"/>
                <w:w w:val="88"/>
              </w:rPr>
              <w:t xml:space="preserve">the Plans or Programs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2021 - July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39,902</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August 1, 2021 - August 31, 2021</w:t>
            </w:r>
          </w:p>
        </w:tc>
        <w:tc>
          <w:tcPr>
            <w:tcW w:w="1180" w:type="dxa"/>
            <w:vAlign w:val="bottom"/>
          </w:tcPr>
          <w:p>
            <w:pPr>
              <w:jc w:val="right"/>
              <w:spacing w:after="0"/>
              <w:rPr>
                <w:sz w:val="20"/>
                <w:szCs w:val="20"/>
                <w:color w:val="auto"/>
              </w:rPr>
            </w:pPr>
            <w:r>
              <w:rPr>
                <w:rFonts w:ascii="Arial" w:cs="Arial" w:eastAsia="Arial" w:hAnsi="Arial"/>
                <w:sz w:val="16"/>
                <w:szCs w:val="16"/>
                <w:color w:val="auto"/>
              </w:rPr>
              <w:t>170,759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170,759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34,899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2021 - September 30, 2021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342,744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342,744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8"/>
        <w:spacing w:after="0" w:line="284" w:lineRule="auto"/>
        <w:tabs>
          <w:tab w:leader="none" w:pos="162"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 November of 2020, United’s Board re-authorized its common stock repurchase program to permit the repurchase of up to $50.0 million of its common stock. The program is scheduled to expire on the earlier of the repurchase of our common stock having an aggregate purchase price of $50 million or December 31, 2021. Under the program, shares may be repurchased in open market transactions or in privately negotiated transactions, from time to time, subject to market conditions, including transactions outside the safe harbor provided by Exchange Act Rule 10b-18 (but nevertheless adhering to Rule 10-b-18’s requirements)</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Arial" w:cs="Arial" w:eastAsia="Arial" w:hAnsi="Arial"/>
          <w:sz w:val="14"/>
          <w:szCs w:val="14"/>
          <w:color w:val="212529"/>
        </w:rPr>
        <w:t>The approved share repurchase</w:t>
      </w:r>
      <w:r>
        <w:rPr>
          <w:rFonts w:ascii="Arial" w:cs="Arial" w:eastAsia="Arial" w:hAnsi="Arial"/>
          <w:sz w:val="14"/>
          <w:szCs w:val="14"/>
          <w:color w:val="auto"/>
        </w:rPr>
        <w:t xml:space="preserve"> </w:t>
      </w:r>
      <w:r>
        <w:rPr>
          <w:rFonts w:ascii="Arial" w:cs="Arial" w:eastAsia="Arial" w:hAnsi="Arial"/>
          <w:sz w:val="14"/>
          <w:szCs w:val="14"/>
          <w:color w:val="212529"/>
        </w:rPr>
        <w:t>program does not obligate us to repurchase any dollar amount or number of shares.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6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1840" w:hanging="746"/>
        <w:spacing w:after="0" w:line="253" w:lineRule="auto"/>
        <w:tabs>
          <w:tab w:leader="none" w:pos="1820" w:val="left"/>
        </w:tabs>
        <w:rPr>
          <w:rFonts w:ascii="Arial" w:cs="Arial" w:eastAsia="Arial" w:hAnsi="Arial"/>
          <w:sz w:val="17"/>
          <w:szCs w:val="17"/>
          <w:u w:val="single" w:color="auto"/>
          <w:color w:val="0000FF"/>
        </w:rPr>
      </w:pPr>
      <w:hyperlink r:id="rId131">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31">
        <w:r>
          <w:rPr>
            <w:rFonts w:ascii="Arial" w:cs="Arial" w:eastAsia="Arial" w:hAnsi="Arial"/>
            <w:sz w:val="17"/>
            <w:szCs w:val="17"/>
            <w:u w:val="single" w:color="auto"/>
            <w:color w:val="0000FF"/>
          </w:rPr>
          <w:t>Agreement and Plan of Merger and Reorganization, dated as of May 26, 2021, by and between United Community Banks, Inc.</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and Aquesta Financial Holdings, Inc. (incorporated by reference to Annex A to the proxy statement/prospectus filed by United</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Community Banks, Inc. with the SEC pursuant to Rule 424(b)(3) on August 6, 2021).</w:t>
        </w:r>
      </w:hyperlink>
    </w:p>
    <w:p>
      <w:pPr>
        <w:spacing w:after="0" w:line="165" w:lineRule="exact"/>
        <w:rPr>
          <w:rFonts w:ascii="Arial" w:cs="Arial" w:eastAsia="Arial" w:hAnsi="Arial"/>
          <w:sz w:val="17"/>
          <w:szCs w:val="17"/>
          <w:u w:val="single" w:color="auto"/>
          <w:color w:val="0000FF"/>
        </w:rPr>
      </w:pPr>
    </w:p>
    <w:p>
      <w:pPr>
        <w:jc w:val="both"/>
        <w:ind w:left="1840" w:hanging="746"/>
        <w:spacing w:after="0" w:line="235" w:lineRule="auto"/>
        <w:tabs>
          <w:tab w:leader="none" w:pos="182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Agreement and Plan of Merger, dated as of July 14, 2021, by and between United Community Banks, Inc. and Reliant Bancorp,</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Inc. (incorporated herein by reference to Annex A to the proxy statement/prospectus filed by United Community Banks, Inc. with</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the SEC pursuant to Rule 424(b)(3) on October 22, 2021).</w:t>
        </w:r>
      </w:hyperlink>
    </w:p>
    <w:p>
      <w:pPr>
        <w:spacing w:after="0" w:line="269" w:lineRule="exact"/>
        <w:rPr>
          <w:rFonts w:ascii="Arial" w:cs="Arial" w:eastAsia="Arial" w:hAnsi="Arial"/>
          <w:sz w:val="18"/>
          <w:szCs w:val="18"/>
          <w:u w:val="single" w:color="auto"/>
          <w:color w:val="0000FF"/>
        </w:rPr>
      </w:pPr>
    </w:p>
    <w:p>
      <w:pPr>
        <w:ind w:left="1080"/>
        <w:spacing w:after="0"/>
        <w:tabs>
          <w:tab w:leader="none" w:pos="1820" w:val="left"/>
        </w:tabs>
        <w:rPr>
          <w:rFonts w:ascii="Arial" w:cs="Arial" w:eastAsia="Arial" w:hAnsi="Arial"/>
          <w:sz w:val="16"/>
          <w:szCs w:val="16"/>
          <w:u w:val="single" w:color="auto"/>
          <w:color w:val="0000FF"/>
        </w:rPr>
      </w:pPr>
      <w:hyperlink w:anchor="page62">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w:anchor="page62">
        <w:r>
          <w:rPr>
            <w:rFonts w:ascii="Arial" w:cs="Arial" w:eastAsia="Arial" w:hAnsi="Arial"/>
            <w:sz w:val="16"/>
            <w:szCs w:val="16"/>
            <w:u w:val="single" w:color="auto"/>
            <w:color w:val="0000FF"/>
          </w:rPr>
          <w:t>Restated Articles of Incorporation of United Community Banks, Inc. as amended through August 13, 2021.</w:t>
        </w:r>
      </w:hyperlink>
    </w:p>
    <w:p>
      <w:pPr>
        <w:spacing w:after="0" w:line="185" w:lineRule="exact"/>
        <w:rPr>
          <w:sz w:val="20"/>
          <w:szCs w:val="20"/>
          <w:color w:val="auto"/>
        </w:rPr>
      </w:pPr>
    </w:p>
    <w:p>
      <w:pPr>
        <w:jc w:val="both"/>
        <w:ind w:left="1840" w:hanging="746"/>
        <w:spacing w:after="0" w:line="224" w:lineRule="auto"/>
        <w:tabs>
          <w:tab w:leader="none" w:pos="1820" w:val="left"/>
        </w:tabs>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33">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May 11, 2015).</w:t>
        </w:r>
      </w:hyperlink>
    </w:p>
    <w:p>
      <w:pPr>
        <w:spacing w:after="0" w:line="163" w:lineRule="exact"/>
        <w:rPr>
          <w:rFonts w:ascii="Arial" w:cs="Arial" w:eastAsia="Arial" w:hAnsi="Arial"/>
          <w:sz w:val="18"/>
          <w:szCs w:val="18"/>
          <w:u w:val="single" w:color="auto"/>
          <w:color w:val="0000FF"/>
        </w:rPr>
      </w:pPr>
    </w:p>
    <w:p>
      <w:pPr>
        <w:ind w:left="1840" w:hanging="836"/>
        <w:spacing w:after="0" w:line="235" w:lineRule="auto"/>
        <w:tabs>
          <w:tab w:leader="none" w:pos="1820" w:val="left"/>
        </w:tabs>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78">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78">
        <w:r>
          <w:rPr>
            <w:rFonts w:ascii="Arial" w:cs="Arial" w:eastAsia="Arial" w:hAnsi="Arial"/>
            <w:sz w:val="18"/>
            <w:szCs w:val="18"/>
            <w:u w:val="single" w:color="auto"/>
            <w:color w:val="0000FF"/>
          </w:rPr>
          <w:t>Act Rule 13a-14(a).</w:t>
        </w:r>
      </w:hyperlink>
    </w:p>
    <w:p>
      <w:pPr>
        <w:spacing w:after="0" w:line="162" w:lineRule="exact"/>
        <w:rPr>
          <w:rFonts w:ascii="Arial" w:cs="Arial" w:eastAsia="Arial" w:hAnsi="Arial"/>
          <w:sz w:val="18"/>
          <w:szCs w:val="18"/>
          <w:u w:val="single" w:color="auto"/>
          <w:color w:val="0000FF"/>
        </w:rPr>
      </w:pPr>
    </w:p>
    <w:p>
      <w:pPr>
        <w:ind w:left="1840" w:hanging="836"/>
        <w:spacing w:after="0" w:line="235" w:lineRule="auto"/>
        <w:tabs>
          <w:tab w:leader="none" w:pos="1820" w:val="left"/>
        </w:tabs>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79">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79">
        <w:r>
          <w:rPr>
            <w:rFonts w:ascii="Arial" w:cs="Arial" w:eastAsia="Arial" w:hAnsi="Arial"/>
            <w:sz w:val="18"/>
            <w:szCs w:val="18"/>
            <w:u w:val="single" w:color="auto"/>
            <w:color w:val="0000FF"/>
          </w:rPr>
          <w:t>pursuant to Exchange Act Rule 13a-14(a).</w:t>
        </w:r>
      </w:hyperlink>
    </w:p>
    <w:p>
      <w:pPr>
        <w:spacing w:after="0" w:line="162" w:lineRule="exact"/>
        <w:rPr>
          <w:rFonts w:ascii="Arial" w:cs="Arial" w:eastAsia="Arial" w:hAnsi="Arial"/>
          <w:sz w:val="18"/>
          <w:szCs w:val="18"/>
          <w:u w:val="single" w:color="auto"/>
          <w:color w:val="0000FF"/>
        </w:rPr>
      </w:pPr>
    </w:p>
    <w:p>
      <w:pPr>
        <w:ind w:left="1140"/>
        <w:spacing w:after="0"/>
        <w:tabs>
          <w:tab w:leader="none" w:pos="182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w:t>
      </w:r>
      <w:r>
        <w:rPr>
          <w:sz w:val="20"/>
          <w:szCs w:val="20"/>
          <w:color w:val="auto"/>
        </w:rPr>
        <w:tab/>
      </w:r>
      <w:hyperlink w:anchor="page80">
        <w:r>
          <w:rPr>
            <w:rFonts w:ascii="Arial" w:cs="Arial" w:eastAsia="Arial" w:hAnsi="Arial"/>
            <w:sz w:val="18"/>
            <w:szCs w:val="18"/>
            <w:u w:val="single" w:color="auto"/>
            <w:color w:val="0000FF"/>
          </w:rPr>
          <w:t>Certification of CEO and CFO pursuant to 18 U.S.C. Section 1350.</w:t>
        </w:r>
      </w:hyperlink>
    </w:p>
    <w:p>
      <w:pPr>
        <w:spacing w:after="0" w:line="185" w:lineRule="exact"/>
        <w:rPr>
          <w:rFonts w:ascii="Arial" w:cs="Arial" w:eastAsia="Arial" w:hAnsi="Arial"/>
          <w:sz w:val="18"/>
          <w:szCs w:val="18"/>
          <w:u w:val="single" w:color="auto"/>
          <w:color w:val="0000FF"/>
        </w:rPr>
      </w:pPr>
    </w:p>
    <w:p>
      <w:pPr>
        <w:jc w:val="both"/>
        <w:ind w:left="1840" w:hanging="797"/>
        <w:spacing w:after="0" w:line="216" w:lineRule="auto"/>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Interactive data files for United Community Bank, Inc.’s Quarterly Report on Form 10-Q for the quarter ended September 30, 2021, formatted in Inline XBRL: </w:t>
      </w:r>
      <w:r>
        <w:rPr>
          <w:rFonts w:ascii="Arial" w:cs="Arial" w:eastAsia="Arial" w:hAnsi="Arial"/>
          <w:sz w:val="18"/>
          <w:szCs w:val="18"/>
          <w:color w:val="212529"/>
        </w:rPr>
        <w:t>(i) the Consolidated Balance Sheets (unaudited); (ii) the Consolidated Statements of Income</w:t>
      </w:r>
      <w:r>
        <w:rPr>
          <w:rFonts w:ascii="Arial" w:cs="Arial" w:eastAsia="Arial" w:hAnsi="Arial"/>
          <w:sz w:val="18"/>
          <w:szCs w:val="18"/>
          <w:color w:val="auto"/>
        </w:rPr>
        <w:t xml:space="preserve"> </w:t>
      </w:r>
      <w:r>
        <w:rPr>
          <w:rFonts w:ascii="Arial" w:cs="Arial" w:eastAsia="Arial" w:hAnsi="Arial"/>
          <w:sz w:val="18"/>
          <w:szCs w:val="18"/>
          <w:color w:val="212529"/>
        </w:rPr>
        <w:t>(unaudited); (iii) the Consolidated Statements of Comprehensive Income (unaudited); (iv) the Consolidated Statements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2" w:lineRule="exact"/>
        <w:rPr>
          <w:rFonts w:ascii="Arial" w:cs="Arial" w:eastAsia="Arial" w:hAnsi="Arial"/>
          <w:sz w:val="18"/>
          <w:szCs w:val="18"/>
          <w:u w:val="single" w:color="auto"/>
          <w:color w:val="0000FF"/>
        </w:rPr>
      </w:pPr>
    </w:p>
    <w:p>
      <w:pPr>
        <w:ind w:left="1840" w:hanging="797"/>
        <w:spacing w:after="0" w:line="235" w:lineRule="auto"/>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September 30, 2021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93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organized pursuant to the provisions of the Georgia Business Corporation Code.</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perpetual duration.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90" w:lineRule="exact"/>
        <w:rPr>
          <w:sz w:val="20"/>
          <w:szCs w:val="20"/>
          <w:color w:val="auto"/>
        </w:rPr>
      </w:pPr>
    </w:p>
    <w:p>
      <w:pPr>
        <w:jc w:val="both"/>
        <w:ind w:left="660" w:right="740"/>
        <w:spacing w:after="0" w:line="254" w:lineRule="auto"/>
        <w:rPr>
          <w:sz w:val="20"/>
          <w:szCs w:val="20"/>
          <w:color w:val="auto"/>
        </w:rPr>
      </w:pPr>
      <w:r>
        <w:rPr>
          <w:rFonts w:ascii="Arial" w:cs="Arial" w:eastAsia="Arial" w:hAnsi="Arial"/>
          <w:sz w:val="17"/>
          <w:szCs w:val="17"/>
          <w:color w:val="231F20"/>
        </w:rPr>
        <w:t>The corporation shall have authority to issue 200,000,000 shares of common stock, $1.00 par value (the “Common Stock”), 30,000,000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144"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71" w:lineRule="exact"/>
        <w:rPr>
          <w:rFonts w:ascii="Arial" w:cs="Arial" w:eastAsia="Arial" w:hAnsi="Arial"/>
          <w:sz w:val="18"/>
          <w:szCs w:val="18"/>
          <w:color w:val="auto"/>
        </w:rPr>
      </w:pPr>
    </w:p>
    <w:p>
      <w:pPr>
        <w:ind w:left="420" w:hanging="412"/>
        <w:spacing w:after="0" w:line="261" w:lineRule="auto"/>
        <w:tabs>
          <w:tab w:leader="none" w:pos="4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payments of dividends on shares of that series;</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62" w:name="page63"/>
    <w:bookmarkEnd w:id="62"/>
    <w:p>
      <w:pPr>
        <w:spacing w:after="0" w:line="157" w:lineRule="exact"/>
        <w:rPr>
          <w:sz w:val="20"/>
          <w:szCs w:val="20"/>
          <w:color w:val="auto"/>
        </w:rPr>
      </w:pPr>
    </w:p>
    <w:p>
      <w:pPr>
        <w:ind w:left="420" w:hanging="412"/>
        <w:spacing w:after="0" w:line="261" w:lineRule="auto"/>
        <w:tabs>
          <w:tab w:leader="none" w:pos="4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143" w:lineRule="exact"/>
        <w:rPr>
          <w:rFonts w:ascii="Arial" w:cs="Arial" w:eastAsia="Arial" w:hAnsi="Arial"/>
          <w:sz w:val="18"/>
          <w:szCs w:val="18"/>
          <w:color w:val="auto"/>
        </w:rPr>
      </w:pPr>
    </w:p>
    <w:p>
      <w:pPr>
        <w:ind w:left="420" w:right="20" w:hanging="412"/>
        <w:spacing w:after="0" w:line="324" w:lineRule="auto"/>
        <w:tabs>
          <w:tab w:leader="none" w:pos="4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pacing w:after="0" w:line="83" w:lineRule="exact"/>
        <w:rPr>
          <w:rFonts w:ascii="Arial" w:cs="Arial" w:eastAsia="Arial" w:hAnsi="Arial"/>
          <w:sz w:val="16"/>
          <w:szCs w:val="16"/>
          <w:color w:val="auto"/>
        </w:rPr>
      </w:pPr>
    </w:p>
    <w:p>
      <w:pPr>
        <w:ind w:left="420" w:hanging="412"/>
        <w:spacing w:after="0" w:line="261" w:lineRule="auto"/>
        <w:tabs>
          <w:tab w:leader="none" w:pos="4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purchase of shares of that series, and, if so, the terms and amount of such sinking fund;</w:t>
      </w:r>
    </w:p>
    <w:p>
      <w:pPr>
        <w:spacing w:after="0" w:line="130" w:lineRule="exact"/>
        <w:rPr>
          <w:rFonts w:ascii="Arial" w:cs="Arial" w:eastAsia="Arial" w:hAnsi="Arial"/>
          <w:sz w:val="18"/>
          <w:szCs w:val="18"/>
          <w:color w:val="auto"/>
        </w:rPr>
      </w:pPr>
    </w:p>
    <w:p>
      <w:pPr>
        <w:ind w:left="420" w:hanging="412"/>
        <w:spacing w:after="0" w:line="261" w:lineRule="auto"/>
        <w:tabs>
          <w:tab w:leader="none" w:pos="5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143" w:lineRule="exact"/>
        <w:rPr>
          <w:rFonts w:ascii="Arial" w:cs="Arial" w:eastAsia="Arial" w:hAnsi="Arial"/>
          <w:sz w:val="18"/>
          <w:szCs w:val="18"/>
          <w:color w:val="auto"/>
        </w:rPr>
      </w:pPr>
    </w:p>
    <w:p>
      <w:pPr>
        <w:ind w:left="420" w:hanging="412"/>
        <w:spacing w:after="0" w:line="261" w:lineRule="auto"/>
        <w:tabs>
          <w:tab w:leader="none" w:pos="5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not commence business until it shall have received at least $500.00 in payment for the issuance of shares of its stock.</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VIII.</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Except as otherwise provided by law, any amendment or repeal of any provision of the Articles of Incorporation or Article II (Stockholders’ Meetings) or</w:t>
      </w:r>
    </w:p>
    <w:p>
      <w:pPr>
        <w:spacing w:after="0" w:line="35" w:lineRule="exact"/>
        <w:rPr>
          <w:sz w:val="20"/>
          <w:szCs w:val="20"/>
          <w:color w:val="auto"/>
        </w:rPr>
      </w:pPr>
    </w:p>
    <w:p>
      <w:pPr>
        <w:ind w:firstLine="8"/>
        <w:spacing w:after="0" w:line="243" w:lineRule="auto"/>
        <w:tabs>
          <w:tab w:leader="none" w:pos="2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(Board of Directors) of the Bylaws of the corporation requires the affirmative vote of holders of a majority of the shares of capital stock of the corporation then issued and outstanding and entitled to vote on such matters.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w:t>
      </w:r>
    </w:p>
    <w:p>
      <w:pPr>
        <w:spacing w:after="0" w:line="171" w:lineRule="exact"/>
        <w:rPr>
          <w:sz w:val="20"/>
          <w:szCs w:val="20"/>
          <w:color w:val="auto"/>
        </w:rPr>
      </w:pPr>
    </w:p>
    <w:p>
      <w:pPr>
        <w:ind w:left="500" w:hanging="492"/>
        <w:spacing w:after="0" w:line="257" w:lineRule="auto"/>
        <w:tabs>
          <w:tab w:leader="none" w:pos="3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The term “Business Combination” as used in this Article XII shall mean:</w:t>
      </w:r>
    </w:p>
    <w:p>
      <w:pPr>
        <w:spacing w:after="0" w:line="171" w:lineRule="exact"/>
        <w:rPr>
          <w:sz w:val="20"/>
          <w:szCs w:val="20"/>
          <w:color w:val="auto"/>
        </w:rPr>
      </w:pPr>
    </w:p>
    <w:p>
      <w:pPr>
        <w:jc w:val="both"/>
        <w:ind w:left="820" w:hanging="326"/>
        <w:spacing w:after="0" w:line="248" w:lineRule="auto"/>
        <w:tabs>
          <w:tab w:leader="none" w:pos="9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hereafter defined) with (a) any Interested Shareholder (as hereinafter defined) or (b) any other corporation (whether or not itself an Interested Shareholder) which is, or after such merger or consolidation would be, an Affiliate (as hereinafter defined) of an Interested Shareholder; or</w:t>
      </w:r>
    </w:p>
    <w:p>
      <w:pPr>
        <w:spacing w:after="0" w:line="60" w:lineRule="exact"/>
        <w:rPr>
          <w:rFonts w:ascii="Arial" w:cs="Arial" w:eastAsia="Arial" w:hAnsi="Arial"/>
          <w:sz w:val="18"/>
          <w:szCs w:val="18"/>
          <w:color w:val="auto"/>
        </w:rPr>
      </w:pPr>
    </w:p>
    <w:p>
      <w:pPr>
        <w:jc w:val="both"/>
        <w:ind w:left="820" w:hanging="326"/>
        <w:spacing w:after="0" w:line="248" w:lineRule="auto"/>
        <w:tabs>
          <w:tab w:leader="none" w:pos="10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141" w:lineRule="exact"/>
        <w:rPr>
          <w:rFonts w:ascii="Arial" w:cs="Arial" w:eastAsia="Arial" w:hAnsi="Arial"/>
          <w:sz w:val="18"/>
          <w:szCs w:val="18"/>
          <w:color w:val="auto"/>
        </w:rPr>
      </w:pPr>
    </w:p>
    <w:p>
      <w:pPr>
        <w:jc w:val="both"/>
        <w:ind w:left="820" w:hanging="326"/>
        <w:spacing w:after="0" w:line="248" w:lineRule="auto"/>
        <w:tabs>
          <w:tab w:leader="none" w:pos="8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141" w:lineRule="exact"/>
        <w:rPr>
          <w:rFonts w:ascii="Arial" w:cs="Arial" w:eastAsia="Arial" w:hAnsi="Arial"/>
          <w:sz w:val="18"/>
          <w:szCs w:val="18"/>
          <w:color w:val="auto"/>
        </w:rPr>
      </w:pPr>
    </w:p>
    <w:p>
      <w:pPr>
        <w:ind w:left="820" w:hanging="326"/>
        <w:spacing w:after="0" w:line="261" w:lineRule="auto"/>
        <w:tabs>
          <w:tab w:leader="none" w:pos="8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143" w:lineRule="exact"/>
        <w:rPr>
          <w:rFonts w:ascii="Arial" w:cs="Arial" w:eastAsia="Arial" w:hAnsi="Arial"/>
          <w:sz w:val="18"/>
          <w:szCs w:val="18"/>
          <w:color w:val="auto"/>
        </w:rPr>
      </w:pPr>
    </w:p>
    <w:p>
      <w:pPr>
        <w:jc w:val="both"/>
        <w:ind w:left="820" w:hanging="326"/>
        <w:spacing w:after="0" w:line="241" w:lineRule="auto"/>
        <w:tabs>
          <w:tab w:leader="none" w:pos="9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148"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Article XII:</w:t>
      </w:r>
    </w:p>
    <w:p>
      <w:pPr>
        <w:spacing w:after="0" w:line="171" w:lineRule="exact"/>
        <w:rPr>
          <w:sz w:val="20"/>
          <w:szCs w:val="20"/>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184" w:lineRule="exact"/>
        <w:rPr>
          <w:rFonts w:ascii="Arial" w:cs="Arial" w:eastAsia="Arial" w:hAnsi="Arial"/>
          <w:sz w:val="18"/>
          <w:szCs w:val="18"/>
          <w:color w:val="auto"/>
        </w:rPr>
      </w:pPr>
    </w:p>
    <w:p>
      <w:pPr>
        <w:ind w:left="500" w:hanging="6"/>
        <w:spacing w:after="0" w:line="261" w:lineRule="auto"/>
        <w:tabs>
          <w:tab w:leader="none" w:pos="7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“Interested Shareholder” shall mean any person (other than the corporation, any Subsidiary or either the corporation or any Subsidiary acting as Trustee or in a similar fiduciary capacity) who or which:</w:t>
      </w:r>
    </w:p>
    <w:p>
      <w:pPr>
        <w:spacing w:after="0" w:line="130" w:lineRule="exact"/>
        <w:rPr>
          <w:sz w:val="20"/>
          <w:szCs w:val="20"/>
          <w:color w:val="auto"/>
        </w:rPr>
      </w:pPr>
    </w:p>
    <w:p>
      <w:pPr>
        <w:ind w:left="880" w:hanging="38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the beneficial owner of more than 10% of the outstanding Common Stock; or</w:t>
      </w:r>
    </w:p>
    <w:p>
      <w:pPr>
        <w:spacing w:after="0" w:line="171" w:lineRule="exact"/>
        <w:rPr>
          <w:rFonts w:ascii="Arial" w:cs="Arial" w:eastAsia="Arial" w:hAnsi="Arial"/>
          <w:sz w:val="18"/>
          <w:szCs w:val="18"/>
          <w:color w:val="auto"/>
        </w:rPr>
      </w:pPr>
    </w:p>
    <w:p>
      <w:pPr>
        <w:ind w:left="820" w:right="20" w:hanging="326"/>
        <w:spacing w:after="0" w:line="261" w:lineRule="auto"/>
        <w:tabs>
          <w:tab w:leader="none" w:pos="9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then outstanding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jc w:val="both"/>
        <w:ind w:left="326" w:hanging="326"/>
        <w:spacing w:after="0" w:line="248" w:lineRule="auto"/>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acquired any shares of Common Stock which were at any time within the two-year period immediately prior to the date in question beneficially owned by any Interested Shareholder, if such acquisition shall have occurred in the course of a transaction or series of transactions not involving a public offering within the meaning of the Securities Act of 1993.</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8"/>
          <w:szCs w:val="18"/>
          <w:color w:val="auto"/>
        </w:rPr>
        <w:t>(C) A person shall be a “beneficial owner” of any Common Stock:</w:t>
      </w:r>
    </w:p>
    <w:p>
      <w:pPr>
        <w:spacing w:after="0" w:line="171" w:lineRule="exact"/>
        <w:rPr>
          <w:sz w:val="20"/>
          <w:szCs w:val="20"/>
          <w:color w:val="auto"/>
        </w:rPr>
      </w:pPr>
    </w:p>
    <w:p>
      <w:pPr>
        <w:ind w:left="386" w:hanging="386"/>
        <w:spacing w:after="0"/>
        <w:tabs>
          <w:tab w:leader="none" w:pos="3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w:t>
      </w:r>
    </w:p>
    <w:p>
      <w:pPr>
        <w:spacing w:after="0" w:line="171" w:lineRule="exact"/>
        <w:rPr>
          <w:rFonts w:ascii="Arial" w:cs="Arial" w:eastAsia="Arial" w:hAnsi="Arial"/>
          <w:sz w:val="18"/>
          <w:szCs w:val="18"/>
          <w:color w:val="auto"/>
        </w:rPr>
      </w:pPr>
    </w:p>
    <w:p>
      <w:pPr>
        <w:jc w:val="both"/>
        <w:ind w:left="326" w:hanging="326"/>
        <w:spacing w:after="0" w:line="294" w:lineRule="auto"/>
        <w:tabs>
          <w:tab w:leader="none" w:pos="5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20" w:lineRule="exact"/>
        <w:rPr>
          <w:rFonts w:ascii="Arial" w:cs="Arial" w:eastAsia="Arial" w:hAnsi="Arial"/>
          <w:sz w:val="16"/>
          <w:szCs w:val="16"/>
          <w:color w:val="auto"/>
        </w:rPr>
      </w:pPr>
    </w:p>
    <w:p>
      <w:pPr>
        <w:ind w:left="326" w:right="20" w:hanging="326"/>
        <w:spacing w:after="0" w:line="291" w:lineRule="auto"/>
        <w:tabs>
          <w:tab w:leader="none" w:pos="5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106" w:lineRule="exact"/>
        <w:rPr>
          <w:sz w:val="20"/>
          <w:szCs w:val="20"/>
          <w:color w:val="auto"/>
        </w:rPr>
      </w:pPr>
    </w:p>
    <w:p>
      <w:pPr>
        <w:jc w:val="both"/>
        <w:ind w:left="6" w:hanging="6"/>
        <w:spacing w:after="0" w:line="243" w:lineRule="auto"/>
        <w:tabs>
          <w:tab w:leader="none" w:pos="3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147" w:lineRule="exact"/>
        <w:rPr>
          <w:rFonts w:ascii="Arial" w:cs="Arial" w:eastAsia="Arial" w:hAnsi="Arial"/>
          <w:sz w:val="18"/>
          <w:szCs w:val="18"/>
          <w:color w:val="auto"/>
        </w:rPr>
      </w:pPr>
    </w:p>
    <w:p>
      <w:pPr>
        <w:ind w:left="6" w:hanging="6"/>
        <w:spacing w:after="0" w:line="261" w:lineRule="auto"/>
        <w:tabs>
          <w:tab w:leader="none" w:pos="2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An “Affiliate” of a specified person is a person that directly, through one or more intermediaries, controls, or is controlled by, or is under common control with, the person specified.</w:t>
      </w:r>
    </w:p>
    <w:p>
      <w:pPr>
        <w:spacing w:after="0" w:line="144" w:lineRule="exact"/>
        <w:rPr>
          <w:sz w:val="20"/>
          <w:szCs w:val="20"/>
          <w:color w:val="auto"/>
        </w:rPr>
      </w:pPr>
    </w:p>
    <w:p>
      <w:pPr>
        <w:jc w:val="both"/>
        <w:ind w:left="326" w:hanging="326"/>
        <w:spacing w:after="0" w:line="241" w:lineRule="auto"/>
        <w:tabs>
          <w:tab w:leader="none" w:pos="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 (2)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149" w:lineRule="exact"/>
        <w:rPr>
          <w:sz w:val="20"/>
          <w:szCs w:val="20"/>
          <w:color w:val="auto"/>
        </w:rPr>
      </w:pPr>
    </w:p>
    <w:p>
      <w:pPr>
        <w:ind w:left="6" w:right="20" w:hanging="6"/>
        <w:spacing w:after="0" w:line="261" w:lineRule="auto"/>
        <w:tabs>
          <w:tab w:leader="none" w:pos="2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“Subsidiary” means any corporation of which a majority of any class of equity securities is owned, directly or indirectly, by the corporation unless owned solely as trustee or other similar fiduciary capacity.</w:t>
      </w:r>
    </w:p>
    <w:p>
      <w:pPr>
        <w:spacing w:after="0" w:line="130" w:lineRule="exact"/>
        <w:rPr>
          <w:rFonts w:ascii="Arial" w:cs="Arial" w:eastAsia="Arial" w:hAnsi="Arial"/>
          <w:sz w:val="18"/>
          <w:szCs w:val="18"/>
          <w:color w:val="auto"/>
        </w:rPr>
      </w:pPr>
    </w:p>
    <w:p>
      <w:pPr>
        <w:ind w:left="286" w:hanging="286"/>
        <w:spacing w:after="0"/>
        <w:tabs>
          <w:tab w:leader="none" w:pos="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“Fair Market value” means:</w:t>
      </w:r>
    </w:p>
    <w:p>
      <w:pPr>
        <w:spacing w:after="0" w:line="185" w:lineRule="exact"/>
        <w:rPr>
          <w:sz w:val="20"/>
          <w:szCs w:val="20"/>
          <w:color w:val="auto"/>
        </w:rPr>
      </w:pPr>
    </w:p>
    <w:p>
      <w:pPr>
        <w:jc w:val="both"/>
        <w:ind w:left="326" w:hanging="326"/>
        <w:spacing w:after="0" w:line="239"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150" w:lineRule="exact"/>
        <w:rPr>
          <w:rFonts w:ascii="Arial" w:cs="Arial" w:eastAsia="Arial" w:hAnsi="Arial"/>
          <w:sz w:val="18"/>
          <w:szCs w:val="18"/>
          <w:color w:val="auto"/>
        </w:rPr>
      </w:pPr>
    </w:p>
    <w:p>
      <w:pPr>
        <w:ind w:left="326" w:hanging="326"/>
        <w:spacing w:after="0" w:line="261" w:lineRule="auto"/>
        <w:tabs>
          <w:tab w:leader="none" w:pos="2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property other than cash or stock, the fair market value of such property on the date in question as determined by the Board in good faith.</w:t>
      </w:r>
    </w:p>
    <w:p>
      <w:pPr>
        <w:spacing w:after="0" w:line="130" w:lineRule="exact"/>
        <w:rPr>
          <w:sz w:val="20"/>
          <w:szCs w:val="20"/>
          <w:color w:val="auto"/>
        </w:rPr>
      </w:pPr>
    </w:p>
    <w:p>
      <w:pPr>
        <w:ind w:left="286" w:hanging="286"/>
        <w:spacing w:after="0"/>
        <w:tabs>
          <w:tab w:leader="none" w:pos="2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“acquire” or “acquired” means the acquisition of beneficial ownership.</w:t>
      </w:r>
    </w:p>
    <w:p>
      <w:pPr>
        <w:spacing w:after="0" w:line="184" w:lineRule="exact"/>
        <w:rPr>
          <w:rFonts w:ascii="Arial" w:cs="Arial" w:eastAsia="Arial" w:hAnsi="Arial"/>
          <w:sz w:val="18"/>
          <w:szCs w:val="18"/>
          <w:color w:val="auto"/>
        </w:rPr>
      </w:pPr>
    </w:p>
    <w:p>
      <w:pPr>
        <w:ind w:left="6" w:hanging="6"/>
        <w:spacing w:after="0" w:line="261" w:lineRule="auto"/>
        <w:tabs>
          <w:tab w:leader="none" w:pos="2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of Directors of the corporation shall have the power and duty to determine for the purposes of this Article XII, on the basis of information known to them after reasonable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6"/>
          </w:cols>
          <w:pgMar w:left="814" w:top="1440" w:right="339" w:bottom="1440" w:gutter="0" w:footer="0" w:header="0"/>
        </w:sectPr>
      </w:pPr>
    </w:p>
    <w:bookmarkStart w:id="65" w:name="page66"/>
    <w:bookmarkEnd w:id="65"/>
    <w:p>
      <w:pPr>
        <w:spacing w:after="0" w:line="157" w:lineRule="exact"/>
        <w:rPr>
          <w:sz w:val="20"/>
          <w:szCs w:val="20"/>
          <w:color w:val="auto"/>
        </w:rPr>
      </w:pPr>
    </w:p>
    <w:p>
      <w:pPr>
        <w:ind w:left="880" w:hanging="386"/>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 person is an Interested Shareholder,</w:t>
      </w:r>
    </w:p>
    <w:p>
      <w:pPr>
        <w:spacing w:after="0" w:line="184" w:lineRule="exact"/>
        <w:rPr>
          <w:rFonts w:ascii="Arial" w:cs="Arial" w:eastAsia="Arial" w:hAnsi="Arial"/>
          <w:sz w:val="18"/>
          <w:szCs w:val="18"/>
          <w:color w:val="auto"/>
        </w:rPr>
      </w:pPr>
    </w:p>
    <w:p>
      <w:pPr>
        <w:ind w:left="940" w:hanging="446"/>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any person,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 person is an Affiliate or Associate or another, and</w:t>
      </w:r>
    </w:p>
    <w:p>
      <w:pPr>
        <w:spacing w:after="0" w:line="171" w:lineRule="exact"/>
        <w:rPr>
          <w:rFonts w:ascii="Arial" w:cs="Arial" w:eastAsia="Arial" w:hAnsi="Arial"/>
          <w:sz w:val="18"/>
          <w:szCs w:val="18"/>
          <w:color w:val="auto"/>
        </w:rPr>
      </w:pPr>
    </w:p>
    <w:p>
      <w:pPr>
        <w:ind w:left="820" w:hanging="326"/>
        <w:spacing w:after="0" w:line="324" w:lineRule="auto"/>
        <w:tabs>
          <w:tab w:leader="none" w:pos="9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97" w:lineRule="exact"/>
        <w:rPr>
          <w:sz w:val="20"/>
          <w:szCs w:val="20"/>
          <w:color w:val="auto"/>
        </w:rPr>
      </w:pPr>
    </w:p>
    <w:p>
      <w:pPr>
        <w:ind w:left="500" w:right="20" w:hanging="6"/>
        <w:spacing w:after="0" w:line="261" w:lineRule="auto"/>
        <w:tabs>
          <w:tab w:leader="none" w:pos="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Nothing contained in this Article XII shall be construed to relieve any Interested Shareholder or any of its Affiliates or Associates from any fiduciary obligation imposed by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director of the corporation may be removed only for cause and upon the affirmative vote of the holders of two-thirds of the issued and outstanding shares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Exhibit A to Restated Articles of Incorporation</w:t>
      </w:r>
    </w:p>
    <w:p>
      <w:pPr>
        <w:jc w:val="center"/>
        <w:spacing w:after="0" w:line="238" w:lineRule="auto"/>
        <w:rPr>
          <w:sz w:val="20"/>
          <w:szCs w:val="20"/>
          <w:color w:val="auto"/>
        </w:rPr>
      </w:pPr>
      <w:r>
        <w:rPr>
          <w:rFonts w:ascii="Arial" w:cs="Arial" w:eastAsia="Arial" w:hAnsi="Arial"/>
          <w:sz w:val="22"/>
          <w:szCs w:val="22"/>
          <w:color w:val="auto"/>
        </w:rPr>
        <w:t>Of</w:t>
      </w:r>
    </w:p>
    <w:p>
      <w:pPr>
        <w:jc w:val="center"/>
        <w:spacing w:after="0"/>
        <w:rPr>
          <w:sz w:val="20"/>
          <w:szCs w:val="20"/>
          <w:color w:val="auto"/>
        </w:rPr>
      </w:pPr>
      <w:r>
        <w:rPr>
          <w:rFonts w:ascii="Arial" w:cs="Arial" w:eastAsia="Arial" w:hAnsi="Arial"/>
          <w:sz w:val="22"/>
          <w:szCs w:val="22"/>
          <w:color w:val="auto"/>
        </w:rPr>
        <w:t>United Community Banks, Inc, as amended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line="234" w:lineRule="auto"/>
        <w:rPr>
          <w:sz w:val="20"/>
          <w:szCs w:val="20"/>
          <w:color w:val="auto"/>
        </w:rPr>
      </w:pPr>
      <w:r>
        <w:rPr>
          <w:rFonts w:ascii="Arial" w:cs="Arial" w:eastAsia="Arial" w:hAnsi="Arial"/>
          <w:sz w:val="18"/>
          <w:szCs w:val="18"/>
          <w:b w:val="1"/>
          <w:bCs w:val="1"/>
          <w:color w:val="auto"/>
        </w:rPr>
        <w:t>NON-VOTING COMMON STOCK</w:t>
      </w:r>
    </w:p>
    <w:p>
      <w:pPr>
        <w:jc w:val="center"/>
        <w:spacing w:after="0" w:line="235" w:lineRule="auto"/>
        <w:rPr>
          <w:sz w:val="20"/>
          <w:szCs w:val="20"/>
          <w:color w:val="auto"/>
        </w:rPr>
      </w:pPr>
      <w:r>
        <w:rPr>
          <w:rFonts w:ascii="Arial" w:cs="Arial" w:eastAsia="Arial" w:hAnsi="Arial"/>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23" w:lineRule="exact"/>
        <w:rPr>
          <w:sz w:val="20"/>
          <w:szCs w:val="20"/>
          <w:color w:val="auto"/>
        </w:rPr>
      </w:pPr>
    </w:p>
    <w:p>
      <w:pPr>
        <w:ind w:right="20" w:firstLine="656"/>
        <w:spacing w:after="0" w:line="261" w:lineRule="auto"/>
        <w:tabs>
          <w:tab w:leader="none" w:pos="1066"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Designation. </w:t>
      </w:r>
      <w:r>
        <w:rPr>
          <w:rFonts w:ascii="Arial" w:cs="Arial" w:eastAsia="Arial" w:hAnsi="Arial"/>
          <w:sz w:val="18"/>
          <w:szCs w:val="18"/>
          <w:color w:val="auto"/>
        </w:rPr>
        <w:t>The shares of such class of non-voting common stock, $1.00 par value,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designated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(referred to herein as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656"/>
        <w:spacing w:after="0" w:line="261" w:lineRule="auto"/>
        <w:tabs>
          <w:tab w:leader="none" w:pos="1066"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Authorized Number. </w:t>
      </w:r>
      <w:r>
        <w:rPr>
          <w:rFonts w:ascii="Arial" w:cs="Arial" w:eastAsia="Arial" w:hAnsi="Arial"/>
          <w:sz w:val="18"/>
          <w:szCs w:val="18"/>
          <w:color w:val="auto"/>
        </w:rPr>
        <w:t>The number of shares constituting the Non-Voting Common Stock shall be as set forth in the first paragraph of Article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 of the Restated Articles of Incorporation, as amended.</w:t>
      </w:r>
    </w:p>
    <w:p>
      <w:pPr>
        <w:spacing w:after="0" w:line="193" w:lineRule="exact"/>
        <w:rPr>
          <w:rFonts w:ascii="Arial" w:cs="Arial" w:eastAsia="Arial" w:hAnsi="Arial"/>
          <w:sz w:val="18"/>
          <w:szCs w:val="18"/>
          <w:color w:val="auto"/>
        </w:rPr>
      </w:pPr>
    </w:p>
    <w:p>
      <w:pPr>
        <w:jc w:val="both"/>
        <w:ind w:firstLine="656"/>
        <w:spacing w:after="0" w:line="272" w:lineRule="auto"/>
        <w:tabs>
          <w:tab w:leader="none" w:pos="1053"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set forth below, the Non-Voting Common Stock shall have the same rights and privileges, share ratably and be identical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89" w:lineRule="exact"/>
        <w:rPr>
          <w:rFonts w:ascii="Arial" w:cs="Arial" w:eastAsia="Arial" w:hAnsi="Arial"/>
          <w:sz w:val="17"/>
          <w:szCs w:val="17"/>
          <w:color w:val="auto"/>
        </w:rPr>
      </w:pPr>
    </w:p>
    <w:p>
      <w:pPr>
        <w:jc w:val="both"/>
        <w:ind w:firstLine="656"/>
        <w:spacing w:after="0" w:line="241" w:lineRule="auto"/>
        <w:tabs>
          <w:tab w:leader="none" w:pos="120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The holders of Non-Voting Common Stock shall have no voting rights except as provided herein or required by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216" w:lineRule="exact"/>
        <w:rPr>
          <w:rFonts w:ascii="Arial" w:cs="Arial" w:eastAsia="Arial" w:hAnsi="Arial"/>
          <w:sz w:val="18"/>
          <w:szCs w:val="18"/>
          <w:color w:val="auto"/>
        </w:rPr>
      </w:pPr>
    </w:p>
    <w:p>
      <w:pPr>
        <w:jc w:val="both"/>
        <w:ind w:firstLine="656"/>
        <w:spacing w:after="0" w:line="252" w:lineRule="auto"/>
        <w:tabs>
          <w:tab w:leader="none" w:pos="120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Subject to preferential dividend rights, if any, applicable to any shares of the Preferred Stock, the holders of Non-Voting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Common 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highlight w:val="white"/>
        </w:rPr>
        <w:t>,</w:t>
      </w:r>
      <w:r>
        <w:rPr>
          <w:rFonts w:ascii="Arial" w:cs="Arial" w:eastAsia="Arial" w:hAnsi="Arial"/>
          <w:sz w:val="17"/>
          <w:szCs w:val="17"/>
          <w:color w:val="auto"/>
        </w:rPr>
        <w:t xml:space="preserve"> </w:t>
      </w:r>
      <w:r>
        <w:rPr>
          <w:rFonts w:ascii="Arial" w:cs="Arial" w:eastAsia="Arial" w:hAnsi="Arial"/>
          <w:sz w:val="17"/>
          <w:szCs w:val="17"/>
          <w:u w:val="single" w:color="auto"/>
          <w:color w:val="auto"/>
          <w:highlight w:val="white"/>
        </w:rPr>
        <w:t>however</w:t>
      </w:r>
      <w:r>
        <w:rPr>
          <w:rFonts w:ascii="Arial" w:cs="Arial" w:eastAsia="Arial" w:hAnsi="Arial"/>
          <w:sz w:val="17"/>
          <w:szCs w:val="17"/>
          <w:color w:val="auto"/>
          <w:highlight w:val="white"/>
        </w:rPr>
        <w:t>, that no dividend payable in Common Stock or rights or warrants to subscribe for Common Stock shall be declared on the Non-</w:t>
      </w:r>
      <w:r>
        <w:rPr>
          <w:rFonts w:ascii="Arial" w:cs="Arial" w:eastAsia="Arial" w:hAnsi="Arial"/>
          <w:sz w:val="17"/>
          <w:szCs w:val="17"/>
          <w:color w:val="auto"/>
        </w:rPr>
        <w:t>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212" w:lineRule="exact"/>
        <w:rPr>
          <w:rFonts w:ascii="Arial" w:cs="Arial" w:eastAsia="Arial" w:hAnsi="Arial"/>
          <w:sz w:val="17"/>
          <w:szCs w:val="17"/>
          <w:color w:val="auto"/>
        </w:rPr>
      </w:pPr>
    </w:p>
    <w:p>
      <w:pPr>
        <w:jc w:val="both"/>
        <w:ind w:firstLine="656"/>
        <w:spacing w:after="0" w:line="262" w:lineRule="auto"/>
        <w:tabs>
          <w:tab w:leader="none" w:pos="1093"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Distributions. </w:t>
      </w:r>
      <w:r>
        <w:rPr>
          <w:rFonts w:ascii="Arial" w:cs="Arial" w:eastAsia="Arial" w:hAnsi="Arial"/>
          <w:sz w:val="17"/>
          <w:szCs w:val="17"/>
          <w:color w:val="auto"/>
        </w:rPr>
        <w:t>In the event of the voluntary or involuntary liquidation, dissolution, distribution of assets or winding up of the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199" w:lineRule="exact"/>
        <w:rPr>
          <w:rFonts w:ascii="Arial" w:cs="Arial" w:eastAsia="Arial" w:hAnsi="Arial"/>
          <w:sz w:val="17"/>
          <w:szCs w:val="17"/>
          <w:color w:val="auto"/>
        </w:rPr>
      </w:pPr>
    </w:p>
    <w:p>
      <w:pPr>
        <w:jc w:val="both"/>
        <w:ind w:firstLine="656"/>
        <w:spacing w:after="0" w:line="248" w:lineRule="auto"/>
        <w:tabs>
          <w:tab w:leader="none" w:pos="117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w:t>
      </w:r>
      <w:r>
        <w:rPr>
          <w:rFonts w:ascii="Arial" w:cs="Arial" w:eastAsia="Arial" w:hAnsi="Arial"/>
          <w:sz w:val="18"/>
          <w:szCs w:val="18"/>
          <w:color w:val="auto"/>
        </w:rPr>
        <w:t>In the event of any stock split, combination or other reclassification of shares of either the Common Stock or the Non-Voting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outstanding shares of the other class shall be proportionately split, combined or reclassified in a similar manner, provided, however, that in any such transaction,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21"/>
          <w:szCs w:val="21"/>
          <w:color w:val="auto"/>
        </w:rPr>
        <w:t>-</w:t>
      </w:r>
      <w:r>
        <w:rPr>
          <w:rFonts w:ascii="Arial" w:cs="Arial" w:eastAsia="Arial" w:hAnsi="Arial"/>
          <w:sz w:val="18"/>
          <w:szCs w:val="18"/>
          <w:color w:val="auto"/>
        </w:rPr>
        <w:t>1</w:t>
      </w:r>
    </w:p>
    <w:p>
      <w:pPr>
        <w:sectPr>
          <w:pgSz w:w="11900" w:h="16838" w:orient="portrait"/>
          <w:cols w:equalWidth="0" w:num="1">
            <w:col w:w="11240"/>
          </w:cols>
          <w:pgMar w:left="320" w:top="1414" w:right="339" w:bottom="1440" w:gutter="0" w:footer="0" w:header="0"/>
        </w:sectPr>
      </w:pPr>
    </w:p>
    <w:bookmarkStart w:id="67" w:name="page68"/>
    <w:bookmarkEnd w:id="67"/>
    <w:p>
      <w:pPr>
        <w:ind w:right="20"/>
        <w:spacing w:after="0" w:line="261" w:lineRule="auto"/>
        <w:rPr>
          <w:sz w:val="20"/>
          <w:szCs w:val="20"/>
          <w:color w:val="auto"/>
        </w:rPr>
      </w:pPr>
      <w:r>
        <w:rPr>
          <w:rFonts w:ascii="Arial" w:cs="Arial" w:eastAsia="Arial" w:hAnsi="Arial"/>
          <w:sz w:val="18"/>
          <w:szCs w:val="18"/>
          <w:color w:val="auto"/>
        </w:rPr>
        <w:t>only holders of Common Stock shall receive shares of Common Stock and only holders of Non-Voting Common Stock shall receive shares of Non-Voting Common Stock.</w:t>
      </w:r>
    </w:p>
    <w:p>
      <w:pPr>
        <w:spacing w:after="0" w:line="198" w:lineRule="exact"/>
        <w:rPr>
          <w:sz w:val="20"/>
          <w:szCs w:val="20"/>
          <w:color w:val="auto"/>
        </w:rPr>
      </w:pPr>
    </w:p>
    <w:p>
      <w:pPr>
        <w:ind w:left="1160" w:hanging="504"/>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239" w:lineRule="exact"/>
        <w:rPr>
          <w:sz w:val="20"/>
          <w:szCs w:val="20"/>
          <w:color w:val="auto"/>
        </w:rPr>
      </w:pPr>
    </w:p>
    <w:p>
      <w:pPr>
        <w:jc w:val="both"/>
        <w:ind w:firstLine="656"/>
        <w:spacing w:after="0" w:line="251" w:lineRule="auto"/>
        <w:tabs>
          <w:tab w:leader="none" w:pos="145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Non-Voting Common Stock may be converted into Common Stock in accordance with the provisions of this paragraph 8 by any Convertible Holder following an Approved Transfer (as defined herein). The term “</w:t>
      </w:r>
      <w:r>
        <w:rPr>
          <w:rFonts w:ascii="Arial" w:cs="Arial" w:eastAsia="Arial" w:hAnsi="Arial"/>
          <w:sz w:val="17"/>
          <w:szCs w:val="17"/>
          <w:u w:val="single" w:color="auto"/>
          <w:color w:val="auto"/>
        </w:rPr>
        <w:t>Approved Transfer</w:t>
      </w:r>
      <w:r>
        <w:rPr>
          <w:rFonts w:ascii="Arial" w:cs="Arial" w:eastAsia="Arial" w:hAnsi="Arial"/>
          <w:sz w:val="17"/>
          <w:szCs w:val="17"/>
          <w:color w:val="auto"/>
        </w:rPr>
        <w:t>”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w:t>
      </w:r>
      <w:r>
        <w:rPr>
          <w:rFonts w:ascii="Arial" w:cs="Arial" w:eastAsia="Arial" w:hAnsi="Arial"/>
          <w:sz w:val="17"/>
          <w:szCs w:val="17"/>
          <w:u w:val="single" w:color="auto"/>
          <w:color w:val="auto"/>
        </w:rPr>
        <w:t>Investment Agreement</w:t>
      </w:r>
      <w:r>
        <w:rPr>
          <w:rFonts w:ascii="Arial" w:cs="Arial" w:eastAsia="Arial" w:hAnsi="Arial"/>
          <w:sz w:val="17"/>
          <w:szCs w:val="17"/>
          <w:color w:val="auto"/>
          <w:highlight w:val="white"/>
        </w:rPr>
        <w:t>”); (ii) in a widely distributed public offering registered pursuant to the Securities Act of 1933, as amended; (iii) to a</w:t>
      </w:r>
      <w:r>
        <w:rPr>
          <w:rFonts w:ascii="Arial" w:cs="Arial" w:eastAsia="Arial" w:hAnsi="Arial"/>
          <w:sz w:val="17"/>
          <w:szCs w:val="17"/>
          <w:color w:val="auto"/>
        </w:rPr>
        <w:t xml:space="preserve">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w:t>
      </w:r>
      <w:r>
        <w:rPr>
          <w:rFonts w:ascii="Arial" w:cs="Arial" w:eastAsia="Arial" w:hAnsi="Arial"/>
          <w:sz w:val="17"/>
          <w:szCs w:val="17"/>
          <w:u w:val="single" w:color="auto"/>
          <w:color w:val="auto"/>
        </w:rPr>
        <w:t>Affiliate</w:t>
      </w:r>
      <w:r>
        <w:rPr>
          <w:rFonts w:ascii="Arial" w:cs="Arial" w:eastAsia="Arial" w:hAnsi="Arial"/>
          <w:sz w:val="17"/>
          <w:szCs w:val="17"/>
          <w:color w:val="auto"/>
          <w:highlight w:val="white"/>
        </w:rPr>
        <w:t>” means, with respect to any person, any person</w:t>
      </w:r>
      <w:r>
        <w:rPr>
          <w:rFonts w:ascii="Arial" w:cs="Arial" w:eastAsia="Arial" w:hAnsi="Arial"/>
          <w:sz w:val="17"/>
          <w:szCs w:val="17"/>
          <w:color w:val="auto"/>
        </w:rPr>
        <w:t xml:space="preserve"> directly or indirectly, controlling, controlled by or under common control with, such other person. “</w:t>
      </w:r>
      <w:r>
        <w:rPr>
          <w:rFonts w:ascii="Arial" w:cs="Arial" w:eastAsia="Arial" w:hAnsi="Arial"/>
          <w:sz w:val="17"/>
          <w:szCs w:val="17"/>
          <w:u w:val="single" w:color="auto"/>
          <w:color w:val="auto"/>
        </w:rPr>
        <w:t>Convertible Holder</w:t>
      </w:r>
      <w:r>
        <w:rPr>
          <w:rFonts w:ascii="Arial" w:cs="Arial" w:eastAsia="Arial" w:hAnsi="Arial"/>
          <w:sz w:val="17"/>
          <w:szCs w:val="17"/>
          <w:color w:val="auto"/>
          <w:highlight w:val="white"/>
        </w:rPr>
        <w:t>” means a holder of Non-Voting</w:t>
      </w:r>
      <w:r>
        <w:rPr>
          <w:rFonts w:ascii="Arial" w:cs="Arial" w:eastAsia="Arial" w:hAnsi="Arial"/>
          <w:sz w:val="17"/>
          <w:szCs w:val="17"/>
          <w:color w:val="auto"/>
        </w:rPr>
        <w:t xml:space="preserve"> Common Stock, other than the initial holder of such Non-Voting Common Stock or an Affiliate thereof, who acquires one or more shares of Non-Voting Common Stock in an Approved Transfer.</w:t>
      </w:r>
    </w:p>
    <w:p>
      <w:pPr>
        <w:spacing w:after="0" w:line="214" w:lineRule="exact"/>
        <w:rPr>
          <w:rFonts w:ascii="Arial" w:cs="Arial" w:eastAsia="Arial" w:hAnsi="Arial"/>
          <w:sz w:val="17"/>
          <w:szCs w:val="17"/>
          <w:color w:val="auto"/>
        </w:rPr>
      </w:pPr>
    </w:p>
    <w:p>
      <w:pPr>
        <w:jc w:val="both"/>
        <w:ind w:firstLine="656"/>
        <w:spacing w:after="0" w:line="253" w:lineRule="auto"/>
        <w:tabs>
          <w:tab w:leader="none" w:pos="146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Conditions of Conversion</w:t>
      </w:r>
      <w:r>
        <w:rPr>
          <w:rFonts w:ascii="Arial" w:cs="Arial" w:eastAsia="Arial" w:hAnsi="Arial"/>
          <w:sz w:val="17"/>
          <w:szCs w:val="17"/>
          <w:color w:val="auto"/>
        </w:rPr>
        <w:t>. Following an Approved Transfer, a Convertible Holder may surrender to the Corporation (at the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 of 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207" w:lineRule="exact"/>
        <w:rPr>
          <w:rFonts w:ascii="Arial" w:cs="Arial" w:eastAsia="Arial" w:hAnsi="Arial"/>
          <w:sz w:val="17"/>
          <w:szCs w:val="17"/>
          <w:color w:val="auto"/>
        </w:rPr>
      </w:pPr>
    </w:p>
    <w:p>
      <w:pPr>
        <w:jc w:val="both"/>
        <w:ind w:firstLine="656"/>
        <w:spacing w:after="0" w:line="270" w:lineRule="auto"/>
        <w:tabs>
          <w:tab w:leader="none" w:pos="1396"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Reservation of Stock Issuable Upon Conversion</w:t>
      </w:r>
      <w:r>
        <w:rPr>
          <w:rFonts w:ascii="Arial" w:cs="Arial" w:eastAsia="Arial" w:hAnsi="Arial"/>
          <w:sz w:val="16"/>
          <w:szCs w:val="16"/>
          <w:color w:val="auto"/>
        </w:rPr>
        <w:t>. The Corporation shall at all times reserve and keep available out of its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21"/>
          <w:szCs w:val="21"/>
          <w:color w:val="auto"/>
        </w:rPr>
        <w:t>-</w:t>
      </w: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68" w:name="page69"/>
    <w:bookmarkEnd w:id="68"/>
    <w:p>
      <w:pPr>
        <w:jc w:val="both"/>
        <w:ind w:firstLine="656"/>
        <w:spacing w:after="0" w:line="251" w:lineRule="auto"/>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Mergers, Consolidations, Etc</w:t>
      </w:r>
      <w:r>
        <w:rPr>
          <w:rFonts w:ascii="Arial" w:cs="Arial" w:eastAsia="Arial" w:hAnsi="Arial"/>
          <w:sz w:val="17"/>
          <w:szCs w:val="17"/>
          <w:color w:val="auto"/>
        </w:rPr>
        <w:t>. In the event of any merger, consolidation, reclassification or other transaction in which the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208" w:lineRule="exact"/>
        <w:rPr>
          <w:rFonts w:ascii="Arial" w:cs="Arial" w:eastAsia="Arial" w:hAnsi="Arial"/>
          <w:sz w:val="17"/>
          <w:szCs w:val="17"/>
          <w:color w:val="auto"/>
        </w:rPr>
      </w:pPr>
    </w:p>
    <w:p>
      <w:pPr>
        <w:ind w:firstLine="656"/>
        <w:spacing w:after="0" w:line="261" w:lineRule="auto"/>
        <w:tabs>
          <w:tab w:leader="none" w:pos="1183"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At any time notice is provided to the holders of Common Stock, the Corporation shall give written notice to all holders of Non-Voting Common Stock at or prior to such time.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21"/>
          <w:szCs w:val="21"/>
          <w:color w:val="auto"/>
        </w:rPr>
        <w:t>-</w:t>
      </w: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6.875% NON-CUMULATIVE PREFERRED STOCK, SERIES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United Community Banks, Inc., a corporation organized and existing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Georgia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Restated Articles of Incorporation of the Issuer, as amended, authorize the issuance of 10,000,000 shares of preferred stock, par</w:t>
      </w:r>
      <w:r>
        <w:rPr>
          <w:rFonts w:ascii="Arial" w:cs="Arial" w:eastAsia="Arial" w:hAnsi="Arial"/>
          <w:sz w:val="17"/>
          <w:szCs w:val="17"/>
          <w:b w:val="1"/>
          <w:bCs w:val="1"/>
          <w:color w:val="auto"/>
        </w:rPr>
        <w:t xml:space="preserve"> </w:t>
      </w:r>
      <w:r>
        <w:rPr>
          <w:rFonts w:ascii="Arial" w:cs="Arial" w:eastAsia="Arial" w:hAnsi="Arial"/>
          <w:sz w:val="17"/>
          <w:szCs w:val="17"/>
          <w:color w:val="auto"/>
        </w:rPr>
        <w:t>value $1.00 per share, of the Issuer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Issuer (the “Board of Directors”)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the following resolution was duly adopted by a duly authorized committee of the Board of Directors as required by O.C.G.A. § 14-2-602 and Article V of the Restated Articles of Incorporation by unanimous written consent on June 3, 2020.</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the provisions of the Restated Articles of Incorporation of the Issuer, as amended,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$1.00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PREFERENCES</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i w:val="1"/>
          <w:iCs w:val="1"/>
          <w:color w:val="auto"/>
        </w:rPr>
        <w:t>Section 1. Designation</w:t>
      </w:r>
      <w:r>
        <w:rPr>
          <w:rFonts w:ascii="Arial" w:cs="Arial" w:eastAsia="Arial" w:hAnsi="Arial"/>
          <w:sz w:val="16"/>
          <w:szCs w:val="16"/>
          <w:color w:val="auto"/>
        </w:rPr>
        <w:t>. The distinctive serial designation of such series of Preferred Stock is “6.875% Non-Cumulative Preferred Stock, Series I”</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 Each share of Series I shall be identical in all respects to every other share of Series I, except as to the respective dates from which dividends thereon shall accrue, to the extent such dates may differ as permitted pursuant to Section 4(a) below. Series I will rank equally with Parity Stock, if any, and will rank senior to Junior Stock with respect to the payment of dividends and/or the distribution of assets in the event of any voluntary or involuntary liquidation, dissolution or winding up of the affairs of the Corporation. Shares of Series I may be represented in the form of uncertificated or certificated shares, provided, however, that any holder of certificated shares of Series I and, upon request, every holder of uncertificated shares of Series I shall be entitled to have a certificate for shares of Series I signed by, or in the name of, the Corporation certifying the number of shares owned by such holder.</w:t>
      </w:r>
    </w:p>
    <w:p>
      <w:pPr>
        <w:spacing w:after="0" w:line="1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i w:val="1"/>
          <w:iCs w:val="1"/>
          <w:color w:val="auto"/>
        </w:rPr>
        <w:t>Section 2. Number of Shares</w:t>
      </w:r>
      <w:r>
        <w:rPr>
          <w:rFonts w:ascii="Arial" w:cs="Arial" w:eastAsia="Arial" w:hAnsi="Arial"/>
          <w:sz w:val="18"/>
          <w:szCs w:val="18"/>
          <w:color w:val="auto"/>
        </w:rPr>
        <w:t>. The authorized number of shares of Series I shall be 4,000. Shares of Series I that are redeemed, purchased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acquired by the Corporation shall be cancelled and shall revert to authorized but unissued shares of Series I.</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 As used herein with respect to Series I:</w:t>
      </w:r>
    </w:p>
    <w:p>
      <w:pPr>
        <w:spacing w:after="0" w:line="239" w:lineRule="exact"/>
        <w:rPr>
          <w:sz w:val="20"/>
          <w:szCs w:val="20"/>
          <w:color w:val="auto"/>
        </w:rPr>
      </w:pPr>
    </w:p>
    <w:p>
      <w:pPr>
        <w:ind w:firstLine="656"/>
        <w:spacing w:after="0" w:line="261"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Corporation as that term is defined in Section 3(q) of the Federal Deposit Insurance Act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70" w:name="page71"/>
    <w:bookmarkEnd w:id="70"/>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Amendment</w:t>
      </w:r>
      <w:r>
        <w:rPr>
          <w:rFonts w:ascii="Arial" w:cs="Arial" w:eastAsia="Arial" w:hAnsi="Arial"/>
          <w:sz w:val="18"/>
          <w:szCs w:val="18"/>
          <w:color w:val="auto"/>
        </w:rPr>
        <w:t>” means this Articles of Amendment relating to the Series I, as it may be amended from time to time.</w:t>
      </w:r>
    </w:p>
    <w:p>
      <w:pPr>
        <w:spacing w:after="0" w:line="238" w:lineRule="exact"/>
        <w:rPr>
          <w:rFonts w:ascii="Arial" w:cs="Arial" w:eastAsia="Arial" w:hAnsi="Arial"/>
          <w:sz w:val="18"/>
          <w:szCs w:val="18"/>
          <w:color w:val="auto"/>
        </w:rPr>
      </w:pPr>
    </w:p>
    <w:p>
      <w:pPr>
        <w:ind w:firstLine="656"/>
        <w:spacing w:after="0" w:line="261" w:lineRule="auto"/>
        <w:tabs>
          <w:tab w:leader="none" w:pos="8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as amended, of the Corporation, as it may be amended from time to time, and shall include this Articles of Amendment.</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Corporation.</w:t>
      </w:r>
    </w:p>
    <w:p>
      <w:pPr>
        <w:spacing w:after="0" w:line="238"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the Corporation, as amended and as they may be amended from time to time.</w:t>
      </w:r>
    </w:p>
    <w:p>
      <w:pPr>
        <w:spacing w:after="0" w:line="250" w:lineRule="exact"/>
        <w:rPr>
          <w:rFonts w:ascii="Arial" w:cs="Arial" w:eastAsia="Arial" w:hAnsi="Arial"/>
          <w:sz w:val="17"/>
          <w:szCs w:val="17"/>
          <w:color w:val="auto"/>
        </w:rPr>
      </w:pPr>
    </w:p>
    <w:p>
      <w:pPr>
        <w:ind w:firstLine="656"/>
        <w:spacing w:after="0" w:line="261"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that is a Monday, Tuesday, Wednesday, Thursday or Friday and is not a day on which banking institutions in New York City are generally authorized or obligated by law, regulation or executive order to close.</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Corporation.</w:t>
      </w:r>
    </w:p>
    <w:p>
      <w:pPr>
        <w:spacing w:after="0" w:line="238" w:lineRule="exact"/>
        <w:rPr>
          <w:rFonts w:ascii="Arial" w:cs="Arial" w:eastAsia="Arial" w:hAnsi="Arial"/>
          <w:sz w:val="18"/>
          <w:szCs w:val="18"/>
          <w:color w:val="auto"/>
        </w:rPr>
      </w:pPr>
    </w:p>
    <w:p>
      <w:pPr>
        <w:ind w:right="20" w:firstLine="656"/>
        <w:spacing w:after="0" w:line="261" w:lineRule="auto"/>
        <w:tabs>
          <w:tab w:leader="none" w:pos="9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Common Stock and any other class or series of stock of the Corporation that ranks junior to Series I as to the payment of dividends and/or as to the distribution of assets on any liquidation, dissolution or winding up of the Corporation.</w:t>
      </w:r>
    </w:p>
    <w:p>
      <w:pPr>
        <w:spacing w:after="0" w:line="197" w:lineRule="exact"/>
        <w:rPr>
          <w:rFonts w:ascii="Arial" w:cs="Arial" w:eastAsia="Arial" w:hAnsi="Arial"/>
          <w:sz w:val="18"/>
          <w:szCs w:val="18"/>
          <w:color w:val="auto"/>
        </w:rPr>
      </w:pPr>
    </w:p>
    <w:p>
      <w:pPr>
        <w:ind w:firstLine="656"/>
        <w:spacing w:after="0" w:line="261"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or series of stock of the Corporation (other than Series I) that ranks equally with Series I both in the payment of dividends and in the distribution of assets on any liquidation, dissolution or winding up of the Corporation, if any.</w:t>
      </w:r>
    </w:p>
    <w:p>
      <w:pPr>
        <w:spacing w:after="0" w:line="19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means any and all series of Preferred Stock, having a par value of $1.00 per share, of the Corporation, including the Series I.</w:t>
      </w:r>
    </w:p>
    <w:p>
      <w:pPr>
        <w:spacing w:after="0" w:line="261" w:lineRule="exact"/>
        <w:rPr>
          <w:rFonts w:ascii="Arial" w:cs="Arial" w:eastAsia="Arial" w:hAnsi="Arial"/>
          <w:sz w:val="16"/>
          <w:szCs w:val="16"/>
          <w:color w:val="auto"/>
        </w:rPr>
      </w:pPr>
    </w:p>
    <w:p>
      <w:pPr>
        <w:jc w:val="both"/>
        <w:ind w:firstLine="656"/>
        <w:spacing w:after="0" w:line="253" w:lineRule="auto"/>
        <w:tabs>
          <w:tab w:leader="none" w:pos="903" w:val="left"/>
        </w:tabs>
        <w:numPr>
          <w:ilvl w:val="0"/>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Capital Event</w:t>
      </w:r>
      <w:r>
        <w:rPr>
          <w:rFonts w:ascii="Arial" w:cs="Arial" w:eastAsia="Arial" w:hAnsi="Arial"/>
          <w:sz w:val="17"/>
          <w:szCs w:val="17"/>
          <w:color w:val="auto"/>
        </w:rPr>
        <w:t>” means the good faith determination by the Corporation that, as a result of (i) any amendment to, or change in, the laws, rules or regulations of the United States or any political subdivision of or in the United States that is enacted or becomes effective after the initial issuance of any share of Series I, (ii) any proposed change in those laws, rules or regulations that is announced or becomes effective after the initial issuance of any share of Series I, or (iii) any official administrative decision or judicial decision or administrative action or other official pronouncement interpreting or applying those laws, rules or regulations or policies with respect thereto that is announced after the initial issuance of any share of Series I, there is more than an insubstantial risk that the Corporation will not be entitled to treat the full liquidation preference amount of $25,000 per share of Series I then outstanding as “tier 1 capital” (or its equivalent) for purposes of the capital adequacy guidelines of the Board of Governors of the Federal Reserve System (or, as and if applicable, the capital adequacy guidelines or regulations of any successor Appropriate Federal Banking Agency) as then in effect and applicable, for so long as any share of Series I is outstanding.</w:t>
      </w:r>
    </w:p>
    <w:p>
      <w:pPr>
        <w:spacing w:after="0" w:line="210" w:lineRule="exact"/>
        <w:rPr>
          <w:rFonts w:ascii="Arial" w:cs="Arial" w:eastAsia="Arial" w:hAnsi="Arial"/>
          <w:sz w:val="17"/>
          <w:szCs w:val="17"/>
          <w:color w:val="auto"/>
        </w:rPr>
      </w:pPr>
    </w:p>
    <w:p>
      <w:pPr>
        <w:jc w:val="both"/>
        <w:ind w:firstLine="656"/>
        <w:spacing w:after="0" w:line="243"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Preferred Stock</w:t>
      </w:r>
      <w:r>
        <w:rPr>
          <w:rFonts w:ascii="Arial" w:cs="Arial" w:eastAsia="Arial" w:hAnsi="Arial"/>
          <w:sz w:val="18"/>
          <w:szCs w:val="18"/>
          <w:color w:val="auto"/>
        </w:rPr>
        <w:t>” means, with regard to any election or removal of a Preferred Stock Director (as defined in Section 7(b) below) or any other matter as to which the holders of Series I are entitled to vote as specified in Section 7 of this Articles of Amendment, and any and all other series of Preferred Stock (other than Series I) that rank equally with Series I as to the payment of dividends and upon which like voting rights have been conferred and are exercisable with respect to such matter.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4. Dividends</w:t>
      </w:r>
      <w:r>
        <w:rPr>
          <w:rFonts w:ascii="Arial" w:cs="Arial" w:eastAsia="Arial" w:hAnsi="Arial"/>
          <w:sz w:val="18"/>
          <w:szCs w:val="18"/>
          <w:b w:val="1"/>
          <w:bCs w:val="1"/>
          <w:color w:val="auto"/>
        </w:rPr>
        <w:t>.</w:t>
      </w:r>
    </w:p>
    <w:p>
      <w:pPr>
        <w:spacing w:after="0" w:line="243" w:lineRule="exact"/>
        <w:rPr>
          <w:sz w:val="20"/>
          <w:szCs w:val="20"/>
          <w:color w:val="auto"/>
        </w:rPr>
      </w:pPr>
    </w:p>
    <w:p>
      <w:pPr>
        <w:jc w:val="both"/>
        <w:ind w:firstLine="656"/>
        <w:spacing w:after="0"/>
        <w:tabs>
          <w:tab w:leader="none" w:pos="89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Rate</w:t>
      </w:r>
      <w:r>
        <w:rPr>
          <w:rFonts w:ascii="Arial" w:cs="Arial" w:eastAsia="Arial" w:hAnsi="Arial"/>
          <w:sz w:val="18"/>
          <w:szCs w:val="18"/>
          <w:color w:val="auto"/>
        </w:rPr>
        <w:t>. Holders of Series I shall be entitled to receive, when, as and if declared by the Board of Directors (or any duly authorized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funds legally available for the payment of dividends under Georgia law, non-cumulative cash dividends at the rate per annum equal to 6.875% applied to the liquidation preference amount of $25,000 per share of Series I. Such dividends shall be payable quarterly in arrears (as provided below in this Section 4(a)), but only when, as and if declared by the Board of Directors (or any duly authorized committee of the Board of Directors), on March 15, June 15, September 15 and December 15 (“</w:t>
      </w:r>
      <w:r>
        <w:rPr>
          <w:rFonts w:ascii="Arial" w:cs="Arial" w:eastAsia="Arial" w:hAnsi="Arial"/>
          <w:sz w:val="18"/>
          <w:szCs w:val="18"/>
          <w:u w:val="single" w:color="auto"/>
          <w:color w:val="auto"/>
        </w:rPr>
        <w:t>Dividend Payment Dates</w:t>
      </w:r>
      <w:r>
        <w:rPr>
          <w:rFonts w:ascii="Arial" w:cs="Arial" w:eastAsia="Arial" w:hAnsi="Arial"/>
          <w:sz w:val="18"/>
          <w:szCs w:val="18"/>
          <w:color w:val="auto"/>
        </w:rPr>
        <w:t>”), commencing on September 15, 2020; provided that if any such Dividend Payment Date would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71" w:name="page72"/>
    <w:bookmarkEnd w:id="71"/>
    <w:p>
      <w:pPr>
        <w:jc w:val="both"/>
        <w:spacing w:after="0" w:line="243" w:lineRule="auto"/>
        <w:rPr>
          <w:sz w:val="20"/>
          <w:szCs w:val="20"/>
          <w:color w:val="auto"/>
        </w:rPr>
      </w:pPr>
      <w:r>
        <w:rPr>
          <w:rFonts w:ascii="Arial" w:cs="Arial" w:eastAsia="Arial" w:hAnsi="Arial"/>
          <w:sz w:val="18"/>
          <w:szCs w:val="18"/>
          <w:color w:val="auto"/>
        </w:rPr>
        <w:t>otherwise occur on a day that is not a Business Day, such dividend shall instead be payable on the immediately succeeding Business Day, without interest or other payment in respect of such delayed payment. Dividends on Series I shall not be cumulative; holders of Series I shall not be entitled to receive any dividends not declared by the Board of Directors (or any duly authorized committee of the Board of Directors) and no interest, or sum of money in lieu of interest, shall be payable in respect of any dividend not so declared.</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on the Series I shall not be declared or set aside for payment if and to the extent such dividends would cause the Corporation to fail to comply with the capital adequacy guidelines of the Board of Governors of the Federal Reserve System (or, as and if applicable, the capital adequacy guidelines or regulations of any successor Appropriate Federal Banking Agency) applicable to the Corporation.</w:t>
      </w:r>
    </w:p>
    <w:p>
      <w:pPr>
        <w:spacing w:after="0" w:line="19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Dividends that are payable on Series I on any Dividend Payment Date will be payable to holders of record of Series I as they appear on the stock register of the Corporation on the applicable record date, which shall be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before such Dividend Payment Date or such other record date fixed by the Board of Directors (or any duly authorized committee of the Board of Directors) that is not more than 60 days nor less than 10 days prior to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Each dividend period (a “</w:t>
      </w:r>
      <w:r>
        <w:rPr>
          <w:rFonts w:ascii="Arial" w:cs="Arial" w:eastAsia="Arial" w:hAnsi="Arial"/>
          <w:sz w:val="16"/>
          <w:szCs w:val="16"/>
          <w:u w:val="single" w:color="auto"/>
          <w:color w:val="auto"/>
        </w:rPr>
        <w:t>Dividend Period</w:t>
      </w:r>
      <w:r>
        <w:rPr>
          <w:rFonts w:ascii="Arial" w:cs="Arial" w:eastAsia="Arial" w:hAnsi="Arial"/>
          <w:sz w:val="16"/>
          <w:szCs w:val="16"/>
          <w:color w:val="auto"/>
        </w:rPr>
        <w:t>”) shall commence on and include a Dividend Payment Date (other than the initial Dividend Period, which shall commence on and include the date of original issue of the Series I, provided that, for any share of Series I issued after such original issue date, the initial Dividend Period for such shares may commence on and include such other date as the Board of Directors (or any duly authorized committee of the Board of Directors) shall determine and publicly disclose) and shall end on and include the calendar day preceding the next Dividend Payment Date. Dollar amounts resulting from that calculation will be rounded to the nearest cent, with one-half cent being rounded upward. Dividends payable on the Series I in respect of any Dividend Period shall be calculated on the basis of a 360-day year consisting of twelve 30-day months. Dividends payable in respect of a Dividend Period shall be payable in arrears – i.e., on the first Dividend Payment Date after such Dividend Period.</w:t>
      </w:r>
    </w:p>
    <w:p>
      <w:pPr>
        <w:spacing w:after="0" w:line="1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Holders of Series I shall not be entitled to any dividends, whether payable in cash, securities or other property, other than dividends (if any) declared and payable on the Series I as specified in this Section 4 (subject to the other provisions of this Articles of Amendment).</w:t>
      </w:r>
    </w:p>
    <w:p>
      <w:pPr>
        <w:spacing w:after="0" w:line="198" w:lineRule="exact"/>
        <w:rPr>
          <w:sz w:val="20"/>
          <w:szCs w:val="20"/>
          <w:color w:val="auto"/>
        </w:rPr>
      </w:pPr>
    </w:p>
    <w:p>
      <w:pPr>
        <w:jc w:val="both"/>
        <w:ind w:firstLine="656"/>
        <w:spacing w:after="0" w:line="252" w:lineRule="auto"/>
        <w:tabs>
          <w:tab w:leader="none" w:pos="90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Priority of Dividends</w:t>
      </w:r>
      <w:r>
        <w:rPr>
          <w:rFonts w:ascii="Arial" w:cs="Arial" w:eastAsia="Arial" w:hAnsi="Arial"/>
          <w:sz w:val="17"/>
          <w:szCs w:val="17"/>
          <w:color w:val="auto"/>
        </w:rPr>
        <w:t>. So long as any share of Series I remains outstanding, (i) no dividend shall be declared or paid on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shares of Junior Stock (other than a dividend payable solely in Junior Stock), (ii) no Common Stock or other Junior Stock shall be purchased, redeemed or otherwise acquired for consideration by the Corporation, directly or indirectly (other than as a result of a reclassification of Junior Stock for or into other Junior Stock, or the exchange or conversion of one share of Junior Stock for or into another share of Junior Stock and other than through the use of the proceeds of a substantially contemporaneous sale of Junior Stock), nor shall any monies be paid to or made available for a sinking fund for the redemption of any such Junior Stock by the Corporation and (iii) no shares of Parity Stock shall be repurchased, redeemed or otherwise acquired for consideration by the Corporation other than pursuant to pro rata offers to purchase all, or a pro rata portion, of the Series I and such Parity Stock except by conversion into or exchange for Junior Stock unless, in each case, the full dividends for the latest completed Dividend Period on all outstanding shares of Series I have been declared and paid (or declared and a sum sufficient for the payment thereof has been set aside). The foregoing provision shall not restrict the ability of the Corporation, or any affiliate of the Corporation, to engage in any market-making transactions in Junior Stock in the ordinary course of business.</w:t>
      </w:r>
    </w:p>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When dividends are not paid (or declared and a sum sufficient for payment thereof set aside) on any Dividend Payment Date (or, in the case of Parity Stock having dividend payment dates different from the Dividend Payment Dates, on a dividend payment date falling within a Dividend Period) in full upon the Series I and any shares of Parity Stock, all dividends declared on the Series I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pro rata so that the respective amounts of such dividends shall bear the same ratio to each other as all accrued but unpaid dividends per share on the Series I and all Parity Stock payable on such Dividend Payment Date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72" w:name="page73"/>
    <w:bookmarkEnd w:id="72"/>
    <w:p>
      <w:pPr>
        <w:jc w:val="both"/>
        <w:spacing w:after="0" w:line="261" w:lineRule="auto"/>
        <w:rPr>
          <w:sz w:val="20"/>
          <w:szCs w:val="20"/>
          <w:color w:val="auto"/>
        </w:rPr>
      </w:pPr>
      <w:r>
        <w:rPr>
          <w:rFonts w:ascii="Arial" w:cs="Arial" w:eastAsia="Arial" w:hAnsi="Arial"/>
          <w:sz w:val="18"/>
          <w:szCs w:val="18"/>
          <w:color w:val="auto"/>
        </w:rPr>
        <w:t>(or, in the case of Parity Stock having dividend payment dates different from the Dividend Payment Dates, on a dividend payment date falling within the Dividend Period related to such Dividend Payment Date) bear to each other.</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Subject to the foregoing,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the shares of Series I or Parity Stock shall not be entitled to participate in any such dividends.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 Liquidation Rights</w:t>
      </w:r>
      <w:r>
        <w:rPr>
          <w:rFonts w:ascii="Arial" w:cs="Arial" w:eastAsia="Arial" w:hAnsi="Arial"/>
          <w:sz w:val="18"/>
          <w:szCs w:val="18"/>
          <w:b w:val="1"/>
          <w:bCs w:val="1"/>
          <w:color w:val="auto"/>
        </w:rPr>
        <w:t>.</w:t>
      </w:r>
    </w:p>
    <w:p>
      <w:pPr>
        <w:spacing w:after="0" w:line="243" w:lineRule="exact"/>
        <w:rPr>
          <w:sz w:val="20"/>
          <w:szCs w:val="20"/>
          <w:color w:val="auto"/>
        </w:rPr>
      </w:pPr>
    </w:p>
    <w:p>
      <w:pPr>
        <w:jc w:val="both"/>
        <w:ind w:firstLine="656"/>
        <w:spacing w:after="0" w:line="255" w:lineRule="auto"/>
        <w:tabs>
          <w:tab w:leader="none" w:pos="906"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Voluntary or Involuntary Liquidation</w:t>
      </w:r>
      <w:r>
        <w:rPr>
          <w:rFonts w:ascii="Arial" w:cs="Arial" w:eastAsia="Arial" w:hAnsi="Arial"/>
          <w:sz w:val="17"/>
          <w:szCs w:val="17"/>
          <w:color w:val="auto"/>
        </w:rPr>
        <w:t>. In the event of any liquidation, dissolution or winding up of the affairs of the Corporation,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voluntary or involuntary, holders of Series I shall be entitled to receive, out of the assets of the Corporation or proceeds thereof (whether capital or surplus) available for distribution to stockholders of the Corporation, and after satisfaction of all liabilities and obligations to creditors of the Corporation, before any distribution of such assets or proceeds is made to or set aside for the holders of Common Stock and any other stock of the Corporation ranking junior to the Series I as to such distribution, and subject to the rights of the holders of any Parity Stock upon liquidation, in full an amount equal to $25,000 per share, together with an amount equal to all dividends (if any) that have been declared but not paid prior to the date of payment of such distribution (but without any amount in respect of dividends that have not been declared prior to such payment date).</w:t>
      </w:r>
    </w:p>
    <w:p>
      <w:pPr>
        <w:spacing w:after="0" w:line="206" w:lineRule="exact"/>
        <w:rPr>
          <w:rFonts w:ascii="Arial" w:cs="Arial" w:eastAsia="Arial" w:hAnsi="Arial"/>
          <w:sz w:val="17"/>
          <w:szCs w:val="17"/>
          <w:color w:val="auto"/>
        </w:rPr>
      </w:pPr>
    </w:p>
    <w:p>
      <w:pPr>
        <w:jc w:val="both"/>
        <w:ind w:firstLine="656"/>
        <w:spacing w:after="0" w:line="274" w:lineRule="auto"/>
        <w:tabs>
          <w:tab w:leader="none" w:pos="903"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Partial Payment</w:t>
      </w:r>
      <w:r>
        <w:rPr>
          <w:rFonts w:ascii="Arial" w:cs="Arial" w:eastAsia="Arial" w:hAnsi="Arial"/>
          <w:sz w:val="16"/>
          <w:szCs w:val="16"/>
          <w:color w:val="auto"/>
        </w:rPr>
        <w:t>. If in any distribution described in Section 5(a) above the assets of the Corporation or proceeds thereof are not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pay the Liquidation Preferences (as defined below) in full to all holders of Series I and all holders of any Parity Stock, the amounts paid to the holders of Series I and to the holders of all such Parity Stock shall be paid pro rata in accordance with the respective aggregate Liquidation Preferences of the holders of Series I and the holders of all such Parity Stock. In any such distribution, the “Liquidation Preference” of any holder of stock of the Corporation shall mean the amount otherwise payable to such holder in such distribution (assuming no limitation on the assets of the Corporation available for such distribution), including an amount equal to any declared but unpaid dividends (and, in the case of any holder of stock other than Series I and on which dividends accrue on a cumulative basis, an amount equal to any unpaid, accrued, cumulative dividends, whether or not declared, as applicable).</w:t>
      </w:r>
    </w:p>
    <w:p>
      <w:pPr>
        <w:spacing w:after="0" w:line="190" w:lineRule="exact"/>
        <w:rPr>
          <w:rFonts w:ascii="Arial" w:cs="Arial" w:eastAsia="Arial" w:hAnsi="Arial"/>
          <w:sz w:val="16"/>
          <w:szCs w:val="16"/>
          <w:color w:val="auto"/>
        </w:rPr>
      </w:pPr>
    </w:p>
    <w:p>
      <w:pPr>
        <w:jc w:val="both"/>
        <w:ind w:firstLine="656"/>
        <w:spacing w:after="0" w:line="248" w:lineRule="auto"/>
        <w:tabs>
          <w:tab w:leader="none" w:pos="906"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Residual Distributions</w:t>
      </w:r>
      <w:r>
        <w:rPr>
          <w:rFonts w:ascii="Arial" w:cs="Arial" w:eastAsia="Arial" w:hAnsi="Arial"/>
          <w:sz w:val="18"/>
          <w:szCs w:val="18"/>
          <w:color w:val="auto"/>
        </w:rPr>
        <w:t>. If the Liquidation Preference has been paid in full to all holders of Series I and all holders of any Parity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other stock of the Corporation shall be entitled to receive all remaining assets of the Corporation (or proceeds thereof) according to their respective rights and preferences.</w:t>
      </w:r>
    </w:p>
    <w:p>
      <w:pPr>
        <w:spacing w:after="0" w:line="208" w:lineRule="exact"/>
        <w:rPr>
          <w:rFonts w:ascii="Arial" w:cs="Arial" w:eastAsia="Arial" w:hAnsi="Arial"/>
          <w:sz w:val="18"/>
          <w:szCs w:val="18"/>
          <w:color w:val="auto"/>
        </w:rPr>
      </w:pPr>
    </w:p>
    <w:p>
      <w:pPr>
        <w:jc w:val="both"/>
        <w:ind w:firstLine="656"/>
        <w:spacing w:after="0" w:line="243"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Merger, Consolidation and Sale of Assets Not Liquidation</w:t>
      </w:r>
      <w:r>
        <w:rPr>
          <w:rFonts w:ascii="Arial" w:cs="Arial" w:eastAsia="Arial" w:hAnsi="Arial"/>
          <w:sz w:val="18"/>
          <w:szCs w:val="18"/>
          <w:color w:val="auto"/>
        </w:rPr>
        <w:t>. For purposes of this Section 5, the merger or consolidation of the Corporation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corporation or other entity, including a merger or consolidation in which the holders of Series I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6. Redemption</w:t>
      </w:r>
      <w:r>
        <w:rPr>
          <w:rFonts w:ascii="Arial" w:cs="Arial" w:eastAsia="Arial" w:hAnsi="Arial"/>
          <w:sz w:val="18"/>
          <w:szCs w:val="18"/>
          <w:b w:val="1"/>
          <w:bCs w:val="1"/>
          <w:color w:val="auto"/>
        </w:rPr>
        <w:t>.</w:t>
      </w:r>
    </w:p>
    <w:p>
      <w:pPr>
        <w:spacing w:after="0" w:line="243" w:lineRule="exact"/>
        <w:rPr>
          <w:sz w:val="20"/>
          <w:szCs w:val="20"/>
          <w:color w:val="auto"/>
        </w:rPr>
      </w:pPr>
    </w:p>
    <w:p>
      <w:pPr>
        <w:jc w:val="both"/>
        <w:ind w:firstLine="656"/>
        <w:spacing w:after="0" w:line="253" w:lineRule="auto"/>
        <w:tabs>
          <w:tab w:leader="none" w:pos="892"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Optional Redemption</w:t>
      </w:r>
      <w:r>
        <w:rPr>
          <w:rFonts w:ascii="Arial" w:cs="Arial" w:eastAsia="Arial" w:hAnsi="Arial"/>
          <w:sz w:val="17"/>
          <w:szCs w:val="17"/>
          <w:color w:val="auto"/>
        </w:rPr>
        <w:t>. The Series I is perpetual and has no maturity date. The Corporation may, at its option, redeem the shares of Series I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outstanding, upon notice given as provided in Section 6(c) below, (i) in whole or in part, from time to time, on any date on or after September 15, 2025 (or, if not a Business Day, the next succeeding Business Day), or (ii) in whole but not in part at any time within 90 days following a Regulatory Capital Event, in each case, at a redemption price per share equal to $25,000, plus (except as otherwise provided herein below) an amount equal to any dividends per share that have accrued but not been paid for the then-current Dividend Period to but excluding the redemption date, whether or not such dividends have been declared. The redemption price for any shares of Series I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18"/>
          <w:szCs w:val="18"/>
          <w:color w:val="auto"/>
        </w:rPr>
        <w:t>paid to the holder of record of the redeemed shares on such Dividend Record Date relating to the Dividend Payment Date as provided in Section 4 above. Notwithstanding the foregoing, the Corporation may not redeem shares of Series I without having received the prior approval of the Appropriate Federal Banking Agency if then required under capital guidelines applicable to the Corporation.</w:t>
      </w:r>
    </w:p>
    <w:p>
      <w:pPr>
        <w:spacing w:after="0" w:line="209" w:lineRule="exact"/>
        <w:rPr>
          <w:sz w:val="20"/>
          <w:szCs w:val="20"/>
          <w:color w:val="auto"/>
        </w:rPr>
      </w:pPr>
    </w:p>
    <w:p>
      <w:pPr>
        <w:ind w:firstLine="656"/>
        <w:spacing w:after="0" w:line="261" w:lineRule="auto"/>
        <w:tabs>
          <w:tab w:leader="none" w:pos="90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No Sinking Fund</w:t>
      </w:r>
      <w:r>
        <w:rPr>
          <w:rFonts w:ascii="Arial" w:cs="Arial" w:eastAsia="Arial" w:hAnsi="Arial"/>
          <w:sz w:val="18"/>
          <w:szCs w:val="18"/>
          <w:color w:val="auto"/>
        </w:rPr>
        <w:t>. The Series I will not be subject to any mandatory redemption, sinking fund or other similar provisions. Holders of Series I</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no right to require redemption of any shares of Series I.</w:t>
      </w:r>
    </w:p>
    <w:p>
      <w:pPr>
        <w:spacing w:after="0" w:line="197" w:lineRule="exact"/>
        <w:rPr>
          <w:rFonts w:ascii="Arial" w:cs="Arial" w:eastAsia="Arial" w:hAnsi="Arial"/>
          <w:sz w:val="18"/>
          <w:szCs w:val="18"/>
          <w:color w:val="auto"/>
        </w:rPr>
      </w:pPr>
    </w:p>
    <w:p>
      <w:pPr>
        <w:jc w:val="both"/>
        <w:ind w:firstLine="656"/>
        <w:spacing w:after="0" w:line="270" w:lineRule="auto"/>
        <w:tabs>
          <w:tab w:leader="none" w:pos="90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every redemption of shares of Series I shall be given by first class mail, postage prepaid, addressed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record of the shares to be redeemed at their respective last addresses appearing on the books of the Corporation. Such mailing shall be at least 30 days and not more than 60 days before the date fixed for redemption. Any notice mailed as provided in this Section 6(c) shall be conclusively presumed to have been duly given, whether or not the holder receives such notice, but failure duly to give such notice by mail, or any defect in such notice or in the mailing thereof, to any holder of shares of Series I designated for redemption shall not affect the validity of the proceedings for the redemption of any other shares of Series I. Notwithstanding the foregoing, if the Series I or any depositary shares representing interests in the Series I are issued in book-entry form through The Depository Trust Company or any other similar facility, notice of redemption may be given to the holders of Series I at such time and in any manner permitted by such facility. Each such notice given to a holder shall state: (1) the redemption date; (2) the number of shares of Series I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198" w:lineRule="exact"/>
        <w:rPr>
          <w:rFonts w:ascii="Arial" w:cs="Arial" w:eastAsia="Arial" w:hAnsi="Arial"/>
          <w:sz w:val="16"/>
          <w:szCs w:val="16"/>
          <w:color w:val="auto"/>
        </w:rPr>
      </w:pPr>
    </w:p>
    <w:p>
      <w:pPr>
        <w:jc w:val="both"/>
        <w:ind w:firstLine="656"/>
        <w:spacing w:after="0" w:line="262" w:lineRule="auto"/>
        <w:tabs>
          <w:tab w:leader="none" w:pos="903"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Partial Redemption</w:t>
      </w:r>
      <w:r>
        <w:rPr>
          <w:rFonts w:ascii="Arial" w:cs="Arial" w:eastAsia="Arial" w:hAnsi="Arial"/>
          <w:sz w:val="17"/>
          <w:szCs w:val="17"/>
          <w:color w:val="auto"/>
        </w:rPr>
        <w:t>. In case of any redemption of only part of the shares of Series I at the time outstanding, the shares to be redeemed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either pro rata or by lot. Subject to the provisions hereof, the Corporation shall have full power and authority to prescribe the terms and conditions upon which shares of Series I shall be redeemed from time to time. If fewer than all the shares represented by any certificate are redeemed, a new certificate shall be issued representing the unredeemed shares without charge to the holder thereof.</w:t>
      </w:r>
    </w:p>
    <w:p>
      <w:pPr>
        <w:spacing w:after="0" w:line="199" w:lineRule="exact"/>
        <w:rPr>
          <w:rFonts w:ascii="Arial" w:cs="Arial" w:eastAsia="Arial" w:hAnsi="Arial"/>
          <w:sz w:val="17"/>
          <w:szCs w:val="17"/>
          <w:color w:val="auto"/>
        </w:rPr>
      </w:pPr>
    </w:p>
    <w:p>
      <w:pPr>
        <w:jc w:val="both"/>
        <w:ind w:firstLine="656"/>
        <w:spacing w:after="0" w:line="271" w:lineRule="auto"/>
        <w:tabs>
          <w:tab w:leader="none" w:pos="90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Effectiveness of Redemption</w:t>
      </w:r>
      <w:r>
        <w:rPr>
          <w:rFonts w:ascii="Arial" w:cs="Arial" w:eastAsia="Arial" w:hAnsi="Arial"/>
          <w:sz w:val="16"/>
          <w:szCs w:val="16"/>
          <w:color w:val="auto"/>
        </w:rPr>
        <w:t>. If notice of redemption has been duly given and if on or before the redemption date specified in the notice all</w:t>
      </w:r>
      <w:r>
        <w:rPr>
          <w:rFonts w:ascii="Arial" w:cs="Arial" w:eastAsia="Arial" w:hAnsi="Arial"/>
          <w:sz w:val="16"/>
          <w:szCs w:val="16"/>
          <w:i w:val="1"/>
          <w:iCs w:val="1"/>
          <w:color w:val="auto"/>
        </w:rPr>
        <w:t xml:space="preserve"> </w:t>
      </w:r>
      <w:r>
        <w:rPr>
          <w:rFonts w:ascii="Arial" w:cs="Arial" w:eastAsia="Arial" w:hAnsi="Arial"/>
          <w:sz w:val="16"/>
          <w:szCs w:val="16"/>
          <w:color w:val="auto"/>
        </w:rPr>
        <w:t>funds necessary for the redemption have been set aside by the Corporation, separate and apart from its other funds, in trust for the pro rata benefit of the holders of the shares called for redemption, so as to be and continue to be available therefor, then, notwithstanding that any certificate for any share so called for redemption has not been surrendered for cancellation, on and after the redemption date dividends shall cease to accrue on all shares so called for redemption unless the Corporation defaults in the payment of the redemption price of the shares of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7. Voting Rights</w:t>
      </w:r>
      <w:r>
        <w:rPr>
          <w:rFonts w:ascii="Arial" w:cs="Arial" w:eastAsia="Arial" w:hAnsi="Arial"/>
          <w:sz w:val="18"/>
          <w:szCs w:val="18"/>
          <w:b w:val="1"/>
          <w:bCs w:val="1"/>
          <w:color w:val="auto"/>
        </w:rPr>
        <w:t>.</w:t>
      </w:r>
    </w:p>
    <w:p>
      <w:pPr>
        <w:spacing w:after="0" w:line="243" w:lineRule="exact"/>
        <w:rPr>
          <w:sz w:val="20"/>
          <w:szCs w:val="20"/>
          <w:color w:val="auto"/>
        </w:rPr>
      </w:pPr>
    </w:p>
    <w:p>
      <w:pPr>
        <w:ind w:left="900" w:hanging="244"/>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holders of Series I shall not have any voting rights except as set forth below or as otherwise from time to time required by law.</w:t>
      </w:r>
    </w:p>
    <w:p>
      <w:pPr>
        <w:spacing w:after="0" w:line="261"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Right To Elect Two Directors Upon Nonpayment Events</w:t>
      </w:r>
      <w:r>
        <w:rPr>
          <w:rFonts w:ascii="Arial" w:cs="Arial" w:eastAsia="Arial" w:hAnsi="Arial"/>
          <w:sz w:val="17"/>
          <w:szCs w:val="17"/>
          <w:color w:val="auto"/>
        </w:rPr>
        <w:t>. If and whenever dividends on any shares of Series I or any shares of Voting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shall not have been declared and paid for at least six Dividend Periods, whether or not consecutive (a “</w:t>
      </w:r>
      <w:r>
        <w:rPr>
          <w:rFonts w:ascii="Arial" w:cs="Arial" w:eastAsia="Arial" w:hAnsi="Arial"/>
          <w:sz w:val="17"/>
          <w:szCs w:val="17"/>
          <w:u w:val="single" w:color="auto"/>
          <w:color w:val="auto"/>
        </w:rPr>
        <w:t>Nonpayment Event</w:t>
      </w:r>
      <w:r>
        <w:rPr>
          <w:rFonts w:ascii="Arial" w:cs="Arial" w:eastAsia="Arial" w:hAnsi="Arial"/>
          <w:sz w:val="17"/>
          <w:szCs w:val="17"/>
          <w:color w:val="auto"/>
        </w:rPr>
        <w:t>”), the number of directors then constituting the Board of Directors shall automatically be increased by two and the holders of Series I, together with the holders of all outstanding shares of Voting Preferred Stock, voting together as a single class, shall be entitled to elect two additional directors (the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provided that the Board of Directors shall at no time include more than two Preferred Stock Directors (including, for purposes of this limitation, all directors that the holders of any series of Voting Preferred Stock are entitled to elect pursuant to like voting rights) and that the election of any Preferred Stock Directors shall not cause the Corporation to violate the corporate governance requirements of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74" w:name="page75"/>
    <w:bookmarkEnd w:id="74"/>
    <w:p>
      <w:pPr>
        <w:jc w:val="both"/>
        <w:ind w:right="20"/>
        <w:spacing w:after="0" w:line="261" w:lineRule="auto"/>
        <w:rPr>
          <w:sz w:val="20"/>
          <w:szCs w:val="20"/>
          <w:color w:val="auto"/>
        </w:rPr>
      </w:pPr>
      <w:r>
        <w:rPr>
          <w:rFonts w:ascii="Arial" w:cs="Arial" w:eastAsia="Arial" w:hAnsi="Arial"/>
          <w:sz w:val="18"/>
          <w:szCs w:val="18"/>
          <w:color w:val="auto"/>
        </w:rPr>
        <w:t>Nasdaq Global Select Market (or any other exchange on which the Corporation’s securities may be listed) that listed companies must have a majority of independent directors.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event that the holders of the Series I, and such other holders of Voting Preferred Stock, shall be entitled to vote for the election of the Preferred Stock Directors following a Nonpayment Event, such directors shall be initially elected following such Nonpayment Event only at a special meeting called at the request of the holders of record of at least 20% of the Series I or of any other series of Voting Preferred Stock then outstanding (unless such request for a special meeting is received less than 90 days before the date fixed for the next annual or special meeting of the stockholders of the Corporation, in which event such election shall be held only at such next annual or special meeting of stockholders), and at each subsequent annual meeting of stockholders of the Corporation. Such request to call a special meeting for the initial election of the Preferred Stock Directors after a Nonpayment Event shall be made by written notice, signed by the requisite holders of Series I or any series of Voting Preferred Stock, and delivered to the Secretary of the Corporation in such manner as provided for in Section 10 below, or as may otherwise be required by law.</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When dividends have been paid in full on the Series I and any Voting Preferred Stock for four consecutive Dividend Periods after a Nonpayment Event, then the right of the holders of Series I and Voting Preferred Stock to elect the Preferred Stock Directors shall cease (but subject always to revesting of such voting rights in the case of any future Nonpayment Event), and, if and when any rights of holders of Series I and Voting Preferred Stock to elect the Preferred Stock Directors shall have ceased, the terms of office of all the Preferred Stock Directors shall forthwith terminate and the number of directors constituting the Board of Directors shall automatically be reduced accordingly.</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Any Preferred Stock Director may be removed at any time without cause by the holders of record of a majority of all of the outstanding shares of the Series I and Voting Preferred Stock, when they have the voting rights described above (voting together as a single class). So long as a Nonpayment Event shall continue, any vacancy in the office of a Preferred Stock Director (other than prior to the initial election of Preferred Stock Directors after a Nonpayment Event) may be filled by the written consent of the Preferred Stock Director remaining in office, or if none remains in office, by a vote of the holders of record of a majority of all of the outstanding shares of the Series I and Voting Preferred Stock, when they have the voting rights described above (voting together as a single class). Any such vote of stockholders to remove, or to fill a vacancy in the office of, a Preferred Stock Director may be taken only at a special meeting of such stockholders, called as provided above for an initial election of Preferred Stock Director after a Nonpayment Event (unless such request is received less than 90 days before the date fixed for the next annual or special meeting of the stockholders, in which event such election shall be held at such next annual or special meeting of stockholders). The Preferred Stock Directors shall each be entitled to one vote per director on any matter that shall come before the Board of Directors for a vote. Each Preferred Stock Director elected at any special meeting of stockholders or by written consent of the other Preferred Stock Director shall hold office until the next annual meeting of the stockholders if such office shall not have previously terminated as above provided.</w:t>
      </w:r>
    </w:p>
    <w:p>
      <w:pPr>
        <w:spacing w:after="0" w:line="210" w:lineRule="exact"/>
        <w:rPr>
          <w:sz w:val="20"/>
          <w:szCs w:val="20"/>
          <w:color w:val="auto"/>
        </w:rPr>
      </w:pPr>
    </w:p>
    <w:p>
      <w:pPr>
        <w:jc w:val="both"/>
        <w:ind w:firstLine="656"/>
        <w:spacing w:after="0" w:line="243" w:lineRule="auto"/>
        <w:tabs>
          <w:tab w:leader="none" w:pos="89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Other Voting Rights</w:t>
      </w:r>
      <w:r>
        <w:rPr>
          <w:rFonts w:ascii="Arial" w:cs="Arial" w:eastAsia="Arial" w:hAnsi="Arial"/>
          <w:sz w:val="18"/>
          <w:szCs w:val="18"/>
          <w:color w:val="auto"/>
        </w:rPr>
        <w:t>. So long as any shares of Series I are outstanding, in addition to any other vote or consent of stockholders required by law</w:t>
      </w:r>
      <w:r>
        <w:rPr>
          <w:rFonts w:ascii="Arial" w:cs="Arial" w:eastAsia="Arial" w:hAnsi="Arial"/>
          <w:sz w:val="18"/>
          <w:szCs w:val="18"/>
          <w:i w:val="1"/>
          <w:iCs w:val="1"/>
          <w:color w:val="auto"/>
        </w:rPr>
        <w:t xml:space="preserve"> </w:t>
      </w:r>
      <w:r>
        <w:rPr>
          <w:rFonts w:ascii="Arial" w:cs="Arial" w:eastAsia="Arial" w:hAnsi="Arial"/>
          <w:sz w:val="18"/>
          <w:szCs w:val="18"/>
          <w:color w:val="auto"/>
        </w:rPr>
        <w:t>or by the Articles of Incorporation, the vote or consent of the holders of at least two-thirds of the shares of Series I and any Parity Stock at the time outstanding and entitled to vote thereon, voting together as a single class, given in person or by proxy, either in writing without a meeting or by vote at any meeting called for the purpose, shall be necessary for effecting or validating:</w:t>
      </w:r>
    </w:p>
    <w:p>
      <w:pPr>
        <w:spacing w:after="0" w:line="214" w:lineRule="exact"/>
        <w:rPr>
          <w:rFonts w:ascii="Arial" w:cs="Arial" w:eastAsia="Arial" w:hAnsi="Arial"/>
          <w:sz w:val="18"/>
          <w:szCs w:val="18"/>
          <w:color w:val="auto"/>
        </w:rPr>
      </w:pPr>
    </w:p>
    <w:p>
      <w:pPr>
        <w:jc w:val="both"/>
        <w:ind w:left="660" w:firstLine="644"/>
        <w:spacing w:after="0" w:line="270" w:lineRule="auto"/>
        <w:tabs>
          <w:tab w:leader="none" w:pos="1536"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Authorization of Senior Stock</w:t>
      </w:r>
      <w:r>
        <w:rPr>
          <w:rFonts w:ascii="Arial" w:cs="Arial" w:eastAsia="Arial" w:hAnsi="Arial"/>
          <w:sz w:val="17"/>
          <w:szCs w:val="17"/>
          <w:color w:val="auto"/>
        </w:rPr>
        <w:t>. Any amendment or alteration of the Articles of Incorporation to authorize or create, or increase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amount of, any shares of any class or series of capital stock of the Corporation ranking senior to the Series I with respect to either or both the payment of dividends and/or the distribution of assets on any liquidation, dissolution or winding up of the Corporation;</w:t>
      </w:r>
    </w:p>
    <w:p>
      <w:pPr>
        <w:spacing w:after="0" w:line="190" w:lineRule="exact"/>
        <w:rPr>
          <w:rFonts w:ascii="Arial" w:cs="Arial" w:eastAsia="Arial" w:hAnsi="Arial"/>
          <w:sz w:val="17"/>
          <w:szCs w:val="17"/>
          <w:color w:val="auto"/>
        </w:rPr>
      </w:pPr>
    </w:p>
    <w:p>
      <w:pPr>
        <w:ind w:left="660" w:right="20" w:firstLine="644"/>
        <w:spacing w:after="0" w:line="261" w:lineRule="auto"/>
        <w:tabs>
          <w:tab w:leader="none" w:pos="1573"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Amendment of Series I</w:t>
      </w:r>
      <w:r>
        <w:rPr>
          <w:rFonts w:ascii="Arial" w:cs="Arial" w:eastAsia="Arial" w:hAnsi="Arial"/>
          <w:sz w:val="18"/>
          <w:szCs w:val="18"/>
          <w:color w:val="auto"/>
        </w:rPr>
        <w:t>. Any amendment, alteration or repeal of any provision of the Articles of Incorporation so as to materially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 the special rights, preferences, privileges or voting powers of the Series I, taken as a whole; or</w:t>
      </w:r>
    </w:p>
    <w:p>
      <w:pPr>
        <w:spacing w:after="0" w:line="197" w:lineRule="exact"/>
        <w:rPr>
          <w:rFonts w:ascii="Arial" w:cs="Arial" w:eastAsia="Arial" w:hAnsi="Arial"/>
          <w:sz w:val="18"/>
          <w:szCs w:val="18"/>
          <w:color w:val="auto"/>
        </w:rPr>
      </w:pPr>
    </w:p>
    <w:p>
      <w:pPr>
        <w:ind w:left="660" w:firstLine="644"/>
        <w:spacing w:after="0" w:line="261" w:lineRule="auto"/>
        <w:tabs>
          <w:tab w:leader="none" w:pos="1623"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Share Exchanges, Reclassifications, Mergers and Consolidations</w:t>
      </w:r>
      <w:r>
        <w:rPr>
          <w:rFonts w:ascii="Arial" w:cs="Arial" w:eastAsia="Arial" w:hAnsi="Arial"/>
          <w:sz w:val="18"/>
          <w:szCs w:val="18"/>
          <w:color w:val="auto"/>
        </w:rPr>
        <w:t>. Any consummation of a binding share exchange or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Series I, a merger or consolidation of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75" w:name="page76"/>
    <w:bookmarkEnd w:id="75"/>
    <w:p>
      <w:pPr>
        <w:jc w:val="both"/>
        <w:ind w:left="660"/>
        <w:spacing w:after="0" w:line="253" w:lineRule="auto"/>
        <w:rPr>
          <w:sz w:val="20"/>
          <w:szCs w:val="20"/>
          <w:color w:val="auto"/>
        </w:rPr>
      </w:pPr>
      <w:r>
        <w:rPr>
          <w:rFonts w:ascii="Arial" w:cs="Arial" w:eastAsia="Arial" w:hAnsi="Arial"/>
          <w:sz w:val="17"/>
          <w:szCs w:val="17"/>
          <w:color w:val="auto"/>
        </w:rPr>
        <w:t>Corporation with another corporation or other entity, or a conversion, transfer, domestication or continuance into another entity or an entity organized under the laws of another jurisdiction, unless in each case (x) the shares of Series I remain outstanding or, in the case of any such merger or consolidation with respect to which the Corporation is not the surviving or resulting entity or in the case of any such conversion, transfer, domestication or continuance, the shares of Series I are converted into or exchanged for preferred securities of the surviving or resulting entity or its ultimate parent and such surviving or resulting entity or ultimate parent, as the case may be, is organized under the laws of the United States of America, any State thereof, the District of Columbia, Bermuda, the Cayman Islands or any country or state that is a member of the Organization of Economic Cooperation and Development, and (y) such shares remaining outstanding or such preferred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the Series I immediately prior to such consummation, taken as a whole;</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all purposes of this Section 7(c), any increase in the amount of the authorized or issued Series I or authorized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the creation and issuance, or an increase in the authorized or issued amount, of any other series of Preferred Stock ranking equally with and/or junior to the Series I with respect to the payment of dividends (whether such dividends are cumulative or non-cumulative) and/or the distribution of assets upon liquidation, dissolution or winding up of the Corporation will not be deemed to adversely affect the rights, preferences, privileges or voting powers of the Series I.</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If any amendment, alteration, repeal, share exchange, reclassification, merger or consolidation specified in this Section 7(c) would adversely affect the Series I and one or more but not all other series of Preferred Stock, then only the Series I and such series of Preferred Stock as are adversely affected by and entitled to vote on the matter shall vote on the matter together as a single class (in lieu of all other series of Preferred Stock).</w:t>
      </w:r>
    </w:p>
    <w:p>
      <w:pPr>
        <w:spacing w:after="0" w:line="174" w:lineRule="exact"/>
        <w:rPr>
          <w:sz w:val="20"/>
          <w:szCs w:val="20"/>
          <w:color w:val="auto"/>
        </w:rPr>
      </w:pPr>
    </w:p>
    <w:p>
      <w:pPr>
        <w:jc w:val="both"/>
        <w:ind w:firstLine="656"/>
        <w:spacing w:after="0" w:line="248" w:lineRule="auto"/>
        <w:tabs>
          <w:tab w:leader="none" w:pos="91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Changes for Clarification</w:t>
      </w:r>
      <w:r>
        <w:rPr>
          <w:rFonts w:ascii="Arial" w:cs="Arial" w:eastAsia="Arial" w:hAnsi="Arial"/>
          <w:sz w:val="18"/>
          <w:szCs w:val="18"/>
          <w:color w:val="auto"/>
        </w:rPr>
        <w:t>. Without the consent of the holders of the Series I, so long as such action does not adversely affect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privileges and voting powers, and limitations and restrictions thereof, of the Series I, the Corporation may amend, alter, supplement or repeal any terms of the Series I:</w:t>
      </w:r>
    </w:p>
    <w:p>
      <w:pPr>
        <w:spacing w:after="0" w:line="208" w:lineRule="exact"/>
        <w:rPr>
          <w:rFonts w:ascii="Arial" w:cs="Arial" w:eastAsia="Arial" w:hAnsi="Arial"/>
          <w:sz w:val="18"/>
          <w:szCs w:val="18"/>
          <w:color w:val="auto"/>
        </w:rPr>
      </w:pPr>
    </w:p>
    <w:p>
      <w:pPr>
        <w:ind w:left="660" w:firstLine="644"/>
        <w:spacing w:after="0" w:line="261" w:lineRule="auto"/>
        <w:tabs>
          <w:tab w:leader="none" w:pos="15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cure any ambiguity, or to cure, correct or supplement any provision contained in this Articles of Amendment that may be defective or inconsistent; or</w:t>
      </w:r>
    </w:p>
    <w:p>
      <w:pPr>
        <w:spacing w:after="0" w:line="197" w:lineRule="exact"/>
        <w:rPr>
          <w:rFonts w:ascii="Arial" w:cs="Arial" w:eastAsia="Arial" w:hAnsi="Arial"/>
          <w:sz w:val="18"/>
          <w:szCs w:val="18"/>
          <w:color w:val="auto"/>
        </w:rPr>
      </w:pPr>
    </w:p>
    <w:p>
      <w:pPr>
        <w:ind w:left="660" w:right="20" w:firstLine="644"/>
        <w:spacing w:after="0" w:line="261" w:lineRule="auto"/>
        <w:tabs>
          <w:tab w:leader="none" w:pos="160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arising with respect to the Series I that is not inconsistent with the provisions of this Articles of Amendment.</w:t>
      </w:r>
    </w:p>
    <w:p>
      <w:pPr>
        <w:spacing w:after="0" w:line="197" w:lineRule="exact"/>
        <w:rPr>
          <w:rFonts w:ascii="Arial" w:cs="Arial" w:eastAsia="Arial" w:hAnsi="Arial"/>
          <w:sz w:val="18"/>
          <w:szCs w:val="18"/>
          <w:color w:val="auto"/>
        </w:rPr>
      </w:pPr>
    </w:p>
    <w:p>
      <w:pPr>
        <w:jc w:val="both"/>
        <w:ind w:firstLine="656"/>
        <w:spacing w:after="0" w:line="243" w:lineRule="auto"/>
        <w:tabs>
          <w:tab w:leader="none" w:pos="90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Changes after Provision for Redemption</w:t>
      </w:r>
      <w:r>
        <w:rPr>
          <w:rFonts w:ascii="Arial" w:cs="Arial" w:eastAsia="Arial" w:hAnsi="Arial"/>
          <w:sz w:val="18"/>
          <w:szCs w:val="18"/>
          <w:color w:val="auto"/>
        </w:rPr>
        <w:t>. No vote or consent of the holders of Series I shall be required pursuant to Section 7(b), (c) or (d)</w:t>
      </w:r>
      <w:r>
        <w:rPr>
          <w:rFonts w:ascii="Arial" w:cs="Arial" w:eastAsia="Arial" w:hAnsi="Arial"/>
          <w:sz w:val="18"/>
          <w:szCs w:val="18"/>
          <w:i w:val="1"/>
          <w:iCs w:val="1"/>
          <w:color w:val="auto"/>
        </w:rPr>
        <w:t xml:space="preserve"> </w:t>
      </w:r>
      <w:r>
        <w:rPr>
          <w:rFonts w:ascii="Arial" w:cs="Arial" w:eastAsia="Arial" w:hAnsi="Arial"/>
          <w:sz w:val="18"/>
          <w:szCs w:val="18"/>
          <w:color w:val="auto"/>
        </w:rPr>
        <w:t>above if, at or prior to the time when any such vote or consent would otherwise be required pursuant to such Section, all outstanding shares of Series I shall have been redeemed, or shall have been called for redemption upon proper notice and sufficient funds shall have been set aside for such redemption, in each case pursuant to Section 6 above.</w:t>
      </w:r>
    </w:p>
    <w:p>
      <w:pPr>
        <w:spacing w:after="0" w:line="214" w:lineRule="exact"/>
        <w:rPr>
          <w:rFonts w:ascii="Arial" w:cs="Arial" w:eastAsia="Arial" w:hAnsi="Arial"/>
          <w:sz w:val="18"/>
          <w:szCs w:val="18"/>
          <w:color w:val="auto"/>
        </w:rPr>
      </w:pPr>
    </w:p>
    <w:p>
      <w:pPr>
        <w:jc w:val="both"/>
        <w:ind w:firstLine="656"/>
        <w:spacing w:after="0" w:line="254" w:lineRule="auto"/>
        <w:tabs>
          <w:tab w:leader="none" w:pos="88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Procedures for Voting and Consents</w:t>
      </w:r>
      <w:r>
        <w:rPr>
          <w:rFonts w:ascii="Arial" w:cs="Arial" w:eastAsia="Arial" w:hAnsi="Arial"/>
          <w:sz w:val="17"/>
          <w:szCs w:val="17"/>
          <w:color w:val="auto"/>
        </w:rPr>
        <w:t>. The rules and procedures for calling and conducting any meeting of the holders of Series I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the fixing of a record date in connection therewith), the solicitation and use of proxies at such a meeting, the obtaining of written consents and any other aspect or matter with regard to such a meeting or such consents shall be governed by any rules the Board of Directors (or any duly authorized committee of the Board of Directors), in its discretion, may adopt from time to time, which rules and procedures shall conform to the requirements of the Articles of Incorporation, the Bylaws, applicable law and any national securities exchange or other trading facility on which the Series I is listed or traded at the time. Whether the vote or consent of the holders of a plurality, majority or other portion of the shares of Series I, Parity Stock and/or Voting Preferred Stock has been cast or given on any matter on which the holders of shares of Series I are entitled to vote shall be determined by the Corporation by reference to the specified liquidation amounts of the shares voted or covered by the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76" w:name="page77"/>
    <w:bookmarkEnd w:id="76"/>
    <w:p>
      <w:pPr>
        <w:jc w:val="both"/>
        <w:ind w:firstLine="648"/>
        <w:spacing w:after="0" w:line="252" w:lineRule="auto"/>
        <w:rPr>
          <w:sz w:val="20"/>
          <w:szCs w:val="20"/>
          <w:color w:val="auto"/>
        </w:rPr>
      </w:pPr>
      <w:r>
        <w:rPr>
          <w:rFonts w:ascii="Arial" w:cs="Arial" w:eastAsia="Arial" w:hAnsi="Arial"/>
          <w:sz w:val="17"/>
          <w:szCs w:val="17"/>
          <w:i w:val="1"/>
          <w:iCs w:val="1"/>
          <w:color w:val="auto"/>
        </w:rPr>
        <w:t xml:space="preserve">Section 8. Information Rights. </w:t>
      </w:r>
      <w:r>
        <w:rPr>
          <w:rFonts w:ascii="Arial" w:cs="Arial" w:eastAsia="Arial" w:hAnsi="Arial"/>
          <w:sz w:val="17"/>
          <w:szCs w:val="17"/>
          <w:color w:val="auto"/>
        </w:rPr>
        <w:t>During any period in which the Corporation is not subject to Section 13 or 15(d) of the Securities Exchange Act of</w:t>
      </w:r>
      <w:r>
        <w:rPr>
          <w:rFonts w:ascii="Arial" w:cs="Arial" w:eastAsia="Arial" w:hAnsi="Arial"/>
          <w:sz w:val="17"/>
          <w:szCs w:val="17"/>
          <w:i w:val="1"/>
          <w:iCs w:val="1"/>
          <w:color w:val="auto"/>
        </w:rPr>
        <w:t xml:space="preserve"> </w:t>
      </w:r>
      <w:r>
        <w:rPr>
          <w:rFonts w:ascii="Arial" w:cs="Arial" w:eastAsia="Arial" w:hAnsi="Arial"/>
          <w:sz w:val="17"/>
          <w:szCs w:val="17"/>
          <w:color w:val="auto"/>
        </w:rPr>
        <w:t>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any shares of Series I are outstanding, the Corporation will use its best efforts to (a) transmit through the Corporation’s website at </w:t>
      </w:r>
      <w:r>
        <w:rPr>
          <w:rFonts w:ascii="Arial" w:cs="Arial" w:eastAsia="Arial" w:hAnsi="Arial"/>
          <w:sz w:val="17"/>
          <w:szCs w:val="17"/>
          <w:u w:val="single" w:color="auto"/>
          <w:color w:val="auto"/>
        </w:rPr>
        <w:t>www.ucbi.com</w:t>
      </w:r>
      <w:r>
        <w:rPr>
          <w:rFonts w:ascii="Arial" w:cs="Arial" w:eastAsia="Arial" w:hAnsi="Arial"/>
          <w:sz w:val="17"/>
          <w:szCs w:val="17"/>
          <w:color w:val="auto"/>
        </w:rPr>
        <w:t xml:space="preserve"> (or other permissible means under the Exchange Act) to all holders of the Series I, as their names and addresses appear on the record books of the Corporation and without cost to such holders, copies of the Annual Reports on Form 10-K and Quarterly Reports on Form 10-Q, respectively, that the Corporation would have been required to file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Section 13 or 15(d) of the Exchange Act if it were subject thereto (other than any exhibits that would have been required); and (b) promptly, upon request, supply copies of such reports to any holders or prospective holder of Series I. The Corporation will use its best efforts to mail (or otherwise provide) the information to the holders of the Series I within 15 days after the respective dates by which a periodic report on Form 10-K or Form 10-Q, as the case may be, in respect of such information would have been required to be filed with the SEC, if the Corporation were subject to Section 13 or 15(d) of the Exchange Act, in each case, based on the dates on which the Corporation would be required to file such periodic reports if it were a “non-accelerated filer” within the meaning of the Exchange Act.</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Section 9. Record Holders</w:t>
      </w:r>
      <w:r>
        <w:rPr>
          <w:rFonts w:ascii="Arial" w:cs="Arial" w:eastAsia="Arial" w:hAnsi="Arial"/>
          <w:sz w:val="18"/>
          <w:szCs w:val="18"/>
          <w:color w:val="auto"/>
        </w:rPr>
        <w:t>. To the fullest extent permitted by applicable law, the Corporation and the transfer agent for the Series I may deem and</w:t>
      </w:r>
      <w:r>
        <w:rPr>
          <w:rFonts w:ascii="Arial" w:cs="Arial" w:eastAsia="Arial" w:hAnsi="Arial"/>
          <w:sz w:val="18"/>
          <w:szCs w:val="18"/>
          <w:i w:val="1"/>
          <w:iCs w:val="1"/>
          <w:color w:val="auto"/>
        </w:rPr>
        <w:t xml:space="preserve"> </w:t>
      </w:r>
      <w:r>
        <w:rPr>
          <w:rFonts w:ascii="Arial" w:cs="Arial" w:eastAsia="Arial" w:hAnsi="Arial"/>
          <w:sz w:val="18"/>
          <w:szCs w:val="18"/>
          <w:color w:val="auto"/>
        </w:rPr>
        <w:t>treat the record holder of any share of Series I as the true and lawful owner thereof for all purposes, and neither the Corporation nor such transfer agent shall be affected by any notice to the contrary.</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Section 10. Notices</w:t>
      </w:r>
      <w:r>
        <w:rPr>
          <w:rFonts w:ascii="Arial" w:cs="Arial" w:eastAsia="Arial" w:hAnsi="Arial"/>
          <w:sz w:val="18"/>
          <w:szCs w:val="18"/>
          <w:color w:val="auto"/>
        </w:rPr>
        <w:t>. All notices or communications in respect of Series I shall be sufficiently given if given in writing and delivered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first class mail, postage prepaid, or if given in such other manner as may be permitted in this Articles of Amendment, in the Articles of Incorporation or Bylaws or by applicable law.</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Section 11. Rank</w:t>
      </w:r>
      <w:r>
        <w:rPr>
          <w:rFonts w:ascii="Arial" w:cs="Arial" w:eastAsia="Arial" w:hAnsi="Arial"/>
          <w:sz w:val="18"/>
          <w:szCs w:val="18"/>
          <w:color w:val="auto"/>
        </w:rPr>
        <w:t>. For the avoidance of doubt, the Board of Directors (or any duly authorized committee of the Board of Directors) may,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of the holders of Series I, authorize and issue additional shares of Junior Stock or shares of any class or Series of stock of the Corporation now existing or hereafter authorized that ranks equally with the Series I in the payment of dividends or in the distribution of assets on any voluntary or involuntary liquidation, dissolution or winding up of the Corporation.</w:t>
      </w:r>
    </w:p>
    <w:p>
      <w:pPr>
        <w:spacing w:after="0" w:line="2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Section 12. No Preemptive or Conversion Rights</w:t>
      </w:r>
      <w:r>
        <w:rPr>
          <w:rFonts w:ascii="Arial" w:cs="Arial" w:eastAsia="Arial" w:hAnsi="Arial"/>
          <w:sz w:val="18"/>
          <w:szCs w:val="18"/>
          <w:color w:val="auto"/>
        </w:rPr>
        <w:t>. No share of Series I shall have any rights of preemption whatsoever as to any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any warrants, rights or options issued or granted with respect thereto, regardless of how such securities, or such warrants, rights or options, may be designated, issued or granted. No share of Series I shall have any rights to convert such Series I into shares of any other class of capital stock of the Corporation.</w:t>
      </w:r>
    </w:p>
    <w:p>
      <w:pPr>
        <w:spacing w:after="0" w:line="21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i w:val="1"/>
          <w:iCs w:val="1"/>
          <w:color w:val="auto"/>
        </w:rPr>
        <w:t>Section 13. Other Rights</w:t>
      </w:r>
      <w:r>
        <w:rPr>
          <w:rFonts w:ascii="Arial" w:cs="Arial" w:eastAsia="Arial" w:hAnsi="Arial"/>
          <w:sz w:val="16"/>
          <w:szCs w:val="16"/>
          <w:color w:val="auto"/>
        </w:rPr>
        <w:t>. The shares of Series I shall not have any voting powers, preferences or relative, participating, optional or other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or qualifications, limitations or restrictions thereof, other than as set forth herein or in the Articles of Incorporation or as provided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w:t>
      </w: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77" w:name="page78"/>
    <w:bookmarkEnd w:id="7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78" w:name="page79"/>
    <w:bookmarkEnd w:id="7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2021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Lynn Harton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5, 2021</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5,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942"/>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upperLetter"/>
      <w:start w:val="68"/>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Letter"/>
      <w:start w:val="1"/>
    </w:lvl>
    <w:lvl w:ilvl="1">
      <w:lvlJc w:val="left"/>
      <w:lvlText w:val="(%2)"/>
      <w:numFmt w:val="lowerLetter"/>
      <w:start w:val="2"/>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lowerLetter"/>
      <w:start w:val="4"/>
    </w:lvl>
  </w:abstractNum>
  <w:abstractNum w:abstractNumId="20">
    <w:nsid w:val="2463B9EA"/>
    <w:multiLevelType w:val="hybridMultilevel"/>
    <w:lvl w:ilvl="0">
      <w:lvlJc w:val="left"/>
      <w:lvlText w:val="%1"/>
      <w:numFmt w:val="decimal"/>
      <w:start w:val="101"/>
    </w:lvl>
  </w:abstractNum>
  <w:abstractNum w:abstractNumId="21">
    <w:nsid w:val="5E884ADC"/>
    <w:multiLevelType w:val="hybridMultilevel"/>
    <w:lvl w:ilvl="0">
      <w:lvlJc w:val="left"/>
      <w:lvlText w:val="%1"/>
      <w:numFmt w:val="decimal"/>
      <w:start w:val="104"/>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Letter"/>
      <w:start w:val="4"/>
    </w:lvl>
  </w:abstractNum>
  <w:abstractNum w:abstractNumId="24">
    <w:nsid w:val="580BD78F"/>
    <w:multiLevelType w:val="hybridMultilevel"/>
    <w:lvl w:ilvl="0">
      <w:lvlJc w:val="left"/>
      <w:lvlText w:val="%1"/>
      <w:numFmt w:val="upperLetter"/>
      <w:start w:val="61"/>
    </w:lvl>
  </w:abstractNum>
  <w:abstractNum w:abstractNumId="25">
    <w:nsid w:val="153EA438"/>
    <w:multiLevelType w:val="hybridMultilevel"/>
    <w:lvl w:ilvl="0">
      <w:lvlJc w:val="left"/>
      <w:lvlText w:val="%1."/>
      <w:numFmt w:val="upperLetter"/>
      <w:start w:val="9"/>
    </w:lvl>
  </w:abstractNum>
  <w:abstractNum w:abstractNumId="26">
    <w:nsid w:val="3855585C"/>
    <w:multiLevelType w:val="hybridMultilevel"/>
    <w:lvl w:ilvl="0">
      <w:lvlJc w:val="left"/>
      <w:lvlText w:val="%1"/>
      <w:numFmt w:val="upperLetter"/>
      <w:start w:val="1"/>
    </w:lvl>
    <w:lvl w:ilvl="1">
      <w:lvlJc w:val="left"/>
      <w:lvlText w:val="(%2)"/>
      <w:numFmt w:val="lowerRoman"/>
      <w:start w:val="1"/>
    </w:lvl>
  </w:abstractNum>
  <w:abstractNum w:abstractNumId="27">
    <w:nsid w:val="70A64E2A"/>
    <w:multiLevelType w:val="hybridMultilevel"/>
    <w:lvl w:ilvl="0">
      <w:lvlJc w:val="left"/>
      <w:lvlText w:val="%1."/>
      <w:numFmt w:val="upperLetter"/>
      <w:start w:val="35"/>
    </w:lvl>
    <w:lvl w:ilvl="1">
      <w:lvlJc w:val="left"/>
      <w:lvlText w:val="%2"/>
      <w:numFmt w:val="lowerRoman"/>
      <w:start w:val="1"/>
    </w:lvl>
  </w:abstractNum>
  <w:abstractNum w:abstractNumId="28">
    <w:nsid w:val="6A2342EC"/>
    <w:multiLevelType w:val="hybridMultilevel"/>
    <w:lvl w:ilvl="0">
      <w:lvlJc w:val="left"/>
      <w:lvlText w:val="(%1)"/>
      <w:numFmt w:val="upperLetter"/>
      <w:start w:val="1"/>
    </w:lvl>
  </w:abstractNum>
  <w:abstractNum w:abstractNumId="29">
    <w:nsid w:val="2A487CB0"/>
    <w:multiLevelType w:val="hybridMultilevel"/>
    <w:lvl w:ilvl="0">
      <w:lvlJc w:val="left"/>
      <w:lvlText w:val="(%1)"/>
      <w:numFmt w:val="lowerRoman"/>
      <w:start w:val="1"/>
    </w:lvl>
  </w:abstractNum>
  <w:abstractNum w:abstractNumId="30">
    <w:nsid w:val="1D4ED43B"/>
    <w:multiLevelType w:val="hybridMultilevel"/>
    <w:lvl w:ilvl="0">
      <w:lvlJc w:val="left"/>
      <w:lvlText w:val="(%1)"/>
      <w:numFmt w:val="lowerRoman"/>
      <w:start w:val="3"/>
    </w:lvl>
  </w:abstractNum>
  <w:abstractNum w:abstractNumId="31">
    <w:nsid w:val="725A06FB"/>
    <w:multiLevelType w:val="hybridMultilevel"/>
    <w:lvl w:ilvl="0">
      <w:lvlJc w:val="left"/>
      <w:lvlText w:val="(%1)"/>
      <w:numFmt w:val="lowerRoman"/>
      <w:start w:val="1"/>
    </w:lvl>
  </w:abstractNum>
  <w:abstractNum w:abstractNumId="32">
    <w:nsid w:val="2CD89A32"/>
    <w:multiLevelType w:val="hybridMultilevel"/>
    <w:lvl w:ilvl="0">
      <w:lvlJc w:val="left"/>
      <w:lvlText w:val="(%1)"/>
      <w:numFmt w:val="upperLetter"/>
      <w:start w:val="4"/>
    </w:lvl>
  </w:abstractNum>
  <w:abstractNum w:abstractNumId="33">
    <w:nsid w:val="57E4CCAF"/>
    <w:multiLevelType w:val="hybridMultilevel"/>
    <w:lvl w:ilvl="0">
      <w:lvlJc w:val="left"/>
      <w:lvlText w:val="(%1)"/>
      <w:numFmt w:val="lowerRoman"/>
      <w:start w:val="2"/>
    </w:lvl>
  </w:abstractNum>
  <w:abstractNum w:abstractNumId="34">
    <w:nsid w:val="7A6D8D3C"/>
    <w:multiLevelType w:val="hybridMultilevel"/>
    <w:lvl w:ilvl="0">
      <w:lvlJc w:val="left"/>
      <w:lvlText w:val="(%1)"/>
      <w:numFmt w:val="upperLetter"/>
      <w:start w:val="6"/>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upperLetter"/>
      <w:start w:val="8"/>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upperLetter"/>
      <w:start w:val="10"/>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8"/>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2"/>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3"/>
    </w:lvl>
    <w:lvl w:ilvl="1">
      <w:lvlJc w:val="left"/>
      <w:lvlText w:val="(%2)"/>
      <w:numFmt w:val="lowerRoman"/>
      <w:start w:val="1"/>
    </w:lvl>
  </w:abstractNum>
  <w:abstractNum w:abstractNumId="52">
    <w:nsid w:val="4F4EF005"/>
    <w:multiLevelType w:val="hybridMultilevel"/>
    <w:lvl w:ilvl="0">
      <w:lvlJc w:val="left"/>
      <w:lvlText w:val="(%1)"/>
      <w:numFmt w:val="lowerLetter"/>
      <w:start w:val="4"/>
    </w:lvl>
    <w:lvl w:ilvl="1">
      <w:lvlJc w:val="left"/>
      <w:lvlText w:val="(%2)"/>
      <w:numFmt w:val="lowerRoman"/>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31" Type="http://schemas.openxmlformats.org/officeDocument/2006/relationships/hyperlink" Target="http://www.sec.gov/Archives/edgar/data/0000857855/000110465921101446/tm2123399-6_424b3.htm" TargetMode="External"/><Relationship Id="rId132" Type="http://schemas.openxmlformats.org/officeDocument/2006/relationships/hyperlink" Target="http://www.sec.gov/Archives/edgar/data/0000857855/000110465921129088/tm2128683-6_424b3.htm" TargetMode="External"/><Relationship Id="rId133"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2021-11-05T11:55:52Z</dcterms:created>
  <dcterms:modified xsi:type="dcterms:W3CDTF">2021-11-05T11:55:52Z</dcterms:modified>
</cp:coreProperties>
</file>