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71" w:lineRule="exact"/>
        <w:rPr>
          <w:sz w:val="24"/>
          <w:szCs w:val="24"/>
          <w:color w:val="auto"/>
        </w:rPr>
      </w:pPr>
    </w:p>
    <w:p>
      <w:pPr>
        <w:ind w:left="3320" w:hanging="997"/>
        <w:spacing w:after="0"/>
        <w:tabs>
          <w:tab w:leader="none" w:pos="3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spacing w:after="0" w:line="31" w:lineRule="exact"/>
        <w:rPr>
          <w:rFonts w:ascii="MS PGothic" w:cs="MS PGothic" w:eastAsia="MS PGothic" w:hAnsi="MS PGothic"/>
          <w:sz w:val="18"/>
          <w:szCs w:val="18"/>
          <w:color w:val="auto"/>
        </w:rPr>
      </w:pPr>
    </w:p>
    <w:p>
      <w:pPr>
        <w:jc w:val="center"/>
        <w:ind w:left="3960" w:right="3820" w:hanging="144"/>
        <w:spacing w:after="0" w:line="346" w:lineRule="auto"/>
        <w:rPr>
          <w:rFonts w:ascii="MS PGothic" w:cs="MS PGothic" w:eastAsia="MS PGothic" w:hAnsi="MS PGothic"/>
          <w:sz w:val="18"/>
          <w:szCs w:val="18"/>
          <w:color w:val="auto"/>
        </w:rPr>
      </w:pPr>
      <w:r>
        <w:rPr>
          <w:rFonts w:ascii="Arial" w:cs="Arial" w:eastAsia="Arial" w:hAnsi="Arial"/>
          <w:sz w:val="15"/>
          <w:szCs w:val="15"/>
          <w:b w:val="1"/>
          <w:bCs w:val="1"/>
          <w:color w:val="auto"/>
        </w:rPr>
        <w:t>OF THE SECURITIES EXCHANGE ACT OF 1934 For the Quarterly Period Ended March 31, 2020</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3320" w:hanging="997"/>
        <w:spacing w:after="0"/>
        <w:tabs>
          <w:tab w:leader="none" w:pos="33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spacing w:after="0" w:line="31" w:lineRule="exact"/>
        <w:rPr>
          <w:rFonts w:ascii="MS PGothic" w:cs="MS PGothic" w:eastAsia="MS PGothic" w:hAnsi="MS PGothic"/>
          <w:sz w:val="18"/>
          <w:szCs w:val="18"/>
          <w:color w:val="auto"/>
        </w:rPr>
      </w:pP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COMMUNITY BANKS,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9" w:lineRule="exact"/>
        <w:rPr>
          <w:sz w:val="24"/>
          <w:szCs w:val="24"/>
          <w:color w:val="auto"/>
        </w:rPr>
      </w:pPr>
    </w:p>
    <w:tbl>
      <w:tblPr>
        <w:tblLayout w:type="fixed"/>
        <w:tblInd w:w="7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5960" w:type="dxa"/>
            <w:vAlign w:val="bottom"/>
            <w:gridSpan w:val="2"/>
          </w:tcPr>
          <w:p>
            <w:pPr>
              <w:jc w:val="center"/>
              <w:ind w:left="2139"/>
              <w:spacing w:after="0"/>
              <w:rPr>
                <w:sz w:val="20"/>
                <w:szCs w:val="20"/>
                <w:color w:val="auto"/>
              </w:rPr>
            </w:pPr>
            <w:r>
              <w:rPr>
                <w:rFonts w:ascii="Arial" w:cs="Arial" w:eastAsia="Arial" w:hAnsi="Arial"/>
                <w:sz w:val="16"/>
                <w:szCs w:val="16"/>
                <w:b w:val="1"/>
                <w:bCs w:val="1"/>
                <w:color w:val="auto"/>
                <w:w w:val="91"/>
              </w:rPr>
              <w:t>58-1807304</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2"/>
              </w:rPr>
              <w:t>(State of incorporation)</w:t>
            </w:r>
          </w:p>
        </w:tc>
        <w:tc>
          <w:tcPr>
            <w:tcW w:w="22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c>
          <w:tcPr>
            <w:tcW w:w="2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2"/>
              </w:rPr>
              <w:t>125 Highway 515 East</w:t>
            </w:r>
          </w:p>
        </w:tc>
        <w:tc>
          <w:tcPr>
            <w:tcW w:w="2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Blairsville , Georgia</w:t>
            </w:r>
          </w:p>
        </w:tc>
        <w:tc>
          <w:tcPr>
            <w:tcW w:w="5960" w:type="dxa"/>
            <w:vAlign w:val="bottom"/>
            <w:gridSpan w:val="2"/>
          </w:tcPr>
          <w:p>
            <w:pPr>
              <w:jc w:val="center"/>
              <w:ind w:left="2159"/>
              <w:spacing w:after="0"/>
              <w:rPr>
                <w:sz w:val="20"/>
                <w:szCs w:val="20"/>
                <w:color w:val="auto"/>
              </w:rPr>
            </w:pPr>
            <w:r>
              <w:rPr>
                <w:rFonts w:ascii="Arial" w:cs="Arial" w:eastAsia="Arial" w:hAnsi="Arial"/>
                <w:sz w:val="16"/>
                <w:szCs w:val="16"/>
                <w:b w:val="1"/>
                <w:bCs w:val="1"/>
                <w:color w:val="auto"/>
                <w:w w:val="89"/>
              </w:rPr>
              <w:t>30512</w:t>
            </w:r>
          </w:p>
        </w:tc>
        <w:tc>
          <w:tcPr>
            <w:tcW w:w="20" w:type="dxa"/>
            <w:vAlign w:val="bottom"/>
          </w:tcPr>
          <w:p>
            <w:pPr>
              <w:spacing w:after="0"/>
              <w:rPr>
                <w:sz w:val="23"/>
                <w:szCs w:val="23"/>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2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(Zip code)</w:t>
            </w: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220" w:type="dxa"/>
            <w:vAlign w:val="bottom"/>
          </w:tcPr>
          <w:p>
            <w:pPr>
              <w:jc w:val="right"/>
              <w:ind w:right="519"/>
              <w:spacing w:after="0"/>
              <w:rPr>
                <w:sz w:val="20"/>
                <w:szCs w:val="20"/>
                <w:color w:val="auto"/>
              </w:rPr>
            </w:pPr>
            <w:r>
              <w:rPr>
                <w:rFonts w:ascii="Arial" w:cs="Arial" w:eastAsia="Arial" w:hAnsi="Arial"/>
                <w:sz w:val="16"/>
                <w:szCs w:val="16"/>
                <w:b w:val="1"/>
                <w:bCs w:val="1"/>
                <w:color w:val="auto"/>
              </w:rPr>
              <w:t>(706) 781-2265</w:t>
            </w:r>
          </w:p>
        </w:tc>
        <w:tc>
          <w:tcPr>
            <w:tcW w:w="37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ind w:left="380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40"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600" w:type="dxa"/>
            <w:vAlign w:val="bottom"/>
            <w:gridSpan w:val="2"/>
          </w:tcPr>
          <w:p>
            <w:pPr>
              <w:jc w:val="center"/>
              <w:ind w:right="2320"/>
              <w:spacing w:after="0"/>
              <w:rPr>
                <w:sz w:val="20"/>
                <w:szCs w:val="20"/>
                <w:color w:val="auto"/>
              </w:rPr>
            </w:pPr>
            <w:r>
              <w:rPr>
                <w:rFonts w:ascii="Arial" w:cs="Arial" w:eastAsia="Arial" w:hAnsi="Arial"/>
                <w:sz w:val="16"/>
                <w:szCs w:val="16"/>
                <w:b w:val="1"/>
                <w:bCs w:val="1"/>
                <w:color w:val="auto"/>
                <w:w w:val="89"/>
              </w:rPr>
              <w:t>Title of Each Class</w:t>
            </w:r>
          </w:p>
        </w:tc>
        <w:tc>
          <w:tcPr>
            <w:tcW w:w="19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91"/>
              </w:rPr>
              <w:t>Trading Symbol(s)</w:t>
            </w:r>
          </w:p>
        </w:tc>
        <w:tc>
          <w:tcPr>
            <w:tcW w:w="388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71"/>
        </w:trPr>
        <w:tc>
          <w:tcPr>
            <w:tcW w:w="4300" w:type="dxa"/>
            <w:vAlign w:val="bottom"/>
            <w:gridSpan w:val="3"/>
          </w:tcPr>
          <w:p>
            <w:pPr>
              <w:jc w:val="center"/>
              <w:ind w:right="1620"/>
              <w:spacing w:after="0"/>
              <w:rPr>
                <w:sz w:val="20"/>
                <w:szCs w:val="20"/>
                <w:color w:val="auto"/>
              </w:rPr>
            </w:pPr>
            <w:r>
              <w:rPr>
                <w:rFonts w:ascii="Arial" w:cs="Arial" w:eastAsia="Arial" w:hAnsi="Arial"/>
                <w:sz w:val="16"/>
                <w:szCs w:val="16"/>
                <w:b w:val="1"/>
                <w:bCs w:val="1"/>
                <w:color w:val="auto"/>
                <w:w w:val="91"/>
              </w:rPr>
              <w:t>Common stock, par value $1 per share</w:t>
            </w:r>
          </w:p>
        </w:tc>
        <w:tc>
          <w:tcPr>
            <w:tcW w:w="198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rPr>
              <w:t>UCBI</w:t>
            </w:r>
          </w:p>
        </w:tc>
        <w:tc>
          <w:tcPr>
            <w:tcW w:w="720" w:type="dxa"/>
            <w:vAlign w:val="bottom"/>
          </w:tcPr>
          <w:p>
            <w:pPr>
              <w:spacing w:after="0"/>
              <w:rPr>
                <w:sz w:val="23"/>
                <w:szCs w:val="23"/>
                <w:color w:val="auto"/>
              </w:rPr>
            </w:pP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208" w:lineRule="exact"/>
        <w:rPr>
          <w:sz w:val="24"/>
          <w:szCs w:val="24"/>
          <w:color w:val="auto"/>
        </w:rPr>
      </w:pPr>
    </w:p>
    <w:p>
      <w:pPr>
        <w:jc w:val="both"/>
        <w:spacing w:after="0" w:line="25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8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8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0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6" w:lineRule="exact"/>
        <w:rPr>
          <w:sz w:val="24"/>
          <w:szCs w:val="24"/>
          <w:color w:val="auto"/>
        </w:rPr>
      </w:pPr>
    </w:p>
    <w:p>
      <w:pPr>
        <w:spacing w:after="0" w:line="227"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78,290,267 shares outstanding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 Financial Information</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96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Item 1.</w:t>
            </w:r>
          </w:p>
        </w:tc>
        <w:tc>
          <w:tcPr>
            <w:tcW w:w="88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400" w:type="dxa"/>
            <w:vAlign w:val="bottom"/>
            <w:shd w:val="clear" w:color="auto" w:fill="CCEEFF"/>
          </w:tcPr>
          <w:p>
            <w:pPr>
              <w:spacing w:after="0"/>
              <w:rPr>
                <w:sz w:val="23"/>
                <w:szCs w:val="23"/>
                <w:color w:val="auto"/>
              </w:rPr>
            </w:pPr>
          </w:p>
        </w:tc>
      </w:tr>
      <w:tr>
        <w:trPr>
          <w:trHeight w:val="324"/>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196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Consolidated Balance Sheets (unaudited) at March 31, 2020 and December 31, 2019</w:t>
              </w:r>
            </w:hyperlink>
          </w:p>
        </w:tc>
        <w:tc>
          <w:tcPr>
            <w:tcW w:w="4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196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Consolidated Statements of Income (unaudited) for the Three Months Ended March 31, 2020 and 2019</w:t>
              </w:r>
            </w:hyperlink>
          </w:p>
        </w:tc>
        <w:tc>
          <w:tcPr>
            <w:tcW w:w="4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02"/>
        </w:trPr>
        <w:tc>
          <w:tcPr>
            <w:tcW w:w="1960" w:type="dxa"/>
            <w:vAlign w:val="bottom"/>
            <w:shd w:val="clear" w:color="auto" w:fill="CCEEFF"/>
          </w:tcPr>
          <w:p>
            <w:pPr>
              <w:spacing w:after="0"/>
              <w:rPr>
                <w:sz w:val="17"/>
                <w:szCs w:val="17"/>
                <w:color w:val="auto"/>
              </w:rPr>
            </w:pPr>
          </w:p>
        </w:tc>
        <w:tc>
          <w:tcPr>
            <w:tcW w:w="8880" w:type="dxa"/>
            <w:vAlign w:val="bottom"/>
            <w:gridSpan w:val="5"/>
            <w:shd w:val="clear" w:color="auto" w:fill="CCEEFF"/>
          </w:tcPr>
          <w:p>
            <w:pPr>
              <w:spacing w:after="0" w:line="202"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Consolidated Statements of Comprehensive Income (unaudited) for the Three Months Ended March 31, 2020 and</w:t>
              </w:r>
            </w:hyperlink>
          </w:p>
        </w:tc>
        <w:tc>
          <w:tcPr>
            <w:tcW w:w="400" w:type="dxa"/>
            <w:vAlign w:val="bottom"/>
            <w:shd w:val="clear" w:color="auto" w:fill="CCEEFF"/>
          </w:tcPr>
          <w:p>
            <w:pPr>
              <w:jc w:val="right"/>
              <w:spacing w:after="0" w:line="20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49"/>
        </w:trPr>
        <w:tc>
          <w:tcPr>
            <w:tcW w:w="19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b w:val="1"/>
                <w:bCs w:val="1"/>
                <w:color w:val="0000EE"/>
                <w:w w:val="84"/>
              </w:rPr>
            </w:pPr>
            <w:hyperlink w:anchor="page7">
              <w:r>
                <w:rPr>
                  <w:rFonts w:ascii="Arial" w:cs="Arial" w:eastAsia="Arial" w:hAnsi="Arial"/>
                  <w:sz w:val="18"/>
                  <w:szCs w:val="18"/>
                  <w:b w:val="1"/>
                  <w:bCs w:val="1"/>
                  <w:color w:val="0000EE"/>
                  <w:w w:val="84"/>
                </w:rPr>
                <w:t>2019</w:t>
              </w:r>
            </w:hyperlink>
          </w:p>
        </w:tc>
        <w:tc>
          <w:tcPr>
            <w:tcW w:w="740" w:type="dxa"/>
            <w:vAlign w:val="bottom"/>
            <w:tcBorders>
              <w:top w:val="single" w:sz="8" w:color="0000EE"/>
              <w:bottom w:val="single" w:sz="8" w:color="CCEEFF"/>
            </w:tcBorders>
            <w:shd w:val="clear" w:color="auto" w:fill="CCEEFF"/>
          </w:tcPr>
          <w:p>
            <w:pPr>
              <w:spacing w:after="0"/>
              <w:rPr>
                <w:sz w:val="21"/>
                <w:szCs w:val="21"/>
                <w:color w:val="auto"/>
              </w:rPr>
            </w:pPr>
          </w:p>
        </w:tc>
        <w:tc>
          <w:tcPr>
            <w:tcW w:w="76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324"/>
        </w:trPr>
        <w:tc>
          <w:tcPr>
            <w:tcW w:w="19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7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r>
      <w:tr>
        <w:trPr>
          <w:trHeight w:val="203"/>
        </w:trPr>
        <w:tc>
          <w:tcPr>
            <w:tcW w:w="196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b w:val="1"/>
                <w:bCs w:val="1"/>
                <w:color w:val="0000EE"/>
                <w:w w:val="90"/>
              </w:rPr>
            </w:pPr>
            <w:hyperlink w:anchor="page8">
              <w:r>
                <w:rPr>
                  <w:rFonts w:ascii="Arial" w:cs="Arial" w:eastAsia="Arial" w:hAnsi="Arial"/>
                  <w:sz w:val="18"/>
                  <w:szCs w:val="18"/>
                  <w:b w:val="1"/>
                  <w:bCs w:val="1"/>
                  <w:color w:val="0000EE"/>
                  <w:w w:val="90"/>
                </w:rPr>
                <w:t>Consolidated Statements of Changes in Shareholders’ Equity (unaudited) for the Three Months Ended March 31,</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202"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44"/>
        </w:trPr>
        <w:tc>
          <w:tcPr>
            <w:tcW w:w="1960" w:type="dxa"/>
            <w:vAlign w:val="bottom"/>
            <w:shd w:val="clear" w:color="auto" w:fill="CCEEFF"/>
          </w:tcPr>
          <w:p>
            <w:pPr>
              <w:spacing w:after="0"/>
              <w:rPr>
                <w:sz w:val="21"/>
                <w:szCs w:val="21"/>
                <w:color w:val="auto"/>
              </w:rPr>
            </w:pPr>
          </w:p>
        </w:tc>
        <w:tc>
          <w:tcPr>
            <w:tcW w:w="8880" w:type="dxa"/>
            <w:vAlign w:val="bottom"/>
            <w:gridSpan w:val="5"/>
            <w:shd w:val="clear" w:color="auto" w:fill="CCEEFF"/>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2020 and 2019</w:t>
              </w:r>
            </w:hyperlink>
          </w:p>
        </w:tc>
        <w:tc>
          <w:tcPr>
            <w:tcW w:w="400" w:type="dxa"/>
            <w:vAlign w:val="bottom"/>
            <w:shd w:val="clear" w:color="auto" w:fill="CCEEFF"/>
          </w:tcPr>
          <w:p>
            <w:pPr>
              <w:spacing w:after="0"/>
              <w:rPr>
                <w:sz w:val="21"/>
                <w:szCs w:val="21"/>
                <w:color w:val="auto"/>
              </w:rPr>
            </w:pPr>
          </w:p>
        </w:tc>
      </w:tr>
      <w:tr>
        <w:trPr>
          <w:trHeight w:val="270"/>
        </w:trPr>
        <w:tc>
          <w:tcPr>
            <w:tcW w:w="1960" w:type="dxa"/>
            <w:vAlign w:val="bottom"/>
            <w:tcBorders>
              <w:top w:val="single" w:sz="8" w:color="CCEEFF"/>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76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r>
      <w:tr>
        <w:trPr>
          <w:trHeight w:val="250"/>
        </w:trPr>
        <w:tc>
          <w:tcPr>
            <w:tcW w:w="196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w w:val="97"/>
              </w:rPr>
            </w:pPr>
            <w:hyperlink w:anchor="page9">
              <w:r>
                <w:rPr>
                  <w:rFonts w:ascii="Arial" w:cs="Arial" w:eastAsia="Arial" w:hAnsi="Arial"/>
                  <w:sz w:val="18"/>
                  <w:szCs w:val="18"/>
                  <w:b w:val="1"/>
                  <w:bCs w:val="1"/>
                  <w:u w:val="single" w:color="auto"/>
                  <w:color w:val="0000EE"/>
                  <w:w w:val="97"/>
                </w:rPr>
                <w:t>Consolidated Statements of Cash Flows (unaudited) for the Three Months Ended March 31, 2020 and 2019</w:t>
              </w:r>
            </w:hyperlink>
          </w:p>
        </w:tc>
        <w:tc>
          <w:tcPr>
            <w:tcW w:w="4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70"/>
        </w:trPr>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196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Notes to Consolidated Financial Statements</w:t>
              </w:r>
            </w:hyperlink>
          </w:p>
        </w:tc>
        <w:tc>
          <w:tcPr>
            <w:tcW w:w="4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10</w:t>
              </w:r>
            </w:hyperlink>
          </w:p>
        </w:tc>
      </w:tr>
      <w:tr>
        <w:trPr>
          <w:trHeight w:val="270"/>
        </w:trPr>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1960" w:type="dxa"/>
            <w:vAlign w:val="bottom"/>
            <w:tcBorders>
              <w:bottom w:val="single" w:sz="8" w:color="CCEEFF"/>
            </w:tcBorders>
            <w:shd w:val="clear" w:color="auto" w:fill="CCEEFF"/>
          </w:tcPr>
          <w:p>
            <w:pPr>
              <w:ind w:left="94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2.</w:t>
              </w:r>
            </w:hyperlink>
          </w:p>
        </w:tc>
        <w:tc>
          <w:tcPr>
            <w:tcW w:w="888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u w:val="single" w:color="auto"/>
                  <w:color w:val="0000EE"/>
                </w:rPr>
                <w:t>Management’s Discussion and Analysis of Financial Condition and Results of Operations</w:t>
              </w:r>
              <w:r>
                <w:rPr>
                  <w:rFonts w:ascii="Arial" w:cs="Arial" w:eastAsia="Arial" w:hAnsi="Arial"/>
                  <w:sz w:val="18"/>
                  <w:szCs w:val="18"/>
                  <w:b w:val="1"/>
                  <w:bCs w:val="1"/>
                  <w:color w:val="0000EE"/>
                </w:rPr>
                <w:t>.</w:t>
              </w:r>
            </w:hyperlink>
          </w:p>
        </w:tc>
        <w:tc>
          <w:tcPr>
            <w:tcW w:w="4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38</w:t>
              </w:r>
            </w:hyperlink>
          </w:p>
        </w:tc>
      </w:tr>
      <w:tr>
        <w:trPr>
          <w:trHeight w:val="270"/>
        </w:trPr>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50"/>
        </w:trPr>
        <w:tc>
          <w:tcPr>
            <w:tcW w:w="1960" w:type="dxa"/>
            <w:vAlign w:val="bottom"/>
            <w:tcBorders>
              <w:bottom w:val="single" w:sz="8" w:color="CCEEFF"/>
            </w:tcBorders>
            <w:shd w:val="clear" w:color="auto" w:fill="CCEEFF"/>
          </w:tcPr>
          <w:p>
            <w:pPr>
              <w:ind w:left="940"/>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Item 3.</w:t>
              </w:r>
            </w:hyperlink>
          </w:p>
        </w:tc>
        <w:tc>
          <w:tcPr>
            <w:tcW w:w="888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Quantitative and Qualitative Disclosures About Market Risk.</w:t>
              </w:r>
            </w:hyperlink>
          </w:p>
        </w:tc>
        <w:tc>
          <w:tcPr>
            <w:tcW w:w="40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tc>
      </w:tr>
      <w:tr>
        <w:trPr>
          <w:trHeight w:val="270"/>
        </w:trPr>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43"/>
        </w:trPr>
        <w:tc>
          <w:tcPr>
            <w:tcW w:w="1960" w:type="dxa"/>
            <w:vAlign w:val="bottom"/>
            <w:shd w:val="clear" w:color="auto" w:fill="CCEEFF"/>
          </w:tcPr>
          <w:p>
            <w:pPr>
              <w:ind w:left="940"/>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Item 4.</w:t>
              </w:r>
            </w:hyperlink>
          </w:p>
        </w:tc>
        <w:tc>
          <w:tcPr>
            <w:tcW w:w="8880" w:type="dxa"/>
            <w:vAlign w:val="bottom"/>
            <w:gridSpan w:val="5"/>
            <w:shd w:val="clear" w:color="auto" w:fill="CCEEFF"/>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Controls and Procedures.</w:t>
              </w:r>
            </w:hyperlink>
          </w:p>
        </w:tc>
        <w:tc>
          <w:tcPr>
            <w:tcW w:w="400" w:type="dxa"/>
            <w:vAlign w:val="bottom"/>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tc>
      </w:tr>
      <w:tr>
        <w:trPr>
          <w:trHeight w:val="27"/>
        </w:trPr>
        <w:tc>
          <w:tcPr>
            <w:tcW w:w="1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9"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PART II - Other Information</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shd w:val="clear" w:color="auto" w:fill="CCEEFF"/>
          </w:tcPr>
          <w:p>
            <w:pPr>
              <w:ind w:left="94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Item 1.</w:t>
              </w:r>
            </w:hyperlink>
          </w:p>
        </w:tc>
        <w:tc>
          <w:tcPr>
            <w:tcW w:w="7020" w:type="dxa"/>
            <w:vAlign w:val="bottom"/>
            <w:shd w:val="clear" w:color="auto" w:fill="CCEEFF"/>
          </w:tcPr>
          <w:p>
            <w:pPr>
              <w:ind w:left="18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Legal Proceedings.</w:t>
              </w:r>
            </w:hyperlink>
          </w:p>
        </w:tc>
        <w:tc>
          <w:tcPr>
            <w:tcW w:w="2440" w:type="dxa"/>
            <w:vAlign w:val="bottom"/>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tc>
      </w:tr>
      <w:tr>
        <w:trPr>
          <w:trHeight w:val="243"/>
        </w:trPr>
        <w:tc>
          <w:tcPr>
            <w:tcW w:w="1780" w:type="dxa"/>
            <w:vAlign w:val="bottom"/>
          </w:tcPr>
          <w:p>
            <w:pPr>
              <w:ind w:left="94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Item 1A.</w:t>
              </w:r>
            </w:hyperlink>
          </w:p>
        </w:tc>
        <w:tc>
          <w:tcPr>
            <w:tcW w:w="7020" w:type="dxa"/>
            <w:vAlign w:val="bottom"/>
          </w:tcPr>
          <w:p>
            <w:pPr>
              <w:ind w:left="18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Risk Factors.</w:t>
              </w:r>
            </w:hyperlink>
          </w:p>
        </w:tc>
        <w:tc>
          <w:tcPr>
            <w:tcW w:w="2440" w:type="dxa"/>
            <w:vAlign w:val="bottom"/>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tc>
      </w:tr>
      <w:tr>
        <w:trPr>
          <w:trHeight w:val="27"/>
        </w:trPr>
        <w:tc>
          <w:tcPr>
            <w:tcW w:w="17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94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Item 2.</w:t>
              </w:r>
            </w:hyperlink>
          </w:p>
        </w:tc>
        <w:tc>
          <w:tcPr>
            <w:tcW w:w="7020" w:type="dxa"/>
            <w:vAlign w:val="bottom"/>
            <w:tcBorders>
              <w:bottom w:val="single" w:sz="8" w:color="CCEEFF"/>
            </w:tcBorders>
            <w:shd w:val="clear" w:color="auto" w:fill="CCEEFF"/>
          </w:tcPr>
          <w:p>
            <w:pPr>
              <w:ind w:left="18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Unregistered Sales of Equity Securities and Use of Proceeds.</w:t>
              </w:r>
            </w:hyperlink>
          </w:p>
        </w:tc>
        <w:tc>
          <w:tcPr>
            <w:tcW w:w="2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tc>
      </w:tr>
      <w:tr>
        <w:trPr>
          <w:trHeight w:val="243"/>
        </w:trPr>
        <w:tc>
          <w:tcPr>
            <w:tcW w:w="1780" w:type="dxa"/>
            <w:vAlign w:val="bottom"/>
          </w:tcPr>
          <w:p>
            <w:pPr>
              <w:ind w:left="94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Item 6.</w:t>
              </w:r>
            </w:hyperlink>
          </w:p>
        </w:tc>
        <w:tc>
          <w:tcPr>
            <w:tcW w:w="7020" w:type="dxa"/>
            <w:vAlign w:val="bottom"/>
          </w:tcPr>
          <w:p>
            <w:pPr>
              <w:ind w:left="18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Exhibits.</w:t>
              </w:r>
            </w:hyperlink>
          </w:p>
        </w:tc>
        <w:tc>
          <w:tcPr>
            <w:tcW w:w="244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tc>
      </w:tr>
      <w:tr>
        <w:trPr>
          <w:trHeight w:val="675"/>
        </w:trPr>
        <w:tc>
          <w:tcPr>
            <w:tcW w:w="1780" w:type="dxa"/>
            <w:vAlign w:val="bottom"/>
          </w:tcPr>
          <w:p>
            <w:pPr>
              <w:spacing w:after="0"/>
              <w:rPr>
                <w:sz w:val="24"/>
                <w:szCs w:val="24"/>
                <w:color w:val="auto"/>
              </w:rPr>
            </w:pPr>
          </w:p>
        </w:tc>
        <w:tc>
          <w:tcPr>
            <w:tcW w:w="7020" w:type="dxa"/>
            <w:vAlign w:val="bottom"/>
          </w:tcPr>
          <w:p>
            <w:pPr>
              <w:ind w:left="3800"/>
              <w:spacing w:after="0"/>
              <w:rPr>
                <w:sz w:val="20"/>
                <w:szCs w:val="20"/>
                <w:color w:val="auto"/>
              </w:rPr>
            </w:pPr>
            <w:r>
              <w:rPr>
                <w:rFonts w:ascii="Arial" w:cs="Arial" w:eastAsia="Arial" w:hAnsi="Arial"/>
                <w:sz w:val="18"/>
                <w:szCs w:val="18"/>
                <w:color w:val="auto"/>
              </w:rPr>
              <w:t>2</w:t>
            </w:r>
          </w:p>
        </w:tc>
        <w:tc>
          <w:tcPr>
            <w:tcW w:w="24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Statements regarding the potential effects of the COVID-19 pandemic on our business, operations, financial performance and prospects are forward-looking statements. Also, any statement that does not describe historical or current facts is a forward-looking statement. These statements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Community Banks, Inc. (the “Holding Company”) and its subsidiaries (collectively referred to in this report as “United”).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Part II, Item 1A of this Report - “Risk Factors” - include, but are not limited to the following:</w:t>
      </w:r>
    </w:p>
    <w:p>
      <w:pPr>
        <w:spacing w:after="0" w:line="195" w:lineRule="exact"/>
        <w:rPr>
          <w:sz w:val="20"/>
          <w:szCs w:val="20"/>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 of non-performing assets, charge-offs and provision expense;</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effects on the economic and business environments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continuation of historically low interest rates coupled with other potential fluctuations or unanticipated changes in the interest rate environment, including interest rate changes made by the Federal Reserve, the discontinuation of London Interbank Offered Rate (“LIBOR”) as an interest rate benchmark,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future mergers or acquisitions, including our ability to successfully expand and complete acquisitions and integrate businesses and operations that we acquire;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 and our ability to attract customers from other financial institutions;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allowance for credit losses resulting from the Current Expected Credit Loss (“CECL”) methodology, either alone or as that may be affected by conditions arising out of the COVID-19 pandemic;</w:t>
      </w:r>
    </w:p>
    <w:p>
      <w:pPr>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ind w:left="340" w:right="2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our ability to make dividends and other distributions from the Bank to the Holding Company, which could affect Holding Company liquidity, including the ability to pay dividends to shareholders or take other capital actions;</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not to place undue reliance on forward-looking statements. Additional factors that may cause actual results to differ materially from those contemplated by any forward-looking statements also may be found in our Annual Report on Form 10-K, Quarterly Reports on Form 10-Q, and Current Reports on Form 8-K filed with the Securities and Exchange Commission (the “SEC”) and available at the SEC’s website at http://www.sec.gov. United does not intend to and hereby disclaims any obligation to update or revise any forward-looking statement contained in this Form 10-Q, which speak only as of the date hereof, whether as a result of new information, future events, or otherwise. The financial statements and information contained herein have not been reviewed, or confirmed for accuracy or relevance, by the Federal Deposit Insurance Corporation (the “FDIC”) or any other regulator.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36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share data)</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4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due from banks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125,844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Interest-bearing deposits in banks</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365,494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389,362</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520,502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515,206</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Debt securities available-for-sale</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2,249,876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2,274,581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Debt securities held-to-maturity (fair value $301,595 and $287,904)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283,533</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Loans held for sale at fair value</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89,959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58,484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Loans and leases held for investment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8,935,424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8,812,553</w:t>
            </w:r>
          </w:p>
        </w:tc>
        <w:tc>
          <w:tcPr>
            <w:tcW w:w="0" w:type="dxa"/>
            <w:vAlign w:val="bottom"/>
          </w:tcPr>
          <w:p>
            <w:pPr>
              <w:spacing w:after="0"/>
              <w:rPr>
                <w:sz w:val="1"/>
                <w:szCs w:val="1"/>
                <w:color w:val="auto"/>
              </w:rPr>
            </w:pPr>
          </w:p>
        </w:tc>
      </w:tr>
      <w:tr>
        <w:trPr>
          <w:trHeight w:val="237"/>
        </w:trPr>
        <w:tc>
          <w:tcPr>
            <w:tcW w:w="8440" w:type="dxa"/>
            <w:vAlign w:val="bottom"/>
            <w:gridSpan w:val="2"/>
          </w:tcPr>
          <w:p>
            <w:pPr>
              <w:ind w:left="380"/>
              <w:spacing w:after="0"/>
              <w:rPr>
                <w:sz w:val="20"/>
                <w:szCs w:val="20"/>
                <w:color w:val="auto"/>
              </w:rPr>
            </w:pPr>
            <w:r>
              <w:rPr>
                <w:rFonts w:ascii="Arial" w:cs="Arial" w:eastAsia="Arial" w:hAnsi="Arial"/>
                <w:sz w:val="16"/>
                <w:szCs w:val="16"/>
                <w:color w:val="auto"/>
              </w:rPr>
              <w:t>Less allowance for credit losses - loans and leases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(81,905)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(62,089)</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Loans and leases, net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8,853,519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8,750,464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Premises and equipment, net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214,744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215,976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Bank owned life insurance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202,664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Accrued interest receivable</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31,570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32,660</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deferred tax asset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34,059</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82,668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35,007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Goodwill and 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342,247</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179,924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171,135</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13,085,866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Noninterest-bearing demand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3,624,806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3,477,979</w:t>
            </w:r>
          </w:p>
        </w:tc>
        <w:tc>
          <w:tcPr>
            <w:tcW w:w="0" w:type="dxa"/>
            <w:vAlign w:val="bottom"/>
          </w:tcPr>
          <w:p>
            <w:pPr>
              <w:spacing w:after="0"/>
              <w:rPr>
                <w:sz w:val="1"/>
                <w:szCs w:val="1"/>
                <w:color w:val="auto"/>
              </w:rPr>
            </w:pPr>
          </w:p>
        </w:tc>
      </w:tr>
      <w:tr>
        <w:trPr>
          <w:trHeight w:val="237"/>
        </w:trPr>
        <w:tc>
          <w:tcPr>
            <w:tcW w:w="8440" w:type="dxa"/>
            <w:vAlign w:val="bottom"/>
            <w:gridSpan w:val="2"/>
          </w:tcPr>
          <w:p>
            <w:pPr>
              <w:ind w:left="280"/>
              <w:spacing w:after="0"/>
              <w:rPr>
                <w:sz w:val="20"/>
                <w:szCs w:val="20"/>
                <w:color w:val="auto"/>
              </w:rPr>
            </w:pPr>
            <w:r>
              <w:rPr>
                <w:rFonts w:ascii="Arial" w:cs="Arial" w:eastAsia="Arial" w:hAnsi="Arial"/>
                <w:sz w:val="16"/>
                <w:szCs w:val="16"/>
                <w:color w:val="auto"/>
              </w:rPr>
              <w:t>Interest-bearing deposits</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7,410,120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7,419,265</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deposits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11,034,926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10,897,244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212,849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212,664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Accrued expenses and other liabilities</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170,130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154,900</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11,445,254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11,280,324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Common stock, $1 par value; 150,000,000 shares authorized;</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78,283,544 and 79,013,729 shares issued and outstanding</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79,014</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Common stock issuable; 591,053 and 664,640 shares</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10,534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11,491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1,478,719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1,496,641</w:t>
            </w:r>
          </w:p>
        </w:tc>
        <w:tc>
          <w:tcPr>
            <w:tcW w:w="0" w:type="dxa"/>
            <w:vAlign w:val="bottom"/>
          </w:tcPr>
          <w:p>
            <w:pPr>
              <w:spacing w:after="0"/>
              <w:rPr>
                <w:sz w:val="1"/>
                <w:szCs w:val="1"/>
                <w:color w:val="auto"/>
              </w:rPr>
            </w:pPr>
          </w:p>
        </w:tc>
      </w:tr>
      <w:tr>
        <w:trPr>
          <w:trHeight w:val="237"/>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54,206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40,152</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8,394</w:t>
            </w:r>
          </w:p>
        </w:tc>
        <w:tc>
          <w:tcPr>
            <w:tcW w:w="0" w:type="dxa"/>
            <w:vAlign w:val="bottom"/>
          </w:tcPr>
          <w:p>
            <w:pPr>
              <w:spacing w:after="0"/>
              <w:rPr>
                <w:sz w:val="1"/>
                <w:szCs w:val="1"/>
                <w:color w:val="auto"/>
              </w:rPr>
            </w:pPr>
          </w:p>
        </w:tc>
      </w:tr>
      <w:tr>
        <w:trPr>
          <w:trHeight w:val="217"/>
        </w:trPr>
        <w:tc>
          <w:tcPr>
            <w:tcW w:w="8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shareholders' equity</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1,640,612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1,635,692</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13,085,866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08"/>
              <w:spacing w:after="0"/>
              <w:rPr>
                <w:sz w:val="20"/>
                <w:szCs w:val="20"/>
                <w:color w:val="auto"/>
              </w:rPr>
            </w:pPr>
            <w:r>
              <w:rPr>
                <w:rFonts w:ascii="Arial" w:cs="Arial" w:eastAsia="Arial" w:hAnsi="Arial"/>
                <w:sz w:val="15"/>
                <w:szCs w:val="15"/>
                <w:b w:val="1"/>
                <w:bCs w:val="1"/>
                <w:color w:val="auto"/>
              </w:rPr>
              <w:t>Three Months Ended</w:t>
            </w:r>
          </w:p>
        </w:tc>
      </w:tr>
      <w:tr>
        <w:trPr>
          <w:trHeight w:val="202"/>
        </w:trPr>
        <w:tc>
          <w:tcPr>
            <w:tcW w:w="8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5"/>
                <w:szCs w:val="15"/>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63"/>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5"/>
                <w:szCs w:val="15"/>
                <w:i w:val="1"/>
                <w:iCs w:val="1"/>
                <w:color w:val="auto"/>
              </w:rPr>
              <w:t>(in thousands, except per share data)</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5"/>
                <w:szCs w:val="15"/>
                <w:b w:val="1"/>
                <w:bCs w:val="1"/>
                <w:color w:val="auto"/>
              </w:rPr>
              <w:t>2019</w:t>
            </w:r>
          </w:p>
        </w:tc>
      </w:tr>
      <w:tr>
        <w:trPr>
          <w:trHeight w:val="262"/>
        </w:trPr>
        <w:tc>
          <w:tcPr>
            <w:tcW w:w="84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revenue: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Loans, including fees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118,063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115,259</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Investment securities, including tax exempt of $1,523 and $1,169</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17,394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20,818</w:t>
            </w:r>
          </w:p>
        </w:tc>
      </w:tr>
      <w:tr>
        <w:trPr>
          <w:trHeight w:val="27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Deposits in banks and short-term investments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r>
      <w:tr>
        <w:trPr>
          <w:trHeight w:val="250"/>
        </w:trPr>
        <w:tc>
          <w:tcPr>
            <w:tcW w:w="84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interest revenue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136,547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136,516</w:t>
            </w:r>
          </w:p>
        </w:tc>
      </w:tr>
      <w:tr>
        <w:trPr>
          <w:trHeight w:val="243"/>
        </w:trPr>
        <w:tc>
          <w:tcPr>
            <w:tcW w:w="8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expense: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15,075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15,957</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Short-term borrowings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161</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Federal Home Loan Bank advances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1,422</w:t>
            </w:r>
          </w:p>
        </w:tc>
      </w:tr>
      <w:tr>
        <w:trPr>
          <w:trHeight w:val="264"/>
        </w:trPr>
        <w:tc>
          <w:tcPr>
            <w:tcW w:w="8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Long-term debt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3,342</w:t>
            </w:r>
          </w:p>
        </w:tc>
      </w:tr>
      <w:tr>
        <w:trPr>
          <w:trHeight w:val="250"/>
        </w:trPr>
        <w:tc>
          <w:tcPr>
            <w:tcW w:w="8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interest expense</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17,941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20,882</w:t>
            </w:r>
          </w:p>
        </w:tc>
      </w:tr>
      <w:tr>
        <w:trPr>
          <w:trHeight w:val="250"/>
        </w:trPr>
        <w:tc>
          <w:tcPr>
            <w:tcW w:w="8440" w:type="dxa"/>
            <w:vAlign w:val="bottom"/>
            <w:gridSpan w:val="2"/>
          </w:tcPr>
          <w:p>
            <w:pPr>
              <w:ind w:left="280"/>
              <w:spacing w:after="0"/>
              <w:rPr>
                <w:sz w:val="20"/>
                <w:szCs w:val="20"/>
                <w:color w:val="auto"/>
              </w:rPr>
            </w:pPr>
            <w:r>
              <w:rPr>
                <w:rFonts w:ascii="Arial" w:cs="Arial" w:eastAsia="Arial" w:hAnsi="Arial"/>
                <w:sz w:val="14"/>
                <w:szCs w:val="14"/>
                <w:color w:val="auto"/>
              </w:rPr>
              <w:t>Net interest revenue</w:t>
            </w:r>
          </w:p>
        </w:tc>
        <w:tc>
          <w:tcPr>
            <w:tcW w:w="3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118,606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115,634</w:t>
            </w:r>
          </w:p>
        </w:tc>
      </w:tr>
      <w:tr>
        <w:trPr>
          <w:trHeight w:val="27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Provision for credit losses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22,191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3,300</w:t>
            </w:r>
          </w:p>
        </w:tc>
      </w:tr>
      <w:tr>
        <w:trPr>
          <w:trHeight w:val="250"/>
        </w:trPr>
        <w:tc>
          <w:tcPr>
            <w:tcW w:w="8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Net interest revenue after provision for credit losses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96,415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112,334</w:t>
            </w:r>
          </w:p>
        </w:tc>
      </w:tr>
      <w:tr>
        <w:trPr>
          <w:trHeight w:val="243"/>
        </w:trPr>
        <w:tc>
          <w:tcPr>
            <w:tcW w:w="8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income: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Service charges and fees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8,453</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Mortgage loan gains and other related fees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8,310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3,748</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Brokerage fees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Gains from sales of other loans, net</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1,303</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Securities losses, net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264"/>
        </w:trPr>
        <w:tc>
          <w:tcPr>
            <w:tcW w:w="8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6,394</w:t>
            </w:r>
          </w:p>
        </w:tc>
      </w:tr>
      <w:tr>
        <w:trPr>
          <w:trHeight w:val="256"/>
        </w:trPr>
        <w:tc>
          <w:tcPr>
            <w:tcW w:w="8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income</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25,814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20,968</w:t>
            </w:r>
          </w:p>
        </w:tc>
      </w:tr>
      <w:tr>
        <w:trPr>
          <w:trHeight w:val="244"/>
        </w:trPr>
        <w:tc>
          <w:tcPr>
            <w:tcW w:w="8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122,229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133,302</w:t>
            </w:r>
          </w:p>
        </w:tc>
      </w:tr>
      <w:tr>
        <w:trPr>
          <w:trHeight w:val="243"/>
        </w:trPr>
        <w:tc>
          <w:tcPr>
            <w:tcW w:w="8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51,358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47,503</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Communications and equipment</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5,946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5,788</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Occupancy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5,584</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Advertising and public relations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1,286</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Postage, printing and supplies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Professional fees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4,097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3,161</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Lending and loan servicing expense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2,334</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Outside services - electronic banking</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1,609</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FDIC assessments and other regulatory charges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1,710</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Amortization of intangibles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1,293</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Merger-related and other charges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w:t>
            </w:r>
          </w:p>
        </w:tc>
      </w:tr>
      <w:tr>
        <w:trPr>
          <w:trHeight w:val="264"/>
        </w:trPr>
        <w:tc>
          <w:tcPr>
            <w:tcW w:w="8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3,684</w:t>
            </w:r>
          </w:p>
        </w:tc>
      </w:tr>
      <w:tr>
        <w:trPr>
          <w:trHeight w:val="250"/>
        </w:trPr>
        <w:tc>
          <w:tcPr>
            <w:tcW w:w="8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expenses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81,538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76,084</w:t>
            </w:r>
          </w:p>
        </w:tc>
      </w:tr>
      <w:tr>
        <w:trPr>
          <w:trHeight w:val="250"/>
        </w:trPr>
        <w:tc>
          <w:tcPr>
            <w:tcW w:w="8440" w:type="dxa"/>
            <w:vAlign w:val="bottom"/>
            <w:gridSpan w:val="2"/>
          </w:tcPr>
          <w:p>
            <w:pPr>
              <w:ind w:left="280"/>
              <w:spacing w:after="0"/>
              <w:rPr>
                <w:sz w:val="20"/>
                <w:szCs w:val="20"/>
                <w:color w:val="auto"/>
              </w:rPr>
            </w:pPr>
            <w:r>
              <w:rPr>
                <w:rFonts w:ascii="Arial" w:cs="Arial" w:eastAsia="Arial" w:hAnsi="Arial"/>
                <w:sz w:val="14"/>
                <w:szCs w:val="14"/>
                <w:color w:val="auto"/>
              </w:rPr>
              <w:t>Net income before income taxes</w:t>
            </w:r>
          </w:p>
        </w:tc>
        <w:tc>
          <w:tcPr>
            <w:tcW w:w="3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57,218</w:t>
            </w:r>
          </w:p>
        </w:tc>
      </w:tr>
      <w:tr>
        <w:trPr>
          <w:trHeight w:val="27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8,807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12,956</w:t>
            </w:r>
          </w:p>
        </w:tc>
      </w:tr>
      <w:tr>
        <w:trPr>
          <w:trHeight w:val="283"/>
        </w:trPr>
        <w:tc>
          <w:tcPr>
            <w:tcW w:w="8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31,884</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44,262</w:t>
            </w:r>
          </w:p>
        </w:tc>
      </w:tr>
      <w:tr>
        <w:trPr>
          <w:trHeight w:val="223"/>
        </w:trPr>
        <w:tc>
          <w:tcPr>
            <w:tcW w:w="8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96"/>
        </w:trPr>
        <w:tc>
          <w:tcPr>
            <w:tcW w:w="8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 available to common shareholders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31,641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43,947</w:t>
            </w:r>
          </w:p>
        </w:tc>
      </w:tr>
      <w:tr>
        <w:trPr>
          <w:trHeight w:val="224"/>
        </w:trPr>
        <w:tc>
          <w:tcPr>
            <w:tcW w:w="8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4"/>
        </w:trPr>
        <w:tc>
          <w:tcPr>
            <w:tcW w:w="8440" w:type="dxa"/>
            <w:vAlign w:val="bottom"/>
            <w:gridSpan w:val="2"/>
          </w:tcPr>
          <w:p>
            <w:pPr>
              <w:ind w:left="40"/>
              <w:spacing w:after="0"/>
              <w:rPr>
                <w:sz w:val="20"/>
                <w:szCs w:val="20"/>
                <w:color w:val="auto"/>
              </w:rPr>
            </w:pPr>
            <w:r>
              <w:rPr>
                <w:rFonts w:ascii="Arial" w:cs="Arial" w:eastAsia="Arial" w:hAnsi="Arial"/>
                <w:sz w:val="14"/>
                <w:szCs w:val="14"/>
                <w:color w:val="auto"/>
              </w:rPr>
              <w:t>Net income per common share: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0.55</w:t>
            </w: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0.55</w:t>
            </w:r>
          </w:p>
        </w:tc>
      </w:tr>
      <w:tr>
        <w:trPr>
          <w:trHeight w:val="276"/>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440" w:type="dxa"/>
            <w:vAlign w:val="bottom"/>
            <w:gridSpan w:val="2"/>
          </w:tcPr>
          <w:p>
            <w:pPr>
              <w:ind w:left="18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79,340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79,807</w:t>
            </w:r>
          </w:p>
        </w:tc>
      </w:tr>
      <w:tr>
        <w:trPr>
          <w:trHeight w:val="27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79,446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79,813</w:t>
            </w:r>
          </w:p>
        </w:tc>
      </w:tr>
    </w:tbl>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693" w:right="339" w:bottom="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693" w:right="339" w:bottom="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4040" w:type="dxa"/>
            <w:vAlign w:val="bottom"/>
            <w:gridSpan w:val="7"/>
          </w:tcPr>
          <w:p>
            <w:pPr>
              <w:jc w:val="center"/>
              <w:ind w:right="101"/>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Tax</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Before-tax</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(Expense)</w:t>
            </w:r>
          </w:p>
        </w:tc>
        <w:tc>
          <w:tcPr>
            <w:tcW w:w="220" w:type="dxa"/>
            <w:vAlign w:val="bottom"/>
          </w:tcPr>
          <w:p>
            <w:pPr>
              <w:spacing w:after="0"/>
              <w:rPr>
                <w:sz w:val="17"/>
                <w:szCs w:val="17"/>
                <w:color w:val="auto"/>
              </w:rPr>
            </w:pPr>
          </w:p>
        </w:tc>
        <w:tc>
          <w:tcPr>
            <w:tcW w:w="1120" w:type="dxa"/>
            <w:vAlign w:val="bottom"/>
          </w:tcPr>
          <w:p>
            <w:pPr>
              <w:jc w:val="right"/>
              <w:ind w:right="241"/>
              <w:spacing w:after="0"/>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Benefit</w:t>
            </w:r>
          </w:p>
        </w:tc>
        <w:tc>
          <w:tcPr>
            <w:tcW w:w="220" w:type="dxa"/>
            <w:vAlign w:val="bottom"/>
          </w:tcPr>
          <w:p>
            <w:pPr>
              <w:spacing w:after="0"/>
              <w:rPr>
                <w:sz w:val="18"/>
                <w:szCs w:val="18"/>
                <w:color w:val="auto"/>
              </w:rPr>
            </w:pPr>
          </w:p>
        </w:tc>
        <w:tc>
          <w:tcPr>
            <w:tcW w:w="112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6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40,691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31,884</w:t>
            </w:r>
          </w:p>
        </w:tc>
        <w:tc>
          <w:tcPr>
            <w:tcW w:w="0" w:type="dxa"/>
            <w:vAlign w:val="bottom"/>
          </w:tcPr>
          <w:p>
            <w:pPr>
              <w:spacing w:after="0"/>
              <w:rPr>
                <w:sz w:val="1"/>
                <w:szCs w:val="1"/>
                <w:color w:val="auto"/>
              </w:rPr>
            </w:pPr>
          </w:p>
        </w:tc>
      </w:tr>
      <w:tr>
        <w:trPr>
          <w:trHeight w:val="248"/>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10,252</w:t>
            </w:r>
          </w:p>
        </w:tc>
        <w:tc>
          <w:tcPr>
            <w:tcW w:w="0" w:type="dxa"/>
            <w:vAlign w:val="bottom"/>
          </w:tcPr>
          <w:p>
            <w:pPr>
              <w:spacing w:after="0"/>
              <w:rPr>
                <w:sz w:val="1"/>
                <w:szCs w:val="1"/>
                <w:color w:val="auto"/>
              </w:rPr>
            </w:pPr>
          </w:p>
        </w:tc>
      </w:tr>
      <w:tr>
        <w:trPr>
          <w:trHeight w:val="183"/>
        </w:trPr>
        <w:tc>
          <w:tcPr>
            <w:tcW w:w="6980" w:type="dxa"/>
            <w:vAlign w:val="bottom"/>
            <w:gridSpan w:val="2"/>
          </w:tcPr>
          <w:p>
            <w:pPr>
              <w:ind w:left="180"/>
              <w:spacing w:after="0"/>
              <w:rPr>
                <w:sz w:val="20"/>
                <w:szCs w:val="20"/>
                <w:color w:val="auto"/>
              </w:rPr>
            </w:pPr>
            <w:r>
              <w:rPr>
                <w:rFonts w:ascii="Arial" w:cs="Arial" w:eastAsia="Arial" w:hAnsi="Arial"/>
                <w:sz w:val="16"/>
                <w:szCs w:val="16"/>
                <w:color w:val="auto"/>
                <w:w w:val="96"/>
              </w:rPr>
              <w:t>Amortization of losses included in net income on available-for-sale securities transferred to held-to-</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maturity</w:t>
            </w: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4"/>
              </w:rPr>
              <w:t>Amortization of prior service cost and actuarial losses included in net periodic pension cost for defined</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benefit pension plan</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28"/>
        </w:trPr>
        <w:tc>
          <w:tcPr>
            <w:tcW w:w="6980" w:type="dxa"/>
            <w:vAlign w:val="bottom"/>
            <w:gridSpan w:val="2"/>
          </w:tcPr>
          <w:p>
            <w:pPr>
              <w:ind w:left="380"/>
              <w:spacing w:after="0"/>
              <w:rPr>
                <w:sz w:val="20"/>
                <w:szCs w:val="20"/>
                <w:color w:val="auto"/>
              </w:rPr>
            </w:pPr>
            <w:r>
              <w:rPr>
                <w:rFonts w:ascii="Arial" w:cs="Arial" w:eastAsia="Arial" w:hAnsi="Arial"/>
                <w:sz w:val="16"/>
                <w:szCs w:val="16"/>
                <w:color w:val="auto"/>
              </w:rPr>
              <w:t>Total other comprehensive income</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13,982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10,475</w:t>
            </w:r>
          </w:p>
        </w:tc>
        <w:tc>
          <w:tcPr>
            <w:tcW w:w="0" w:type="dxa"/>
            <w:vAlign w:val="bottom"/>
          </w:tcPr>
          <w:p>
            <w:pPr>
              <w:spacing w:after="0"/>
              <w:rPr>
                <w:sz w:val="1"/>
                <w:szCs w:val="1"/>
                <w:color w:val="auto"/>
              </w:rPr>
            </w:pPr>
          </w:p>
        </w:tc>
      </w:tr>
      <w:tr>
        <w:trPr>
          <w:trHeight w:val="22"/>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6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Comprehensive income</w:t>
            </w: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54,673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42,359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57,218</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(12,956)</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44,262</w:t>
            </w: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Unrealized holding gains arising during period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25,125</w:t>
            </w:r>
          </w:p>
        </w:tc>
        <w:tc>
          <w:tcPr>
            <w:tcW w:w="0" w:type="dxa"/>
            <w:vAlign w:val="bottom"/>
          </w:tcPr>
          <w:p>
            <w:pPr>
              <w:spacing w:after="0"/>
              <w:rPr>
                <w:sz w:val="1"/>
                <w:szCs w:val="1"/>
                <w:color w:val="auto"/>
              </w:rPr>
            </w:pPr>
          </w:p>
        </w:tc>
      </w:tr>
      <w:tr>
        <w:trPr>
          <w:trHeight w:val="248"/>
        </w:trPr>
        <w:tc>
          <w:tcPr>
            <w:tcW w:w="6980" w:type="dxa"/>
            <w:vAlign w:val="bottom"/>
            <w:gridSpan w:val="2"/>
          </w:tcPr>
          <w:p>
            <w:pPr>
              <w:ind w:left="280"/>
              <w:spacing w:after="0"/>
              <w:rPr>
                <w:sz w:val="20"/>
                <w:szCs w:val="20"/>
                <w:color w:val="auto"/>
              </w:rPr>
            </w:pPr>
            <w:r>
              <w:rPr>
                <w:rFonts w:ascii="Arial" w:cs="Arial" w:eastAsia="Arial" w:hAnsi="Arial"/>
                <w:sz w:val="16"/>
                <w:szCs w:val="16"/>
                <w:color w:val="auto"/>
              </w:rPr>
              <w:t>Reclassification adjustment for losses included in net income</w:t>
            </w:r>
          </w:p>
        </w:tc>
        <w:tc>
          <w:tcPr>
            <w:tcW w:w="22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unrealized gains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33,441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25,324</w:t>
            </w:r>
          </w:p>
        </w:tc>
        <w:tc>
          <w:tcPr>
            <w:tcW w:w="0" w:type="dxa"/>
            <w:vAlign w:val="bottom"/>
          </w:tcPr>
          <w:p>
            <w:pPr>
              <w:spacing w:after="0"/>
              <w:rPr>
                <w:sz w:val="1"/>
                <w:szCs w:val="1"/>
                <w:color w:val="auto"/>
              </w:rPr>
            </w:pPr>
          </w:p>
        </w:tc>
      </w:tr>
      <w:tr>
        <w:trPr>
          <w:trHeight w:val="183"/>
        </w:trPr>
        <w:tc>
          <w:tcPr>
            <w:tcW w:w="6980" w:type="dxa"/>
            <w:vAlign w:val="bottom"/>
            <w:gridSpan w:val="2"/>
          </w:tcPr>
          <w:p>
            <w:pPr>
              <w:ind w:left="180"/>
              <w:spacing w:after="0"/>
              <w:rPr>
                <w:sz w:val="20"/>
                <w:szCs w:val="20"/>
                <w:color w:val="auto"/>
              </w:rPr>
            </w:pPr>
            <w:r>
              <w:rPr>
                <w:rFonts w:ascii="Arial" w:cs="Arial" w:eastAsia="Arial" w:hAnsi="Arial"/>
                <w:sz w:val="16"/>
                <w:szCs w:val="16"/>
                <w:color w:val="auto"/>
                <w:w w:val="96"/>
              </w:rPr>
              <w:t>Amortization of losses included in net income on available-for-sale securities transferred to held-to-</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maturity</w:t>
            </w: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4"/>
              </w:rPr>
              <w:t>Amortization of losses included in net income on terminated derivative financial instruments that were</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previously accounted for as cash flow hedges</w:t>
            </w: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3"/>
        </w:trPr>
        <w:tc>
          <w:tcPr>
            <w:tcW w:w="6980" w:type="dxa"/>
            <w:vAlign w:val="bottom"/>
            <w:gridSpan w:val="2"/>
          </w:tcPr>
          <w:p>
            <w:pPr>
              <w:ind w:left="180"/>
              <w:spacing w:after="0"/>
              <w:rPr>
                <w:sz w:val="20"/>
                <w:szCs w:val="20"/>
                <w:color w:val="auto"/>
              </w:rPr>
            </w:pPr>
            <w:r>
              <w:rPr>
                <w:rFonts w:ascii="Arial" w:cs="Arial" w:eastAsia="Arial" w:hAnsi="Arial"/>
                <w:sz w:val="16"/>
                <w:szCs w:val="16"/>
                <w:color w:val="auto"/>
                <w:w w:val="94"/>
              </w:rPr>
              <w:t>Amortization of prior service cost and actuarial losses included in net periodic pension cost for defined</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980" w:type="dxa"/>
            <w:vAlign w:val="bottom"/>
            <w:gridSpan w:val="2"/>
          </w:tcPr>
          <w:p>
            <w:pPr>
              <w:ind w:left="180"/>
              <w:spacing w:after="0"/>
              <w:rPr>
                <w:sz w:val="20"/>
                <w:szCs w:val="20"/>
                <w:color w:val="auto"/>
              </w:rPr>
            </w:pPr>
            <w:r>
              <w:rPr>
                <w:rFonts w:ascii="Arial" w:cs="Arial" w:eastAsia="Arial" w:hAnsi="Arial"/>
                <w:sz w:val="16"/>
                <w:szCs w:val="16"/>
                <w:color w:val="auto"/>
              </w:rPr>
              <w:t>benefit pension plan</w:t>
            </w:r>
          </w:p>
        </w:tc>
        <w:tc>
          <w:tcPr>
            <w:tcW w:w="220" w:type="dxa"/>
            <w:vAlign w:val="bottom"/>
          </w:tcPr>
          <w:p>
            <w:pPr>
              <w:spacing w:after="0"/>
              <w:rPr>
                <w:sz w:val="17"/>
                <w:szCs w:val="17"/>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2"/>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25,594</w:t>
            </w:r>
          </w:p>
        </w:tc>
        <w:tc>
          <w:tcPr>
            <w:tcW w:w="0" w:type="dxa"/>
            <w:vAlign w:val="bottom"/>
          </w:tcPr>
          <w:p>
            <w:pPr>
              <w:spacing w:after="0"/>
              <w:rPr>
                <w:sz w:val="1"/>
                <w:szCs w:val="1"/>
                <w:color w:val="auto"/>
              </w:rPr>
            </w:pPr>
          </w:p>
        </w:tc>
      </w:tr>
      <w:tr>
        <w:trPr>
          <w:trHeight w:val="232"/>
        </w:trPr>
        <w:tc>
          <w:tcPr>
            <w:tcW w:w="6980" w:type="dxa"/>
            <w:vAlign w:val="bottom"/>
            <w:gridSpan w:val="2"/>
          </w:tcPr>
          <w:p>
            <w:pPr>
              <w:ind w:left="380"/>
              <w:spacing w:after="0"/>
              <w:rPr>
                <w:sz w:val="20"/>
                <w:szCs w:val="20"/>
                <w:color w:val="auto"/>
              </w:rPr>
            </w:pPr>
            <w:r>
              <w:rPr>
                <w:rFonts w:ascii="Arial" w:cs="Arial" w:eastAsia="Arial" w:hAnsi="Arial"/>
                <w:sz w:val="16"/>
                <w:szCs w:val="16"/>
                <w:color w:val="auto"/>
              </w:rPr>
              <w:t>Comprehensive income</w:t>
            </w: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91,019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(21,163)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69,856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47"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0"/>
              </w:rPr>
              <w:t>Retained</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5"/>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Common</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(Accumulated</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4"/>
        </w:trPr>
        <w:tc>
          <w:tcPr>
            <w:tcW w:w="4620" w:type="dxa"/>
            <w:vAlign w:val="bottom"/>
            <w:gridSpan w:val="2"/>
          </w:tcPr>
          <w:p>
            <w:pPr>
              <w:ind w:left="1040"/>
              <w:spacing w:after="0"/>
              <w:rPr>
                <w:sz w:val="20"/>
                <w:szCs w:val="20"/>
                <w:color w:val="auto"/>
              </w:rPr>
            </w:pPr>
            <w:r>
              <w:rPr>
                <w:rFonts w:ascii="Arial" w:cs="Arial" w:eastAsia="Arial" w:hAnsi="Arial"/>
                <w:sz w:val="13"/>
                <w:szCs w:val="13"/>
                <w:i w:val="1"/>
                <w:iCs w:val="1"/>
                <w:color w:val="auto"/>
              </w:rPr>
              <w:t>(in thousands, except share and per share data)</w:t>
            </w:r>
          </w:p>
        </w:tc>
        <w:tc>
          <w:tcPr>
            <w:tcW w:w="10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Issuable</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Surplus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262"/>
        </w:trPr>
        <w:tc>
          <w:tcPr>
            <w:tcW w:w="4500" w:type="dxa"/>
            <w:vAlign w:val="bottom"/>
            <w:tcBorders>
              <w:top w:val="single" w:sz="8" w:color="auto"/>
            </w:tcBorders>
          </w:tcPr>
          <w:p>
            <w:pPr>
              <w:ind w:left="104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79,014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11,491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1,496,641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40,152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1,635,692</w:t>
            </w:r>
          </w:p>
        </w:tc>
        <w:tc>
          <w:tcPr>
            <w:tcW w:w="1000" w:type="dxa"/>
            <w:vAlign w:val="bottom"/>
            <w:shd w:val="clear" w:color="auto" w:fill="CCEEFF"/>
          </w:tcPr>
          <w:p>
            <w:pPr>
              <w:spacing w:after="0"/>
              <w:rPr>
                <w:sz w:val="24"/>
                <w:szCs w:val="24"/>
                <w:color w:val="auto"/>
              </w:rPr>
            </w:pPr>
          </w:p>
        </w:tc>
      </w:tr>
      <w:tr>
        <w:trPr>
          <w:trHeight w:val="262"/>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31,884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31,884</w:t>
            </w:r>
          </w:p>
        </w:tc>
        <w:tc>
          <w:tcPr>
            <w:tcW w:w="1000" w:type="dxa"/>
            <w:vAlign w:val="bottom"/>
          </w:tcPr>
          <w:p>
            <w:pPr>
              <w:spacing w:after="0"/>
              <w:rPr>
                <w:sz w:val="22"/>
                <w:szCs w:val="22"/>
                <w:color w:val="auto"/>
              </w:rPr>
            </w:pPr>
          </w:p>
        </w:tc>
      </w:tr>
      <w:tr>
        <w:trPr>
          <w:trHeight w:val="278"/>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10,475</w:t>
            </w:r>
          </w:p>
        </w:tc>
        <w:tc>
          <w:tcPr>
            <w:tcW w:w="1000" w:type="dxa"/>
            <w:vAlign w:val="bottom"/>
            <w:shd w:val="clear" w:color="auto" w:fill="CCEEFF"/>
          </w:tcPr>
          <w:p>
            <w:pPr>
              <w:spacing w:after="0"/>
              <w:rPr>
                <w:sz w:val="24"/>
                <w:szCs w:val="24"/>
                <w:color w:val="auto"/>
              </w:rPr>
            </w:pPr>
          </w:p>
        </w:tc>
      </w:tr>
      <w:tr>
        <w:trPr>
          <w:trHeight w:val="148"/>
        </w:trPr>
        <w:tc>
          <w:tcPr>
            <w:tcW w:w="462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Common stock issued to dividend reinvestment plan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8"/>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employee benefit plans (8,686 shares)</w:t>
            </w: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199</w:t>
            </w:r>
          </w:p>
        </w:tc>
        <w:tc>
          <w:tcPr>
            <w:tcW w:w="1000" w:type="dxa"/>
            <w:vAlign w:val="bottom"/>
          </w:tcPr>
          <w:p>
            <w:pPr>
              <w:spacing w:after="0"/>
              <w:rPr>
                <w:sz w:val="14"/>
                <w:szCs w:val="14"/>
                <w:color w:val="auto"/>
              </w:rPr>
            </w:pPr>
          </w:p>
        </w:tc>
      </w:tr>
      <w:tr>
        <w:trPr>
          <w:trHeight w:val="278"/>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Amortization of restricted stock awards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2,492</w:t>
            </w:r>
          </w:p>
        </w:tc>
        <w:tc>
          <w:tcPr>
            <w:tcW w:w="1000" w:type="dxa"/>
            <w:vAlign w:val="bottom"/>
            <w:shd w:val="clear" w:color="auto" w:fill="CCEEFF"/>
          </w:tcPr>
          <w:p>
            <w:pPr>
              <w:spacing w:after="0"/>
              <w:rPr>
                <w:sz w:val="24"/>
                <w:szCs w:val="24"/>
                <w:color w:val="auto"/>
              </w:rPr>
            </w:pPr>
          </w:p>
        </w:tc>
      </w:tr>
      <w:tr>
        <w:trPr>
          <w:trHeight w:val="148"/>
        </w:trPr>
        <w:tc>
          <w:tcPr>
            <w:tcW w:w="462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Vesting of restricted stock, net of shares surrendered to</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5"/>
        </w:trPr>
        <w:tc>
          <w:tcPr>
            <w:tcW w:w="4620" w:type="dxa"/>
            <w:vAlign w:val="bottom"/>
            <w:gridSpan w:val="2"/>
          </w:tcPr>
          <w:p>
            <w:pPr>
              <w:ind w:left="1040"/>
              <w:spacing w:after="0" w:line="135" w:lineRule="exact"/>
              <w:rPr>
                <w:sz w:val="20"/>
                <w:szCs w:val="20"/>
                <w:color w:val="auto"/>
              </w:rPr>
            </w:pPr>
            <w:r>
              <w:rPr>
                <w:rFonts w:ascii="Arial" w:cs="Arial" w:eastAsia="Arial" w:hAnsi="Arial"/>
                <w:sz w:val="13"/>
                <w:szCs w:val="13"/>
                <w:color w:val="auto"/>
              </w:rPr>
              <w:t>cover payroll taxes (24,005 shares issued and 23,967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8"/>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shares deferred)</w:t>
            </w: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665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(488)</w:t>
            </w:r>
          </w:p>
        </w:tc>
        <w:tc>
          <w:tcPr>
            <w:tcW w:w="1000" w:type="dxa"/>
            <w:vAlign w:val="bottom"/>
          </w:tcPr>
          <w:p>
            <w:pPr>
              <w:spacing w:after="0"/>
              <w:rPr>
                <w:sz w:val="14"/>
                <w:szCs w:val="14"/>
                <w:color w:val="auto"/>
              </w:rPr>
            </w:pPr>
          </w:p>
        </w:tc>
      </w:tr>
      <w:tr>
        <w:trPr>
          <w:trHeight w:val="278"/>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Purchases of common stock (826,482 shares)</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(20,782)</w:t>
            </w:r>
          </w:p>
        </w:tc>
        <w:tc>
          <w:tcPr>
            <w:tcW w:w="1000" w:type="dxa"/>
            <w:vAlign w:val="bottom"/>
            <w:shd w:val="clear" w:color="auto" w:fill="CCEEFF"/>
          </w:tcPr>
          <w:p>
            <w:pPr>
              <w:spacing w:after="0"/>
              <w:rPr>
                <w:sz w:val="24"/>
                <w:szCs w:val="24"/>
                <w:color w:val="auto"/>
              </w:rPr>
            </w:pPr>
          </w:p>
        </w:tc>
      </w:tr>
      <w:tr>
        <w:trPr>
          <w:trHeight w:val="148"/>
        </w:trPr>
        <w:tc>
          <w:tcPr>
            <w:tcW w:w="462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Deferred compensation plan, net, including dividend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8"/>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equivalents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156</w:t>
            </w:r>
          </w:p>
        </w:tc>
        <w:tc>
          <w:tcPr>
            <w:tcW w:w="1000" w:type="dxa"/>
            <w:vAlign w:val="bottom"/>
          </w:tcPr>
          <w:p>
            <w:pPr>
              <w:spacing w:after="0"/>
              <w:rPr>
                <w:sz w:val="14"/>
                <w:szCs w:val="14"/>
                <w:color w:val="auto"/>
              </w:rPr>
            </w:pPr>
          </w:p>
        </w:tc>
      </w:tr>
      <w:tr>
        <w:trPr>
          <w:trHeight w:val="15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Shares issued from deferred compensation plan, net of</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35"/>
        </w:trPr>
        <w:tc>
          <w:tcPr>
            <w:tcW w:w="4620" w:type="dxa"/>
            <w:vAlign w:val="bottom"/>
            <w:gridSpan w:val="2"/>
            <w:shd w:val="clear" w:color="auto" w:fill="CCEEFF"/>
          </w:tcPr>
          <w:p>
            <w:pPr>
              <w:ind w:left="1040"/>
              <w:spacing w:after="0" w:line="135" w:lineRule="exact"/>
              <w:rPr>
                <w:sz w:val="20"/>
                <w:szCs w:val="20"/>
                <w:color w:val="auto"/>
              </w:rPr>
            </w:pPr>
            <w:r>
              <w:rPr>
                <w:rFonts w:ascii="Arial" w:cs="Arial" w:eastAsia="Arial" w:hAnsi="Arial"/>
                <w:sz w:val="13"/>
                <w:szCs w:val="13"/>
                <w:color w:val="auto"/>
              </w:rPr>
              <w:t>shares surrendered to cover payroll taxes (63,606</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7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w:t>
            </w:r>
          </w:p>
        </w:tc>
        <w:tc>
          <w:tcPr>
            <w:tcW w:w="1000" w:type="dxa"/>
            <w:vAlign w:val="bottom"/>
            <w:shd w:val="clear" w:color="auto" w:fill="CCEEFF"/>
          </w:tcPr>
          <w:p>
            <w:pPr>
              <w:spacing w:after="0"/>
              <w:rPr>
                <w:sz w:val="15"/>
                <w:szCs w:val="15"/>
                <w:color w:val="auto"/>
              </w:rPr>
            </w:pPr>
          </w:p>
        </w:tc>
      </w:tr>
      <w:tr>
        <w:trPr>
          <w:trHeight w:val="262"/>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Common stock dividends ($0.18 per share)</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(14,301)</w:t>
            </w:r>
          </w:p>
        </w:tc>
        <w:tc>
          <w:tcPr>
            <w:tcW w:w="1000" w:type="dxa"/>
            <w:vAlign w:val="bottom"/>
          </w:tcPr>
          <w:p>
            <w:pPr>
              <w:spacing w:after="0"/>
              <w:rPr>
                <w:sz w:val="22"/>
                <w:szCs w:val="22"/>
                <w:color w:val="auto"/>
              </w:rPr>
            </w:pPr>
          </w:p>
        </w:tc>
      </w:tr>
      <w:tr>
        <w:trPr>
          <w:trHeight w:val="271"/>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Adoption of new accounting standard</w:t>
            </w: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(3,529)</w:t>
            </w:r>
          </w:p>
        </w:tc>
        <w:tc>
          <w:tcPr>
            <w:tcW w:w="1000" w:type="dxa"/>
            <w:vAlign w:val="bottom"/>
            <w:shd w:val="clear" w:color="auto" w:fill="CCEEFF"/>
          </w:tcPr>
          <w:p>
            <w:pPr>
              <w:spacing w:after="0"/>
              <w:rPr>
                <w:sz w:val="23"/>
                <w:szCs w:val="23"/>
                <w:color w:val="auto"/>
              </w:rPr>
            </w:pPr>
          </w:p>
        </w:tc>
      </w:tr>
      <w:tr>
        <w:trPr>
          <w:trHeight w:val="282"/>
        </w:trPr>
        <w:tc>
          <w:tcPr>
            <w:tcW w:w="4620" w:type="dxa"/>
            <w:vAlign w:val="bottom"/>
            <w:tcBorders>
              <w:bottom w:val="single" w:sz="8" w:color="CCEEFF"/>
            </w:tcBorders>
            <w:gridSpan w:val="2"/>
          </w:tcPr>
          <w:p>
            <w:pPr>
              <w:ind w:left="1040"/>
              <w:spacing w:after="0"/>
              <w:rPr>
                <w:sz w:val="20"/>
                <w:szCs w:val="20"/>
                <w:color w:val="auto"/>
              </w:rPr>
            </w:pPr>
            <w:r>
              <w:rPr>
                <w:rFonts w:ascii="Arial" w:cs="Arial" w:eastAsia="Arial" w:hAnsi="Arial"/>
                <w:sz w:val="13"/>
                <w:szCs w:val="13"/>
                <w:b w:val="1"/>
                <w:bCs w:val="1"/>
                <w:color w:val="auto"/>
              </w:rPr>
              <w:t>Balance, March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78,284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10,534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1,478,719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54,206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18,869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1,640,612</w:t>
            </w:r>
          </w:p>
        </w:tc>
        <w:tc>
          <w:tcPr>
            <w:tcW w:w="1000" w:type="dxa"/>
            <w:vAlign w:val="bottom"/>
            <w:tcBorders>
              <w:bottom w:val="single" w:sz="8" w:color="CCEEFF"/>
            </w:tcBorders>
          </w:tcPr>
          <w:p>
            <w:pPr>
              <w:spacing w:after="0"/>
              <w:rPr>
                <w:sz w:val="24"/>
                <w:szCs w:val="24"/>
                <w:color w:val="auto"/>
              </w:rPr>
            </w:pPr>
          </w:p>
        </w:tc>
      </w:tr>
      <w:tr>
        <w:trPr>
          <w:trHeight w:val="225"/>
        </w:trPr>
        <w:tc>
          <w:tcPr>
            <w:tcW w:w="4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2"/>
        </w:trPr>
        <w:tc>
          <w:tcPr>
            <w:tcW w:w="4500" w:type="dxa"/>
            <w:vAlign w:val="bottom"/>
          </w:tcPr>
          <w:p>
            <w:pPr>
              <w:ind w:left="104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8"/>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79,234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10,744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1,499,584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(90,419)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1,457,554</w:t>
            </w:r>
          </w:p>
        </w:tc>
        <w:tc>
          <w:tcPr>
            <w:tcW w:w="1000" w:type="dxa"/>
            <w:vAlign w:val="bottom"/>
            <w:shd w:val="clear" w:color="auto" w:fill="CCEEFF"/>
          </w:tcPr>
          <w:p>
            <w:pPr>
              <w:spacing w:after="0"/>
              <w:rPr>
                <w:sz w:val="24"/>
                <w:szCs w:val="24"/>
                <w:color w:val="auto"/>
              </w:rPr>
            </w:pPr>
          </w:p>
        </w:tc>
      </w:tr>
      <w:tr>
        <w:trPr>
          <w:trHeight w:val="262"/>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44,262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44,262</w:t>
            </w:r>
          </w:p>
        </w:tc>
        <w:tc>
          <w:tcPr>
            <w:tcW w:w="1000" w:type="dxa"/>
            <w:vAlign w:val="bottom"/>
          </w:tcPr>
          <w:p>
            <w:pPr>
              <w:spacing w:after="0"/>
              <w:rPr>
                <w:sz w:val="22"/>
                <w:szCs w:val="22"/>
                <w:color w:val="auto"/>
              </w:rPr>
            </w:pPr>
          </w:p>
        </w:tc>
      </w:tr>
      <w:tr>
        <w:trPr>
          <w:trHeight w:val="278"/>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Other comprehensive income</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25,594</w:t>
            </w:r>
          </w:p>
        </w:tc>
        <w:tc>
          <w:tcPr>
            <w:tcW w:w="1000" w:type="dxa"/>
            <w:vAlign w:val="bottom"/>
            <w:shd w:val="clear" w:color="auto" w:fill="CCEEFF"/>
          </w:tcPr>
          <w:p>
            <w:pPr>
              <w:spacing w:after="0"/>
              <w:rPr>
                <w:sz w:val="24"/>
                <w:szCs w:val="24"/>
                <w:color w:val="auto"/>
              </w:rPr>
            </w:pPr>
          </w:p>
        </w:tc>
      </w:tr>
      <w:tr>
        <w:trPr>
          <w:trHeight w:val="262"/>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Exercise of stock options (12,000 shares)</w:t>
            </w:r>
          </w:p>
        </w:tc>
        <w:tc>
          <w:tcPr>
            <w:tcW w:w="100" w:type="dxa"/>
            <w:vAlign w:val="bottom"/>
          </w:tcPr>
          <w:p>
            <w:pPr>
              <w:spacing w:after="0"/>
              <w:rPr>
                <w:sz w:val="22"/>
                <w:szCs w:val="22"/>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197</w:t>
            </w:r>
          </w:p>
        </w:tc>
        <w:tc>
          <w:tcPr>
            <w:tcW w:w="1000" w:type="dxa"/>
            <w:vAlign w:val="bottom"/>
          </w:tcPr>
          <w:p>
            <w:pPr>
              <w:spacing w:after="0"/>
              <w:rPr>
                <w:sz w:val="22"/>
                <w:szCs w:val="22"/>
                <w:color w:val="auto"/>
              </w:rPr>
            </w:pPr>
          </w:p>
        </w:tc>
      </w:tr>
      <w:tr>
        <w:trPr>
          <w:trHeight w:val="15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Common stock issued to dividend reinvestment plan and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employee benefit plans (8,445 shares)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w:t>
            </w:r>
          </w:p>
        </w:tc>
        <w:tc>
          <w:tcPr>
            <w:tcW w:w="1000" w:type="dxa"/>
            <w:vAlign w:val="bottom"/>
            <w:shd w:val="clear" w:color="auto" w:fill="CCEEFF"/>
          </w:tcPr>
          <w:p>
            <w:pPr>
              <w:spacing w:after="0"/>
              <w:rPr>
                <w:sz w:val="15"/>
                <w:szCs w:val="15"/>
                <w:color w:val="auto"/>
              </w:rPr>
            </w:pPr>
          </w:p>
        </w:tc>
      </w:tr>
      <w:tr>
        <w:trPr>
          <w:trHeight w:val="262"/>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Amortization of restricted stock awards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1,985</w:t>
            </w:r>
          </w:p>
        </w:tc>
        <w:tc>
          <w:tcPr>
            <w:tcW w:w="1000" w:type="dxa"/>
            <w:vAlign w:val="bottom"/>
          </w:tcPr>
          <w:p>
            <w:pPr>
              <w:spacing w:after="0"/>
              <w:rPr>
                <w:sz w:val="22"/>
                <w:szCs w:val="22"/>
                <w:color w:val="auto"/>
              </w:rPr>
            </w:pPr>
          </w:p>
        </w:tc>
      </w:tr>
      <w:tr>
        <w:trPr>
          <w:trHeight w:val="15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Vesting of restricted stock, net of shares surrendered to</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35"/>
        </w:trPr>
        <w:tc>
          <w:tcPr>
            <w:tcW w:w="4620" w:type="dxa"/>
            <w:vAlign w:val="bottom"/>
            <w:gridSpan w:val="2"/>
            <w:shd w:val="clear" w:color="auto" w:fill="CCEEFF"/>
          </w:tcPr>
          <w:p>
            <w:pPr>
              <w:ind w:left="1040"/>
              <w:spacing w:after="0" w:line="135" w:lineRule="exact"/>
              <w:rPr>
                <w:sz w:val="20"/>
                <w:szCs w:val="20"/>
                <w:color w:val="auto"/>
              </w:rPr>
            </w:pPr>
            <w:r>
              <w:rPr>
                <w:rFonts w:ascii="Arial" w:cs="Arial" w:eastAsia="Arial" w:hAnsi="Arial"/>
                <w:sz w:val="13"/>
                <w:szCs w:val="13"/>
                <w:color w:val="auto"/>
              </w:rPr>
              <w:t>cover payroll taxes (15,945 shares issued, 19,450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7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shares deferred)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0" w:type="dxa"/>
            <w:vAlign w:val="bottom"/>
            <w:shd w:val="clear" w:color="auto" w:fill="CCEEFF"/>
          </w:tcPr>
          <w:p>
            <w:pPr>
              <w:spacing w:after="0"/>
              <w:rPr>
                <w:sz w:val="15"/>
                <w:szCs w:val="15"/>
                <w:color w:val="auto"/>
              </w:rPr>
            </w:pPr>
          </w:p>
        </w:tc>
      </w:tr>
      <w:tr>
        <w:trPr>
          <w:trHeight w:val="262"/>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Purchases of common stock (305,052)</w:t>
            </w:r>
          </w:p>
        </w:tc>
        <w:tc>
          <w:tcPr>
            <w:tcW w:w="10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(7,840)</w:t>
            </w:r>
          </w:p>
        </w:tc>
        <w:tc>
          <w:tcPr>
            <w:tcW w:w="1000" w:type="dxa"/>
            <w:vAlign w:val="bottom"/>
          </w:tcPr>
          <w:p>
            <w:pPr>
              <w:spacing w:after="0"/>
              <w:rPr>
                <w:sz w:val="22"/>
                <w:szCs w:val="22"/>
                <w:color w:val="auto"/>
              </w:rPr>
            </w:pPr>
          </w:p>
        </w:tc>
      </w:tr>
      <w:tr>
        <w:trPr>
          <w:trHeight w:val="15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Deferred compensation plan, net, including dividend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6"/>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equivalents</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185</w:t>
            </w:r>
          </w:p>
        </w:tc>
        <w:tc>
          <w:tcPr>
            <w:tcW w:w="1000" w:type="dxa"/>
            <w:vAlign w:val="bottom"/>
            <w:shd w:val="clear" w:color="auto" w:fill="CCEEFF"/>
          </w:tcPr>
          <w:p>
            <w:pPr>
              <w:spacing w:after="0"/>
              <w:rPr>
                <w:sz w:val="15"/>
                <w:szCs w:val="15"/>
                <w:color w:val="auto"/>
              </w:rPr>
            </w:pPr>
          </w:p>
        </w:tc>
      </w:tr>
      <w:tr>
        <w:trPr>
          <w:trHeight w:val="148"/>
        </w:trPr>
        <w:tc>
          <w:tcPr>
            <w:tcW w:w="462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Shares issued from deferred compensation plan, net 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5"/>
        </w:trPr>
        <w:tc>
          <w:tcPr>
            <w:tcW w:w="4620" w:type="dxa"/>
            <w:vAlign w:val="bottom"/>
            <w:gridSpan w:val="2"/>
          </w:tcPr>
          <w:p>
            <w:pPr>
              <w:ind w:left="1040"/>
              <w:spacing w:after="0" w:line="135" w:lineRule="exact"/>
              <w:rPr>
                <w:sz w:val="20"/>
                <w:szCs w:val="20"/>
                <w:color w:val="auto"/>
              </w:rPr>
            </w:pPr>
            <w:r>
              <w:rPr>
                <w:rFonts w:ascii="Arial" w:cs="Arial" w:eastAsia="Arial" w:hAnsi="Arial"/>
                <w:sz w:val="13"/>
                <w:szCs w:val="13"/>
                <w:color w:val="auto"/>
              </w:rPr>
              <w:t>shares surrendered to cover payroll taxes (70,044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8"/>
        </w:trPr>
        <w:tc>
          <w:tcPr>
            <w:tcW w:w="4620" w:type="dxa"/>
            <w:vAlign w:val="bottom"/>
            <w:gridSpan w:val="2"/>
          </w:tcPr>
          <w:p>
            <w:pPr>
              <w:ind w:left="1040"/>
              <w:spacing w:after="0"/>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(232)</w:t>
            </w:r>
          </w:p>
        </w:tc>
        <w:tc>
          <w:tcPr>
            <w:tcW w:w="1000" w:type="dxa"/>
            <w:vAlign w:val="bottom"/>
          </w:tcPr>
          <w:p>
            <w:pPr>
              <w:spacing w:after="0"/>
              <w:rPr>
                <w:sz w:val="14"/>
                <w:szCs w:val="14"/>
                <w:color w:val="auto"/>
              </w:rPr>
            </w:pPr>
          </w:p>
        </w:tc>
      </w:tr>
      <w:tr>
        <w:trPr>
          <w:trHeight w:val="278"/>
        </w:trPr>
        <w:tc>
          <w:tcPr>
            <w:tcW w:w="46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Common stock dividends ($0.16 per share)</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(12,867)</w:t>
            </w:r>
          </w:p>
        </w:tc>
        <w:tc>
          <w:tcPr>
            <w:tcW w:w="1000" w:type="dxa"/>
            <w:vAlign w:val="bottom"/>
            <w:shd w:val="clear" w:color="auto" w:fill="CCEEFF"/>
          </w:tcPr>
          <w:p>
            <w:pPr>
              <w:spacing w:after="0"/>
              <w:rPr>
                <w:sz w:val="24"/>
                <w:szCs w:val="24"/>
                <w:color w:val="auto"/>
              </w:rPr>
            </w:pPr>
          </w:p>
        </w:tc>
      </w:tr>
      <w:tr>
        <w:trPr>
          <w:trHeight w:val="263"/>
        </w:trPr>
        <w:tc>
          <w:tcPr>
            <w:tcW w:w="4620" w:type="dxa"/>
            <w:vAlign w:val="bottom"/>
            <w:tcBorders>
              <w:bottom w:val="single" w:sz="8" w:color="CCEEFF"/>
            </w:tcBorders>
            <w:gridSpan w:val="2"/>
          </w:tcPr>
          <w:p>
            <w:pPr>
              <w:ind w:left="1040"/>
              <w:spacing w:after="0"/>
              <w:rPr>
                <w:sz w:val="20"/>
                <w:szCs w:val="20"/>
                <w:color w:val="auto"/>
              </w:rPr>
            </w:pPr>
            <w:r>
              <w:rPr>
                <w:rFonts w:ascii="Arial" w:cs="Arial" w:eastAsia="Arial" w:hAnsi="Arial"/>
                <w:sz w:val="13"/>
                <w:szCs w:val="13"/>
                <w:color w:val="auto"/>
              </w:rPr>
              <w:t>Adoption of new accounting standard</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w:t>
            </w:r>
          </w:p>
        </w:tc>
        <w:tc>
          <w:tcPr>
            <w:tcW w:w="1000" w:type="dxa"/>
            <w:vAlign w:val="bottom"/>
            <w:tcBorders>
              <w:bottom w:val="single" w:sz="8" w:color="CCEEFF"/>
            </w:tcBorders>
          </w:tcPr>
          <w:p>
            <w:pPr>
              <w:spacing w:after="0"/>
              <w:rPr>
                <w:sz w:val="22"/>
                <w:szCs w:val="22"/>
                <w:color w:val="auto"/>
              </w:rPr>
            </w:pPr>
          </w:p>
        </w:tc>
      </w:tr>
      <w:tr>
        <w:trPr>
          <w:trHeight w:val="242"/>
        </w:trPr>
        <w:tc>
          <w:tcPr>
            <w:tcW w:w="46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3"/>
                <w:szCs w:val="13"/>
                <w:b w:val="1"/>
                <w:bCs w:val="1"/>
                <w:color w:val="auto"/>
              </w:rPr>
              <w:t>Balance, March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79,035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9"/>
              </w:rPr>
              <w:t>1,494,400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(59,573)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9"/>
              </w:rPr>
              <w:t>1,508,158</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4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3"/>
                <w:szCs w:val="13"/>
                <w:b w:val="1"/>
                <w:bCs w:val="1"/>
                <w:color w:val="auto"/>
              </w:rPr>
              <w:t>Three Months Ended March 31,</w:t>
            </w:r>
          </w:p>
        </w:tc>
      </w:tr>
      <w:tr>
        <w:trPr>
          <w:trHeight w:val="263"/>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2019</w:t>
            </w:r>
          </w:p>
        </w:tc>
      </w:tr>
      <w:tr>
        <w:trPr>
          <w:trHeight w:val="257"/>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Net income</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31,884</w:t>
            </w:r>
          </w:p>
        </w:tc>
        <w:tc>
          <w:tcPr>
            <w:tcW w:w="100" w:type="dxa"/>
            <w:vAlign w:val="bottom"/>
          </w:tcPr>
          <w:p>
            <w:pPr>
              <w:spacing w:after="0"/>
              <w:rPr>
                <w:sz w:val="22"/>
                <w:szCs w:val="22"/>
                <w:color w:val="auto"/>
              </w:rPr>
            </w:pPr>
          </w:p>
        </w:tc>
        <w:tc>
          <w:tcPr>
            <w:tcW w:w="2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44,262</w:t>
            </w: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8680" w:type="dxa"/>
            <w:vAlign w:val="bottom"/>
            <w:gridSpan w:val="2"/>
          </w:tcPr>
          <w:p>
            <w:pPr>
              <w:ind w:left="280"/>
              <w:spacing w:after="0"/>
              <w:rPr>
                <w:sz w:val="20"/>
                <w:szCs w:val="20"/>
                <w:color w:val="auto"/>
              </w:rPr>
            </w:pPr>
            <w:r>
              <w:rPr>
                <w:rFonts w:ascii="Arial" w:cs="Arial" w:eastAsia="Arial" w:hAnsi="Arial"/>
                <w:sz w:val="13"/>
                <w:szCs w:val="13"/>
                <w:color w:val="auto"/>
              </w:rPr>
              <w:t>Depreciation, amortization and accretion</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1,894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6,373</w:t>
            </w: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Provision for credit losses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22,191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3,300</w:t>
            </w:r>
          </w:p>
        </w:tc>
      </w:tr>
      <w:tr>
        <w:trPr>
          <w:trHeight w:val="263"/>
        </w:trPr>
        <w:tc>
          <w:tcPr>
            <w:tcW w:w="8680" w:type="dxa"/>
            <w:vAlign w:val="bottom"/>
            <w:gridSpan w:val="2"/>
          </w:tcPr>
          <w:p>
            <w:pPr>
              <w:ind w:left="280"/>
              <w:spacing w:after="0"/>
              <w:rPr>
                <w:sz w:val="20"/>
                <w:szCs w:val="20"/>
                <w:color w:val="auto"/>
              </w:rPr>
            </w:pPr>
            <w:r>
              <w:rPr>
                <w:rFonts w:ascii="Arial" w:cs="Arial" w:eastAsia="Arial" w:hAnsi="Arial"/>
                <w:sz w:val="13"/>
                <w:szCs w:val="13"/>
                <w:color w:val="auto"/>
              </w:rPr>
              <w:t>Stock based compensation</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2,492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1,985</w:t>
            </w: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Deferred income tax expense</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658</w:t>
            </w:r>
          </w:p>
        </w:tc>
      </w:tr>
      <w:tr>
        <w:trPr>
          <w:trHeight w:val="263"/>
        </w:trPr>
        <w:tc>
          <w:tcPr>
            <w:tcW w:w="8680" w:type="dxa"/>
            <w:vAlign w:val="bottom"/>
            <w:gridSpan w:val="2"/>
          </w:tcPr>
          <w:p>
            <w:pPr>
              <w:ind w:left="280"/>
              <w:spacing w:after="0"/>
              <w:rPr>
                <w:sz w:val="20"/>
                <w:szCs w:val="20"/>
                <w:color w:val="auto"/>
              </w:rPr>
            </w:pPr>
            <w:r>
              <w:rPr>
                <w:rFonts w:ascii="Arial" w:cs="Arial" w:eastAsia="Arial" w:hAnsi="Arial"/>
                <w:sz w:val="13"/>
                <w:szCs w:val="13"/>
                <w:color w:val="auto"/>
              </w:rPr>
              <w:t>Securities losses, net</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267</w:t>
            </w: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Gains from sales of other loans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(1,303)</w:t>
            </w:r>
          </w:p>
        </w:tc>
      </w:tr>
      <w:tr>
        <w:trPr>
          <w:trHeight w:val="263"/>
        </w:trPr>
        <w:tc>
          <w:tcPr>
            <w:tcW w:w="8680" w:type="dxa"/>
            <w:vAlign w:val="bottom"/>
            <w:gridSpan w:val="2"/>
          </w:tcPr>
          <w:p>
            <w:pPr>
              <w:ind w:left="280"/>
              <w:spacing w:after="0"/>
              <w:rPr>
                <w:sz w:val="20"/>
                <w:szCs w:val="20"/>
                <w:color w:val="auto"/>
              </w:rPr>
            </w:pPr>
            <w:r>
              <w:rPr>
                <w:rFonts w:ascii="Arial" w:cs="Arial" w:eastAsia="Arial" w:hAnsi="Arial"/>
                <w:sz w:val="13"/>
                <w:szCs w:val="13"/>
                <w:color w:val="auto"/>
              </w:rPr>
              <w:t>Changes in assets and liabilities: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8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Other assets and accrued interest receivable</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(6,251)</w:t>
            </w:r>
          </w:p>
        </w:tc>
      </w:tr>
      <w:tr>
        <w:trPr>
          <w:trHeight w:val="263"/>
        </w:trPr>
        <w:tc>
          <w:tcPr>
            <w:tcW w:w="8680" w:type="dxa"/>
            <w:vAlign w:val="bottom"/>
            <w:gridSpan w:val="2"/>
          </w:tcPr>
          <w:p>
            <w:pPr>
              <w:ind w:left="380"/>
              <w:spacing w:after="0"/>
              <w:rPr>
                <w:sz w:val="20"/>
                <w:szCs w:val="20"/>
                <w:color w:val="auto"/>
              </w:rPr>
            </w:pPr>
            <w:r>
              <w:rPr>
                <w:rFonts w:ascii="Arial" w:cs="Arial" w:eastAsia="Arial" w:hAnsi="Arial"/>
                <w:sz w:val="13"/>
                <w:szCs w:val="13"/>
                <w:color w:val="auto"/>
              </w:rPr>
              <w:t>Accrued expenses and other liabilities</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8,456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(5,994)</w:t>
            </w:r>
          </w:p>
        </w:tc>
      </w:tr>
      <w:tr>
        <w:trPr>
          <w:trHeight w:val="277"/>
        </w:trPr>
        <w:tc>
          <w:tcPr>
            <w:tcW w:w="8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Loans held for sale</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(31,475)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(7,406)</w:t>
            </w:r>
          </w:p>
        </w:tc>
      </w:tr>
      <w:tr>
        <w:trPr>
          <w:trHeight w:val="244"/>
        </w:trPr>
        <w:tc>
          <w:tcPr>
            <w:tcW w:w="86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Net cash (used in) provided by operating activities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(10,791)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35,891</w:t>
            </w:r>
          </w:p>
        </w:tc>
      </w:tr>
      <w:tr>
        <w:trPr>
          <w:trHeight w:val="229"/>
        </w:trPr>
        <w:tc>
          <w:tcPr>
            <w:tcW w:w="8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3"/>
        </w:trPr>
        <w:tc>
          <w:tcPr>
            <w:tcW w:w="8680" w:type="dxa"/>
            <w:vAlign w:val="bottom"/>
            <w:gridSpan w:val="2"/>
          </w:tcPr>
          <w:p>
            <w:pPr>
              <w:ind w:left="40"/>
              <w:spacing w:after="0"/>
              <w:rPr>
                <w:sz w:val="20"/>
                <w:szCs w:val="20"/>
                <w:color w:val="auto"/>
              </w:rPr>
            </w:pPr>
            <w:r>
              <w:rPr>
                <w:rFonts w:ascii="Arial" w:cs="Arial" w:eastAsia="Arial" w:hAnsi="Arial"/>
                <w:sz w:val="13"/>
                <w:szCs w:val="13"/>
                <w:b w:val="1"/>
                <w:bCs w:val="1"/>
                <w:color w:val="auto"/>
              </w:rPr>
              <w:t>Investing activities: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Debt securities held-to-maturity:</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3"/>
        </w:trPr>
        <w:tc>
          <w:tcPr>
            <w:tcW w:w="8680" w:type="dxa"/>
            <w:vAlign w:val="bottom"/>
            <w:gridSpan w:val="2"/>
          </w:tcPr>
          <w:p>
            <w:pPr>
              <w:ind w:left="280"/>
              <w:spacing w:after="0"/>
              <w:rPr>
                <w:sz w:val="20"/>
                <w:szCs w:val="20"/>
                <w:color w:val="auto"/>
              </w:rPr>
            </w:pPr>
            <w:r>
              <w:rPr>
                <w:rFonts w:ascii="Arial" w:cs="Arial" w:eastAsia="Arial" w:hAnsi="Arial"/>
                <w:sz w:val="13"/>
                <w:szCs w:val="13"/>
                <w:color w:val="auto"/>
              </w:rPr>
              <w:t>Proceeds from maturities and calls</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9,085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9,049</w:t>
            </w: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Purchases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Debt securities available-for-sale and equity securities: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Proceeds from sales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178,604</w:t>
            </w:r>
          </w:p>
        </w:tc>
      </w:tr>
      <w:tr>
        <w:trPr>
          <w:trHeight w:val="263"/>
        </w:trPr>
        <w:tc>
          <w:tcPr>
            <w:tcW w:w="8680" w:type="dxa"/>
            <w:vAlign w:val="bottom"/>
            <w:gridSpan w:val="2"/>
          </w:tcPr>
          <w:p>
            <w:pPr>
              <w:ind w:left="280"/>
              <w:spacing w:after="0"/>
              <w:rPr>
                <w:sz w:val="20"/>
                <w:szCs w:val="20"/>
                <w:color w:val="auto"/>
              </w:rPr>
            </w:pPr>
            <w:r>
              <w:rPr>
                <w:rFonts w:ascii="Arial" w:cs="Arial" w:eastAsia="Arial" w:hAnsi="Arial"/>
                <w:sz w:val="13"/>
                <w:szCs w:val="13"/>
                <w:color w:val="auto"/>
              </w:rPr>
              <w:t>Proceeds from maturities and calls</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105,247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60,779</w:t>
            </w: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Purchases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(34,729)</w:t>
            </w: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Net increase in loans</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(110,222)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(90,380)</w:t>
            </w: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Proceeds from sales of premises and equipment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105</w:t>
            </w: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Purchases of premises and equipment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(2,596)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(11,686)</w:t>
            </w: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Proceeds from sale of other real estate</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974</w:t>
            </w:r>
          </w:p>
        </w:tc>
      </w:tr>
      <w:tr>
        <w:trPr>
          <w:trHeight w:val="264"/>
        </w:trPr>
        <w:tc>
          <w:tcPr>
            <w:tcW w:w="8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Other investing activities, net</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r>
      <w:tr>
        <w:trPr>
          <w:trHeight w:val="250"/>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(84,985)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112,716</w:t>
            </w: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Financing activities: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Net increase in deposits</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137,783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117</w:t>
            </w: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Repayment of long-term debt</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(10,110)</w:t>
            </w: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Proceeds from FHLB advances</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5,000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780,000</w:t>
            </w: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Repayment of FHLB advances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(900,000)</w:t>
            </w: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Proceeds from issuance of common stock for dividend reinvestment and employee benefit plans</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186</w:t>
            </w: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Proceeds from exercise of stock options</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197</w:t>
            </w: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Cash paid for shares withheld to cover payroll taxes upon vesting of restricted stock</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(549)</w:t>
            </w:r>
          </w:p>
        </w:tc>
      </w:tr>
      <w:tr>
        <w:trPr>
          <w:trHeight w:val="277"/>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Repurchase of common stock</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(7,342)</w:t>
            </w:r>
          </w:p>
        </w:tc>
      </w:tr>
      <w:tr>
        <w:trPr>
          <w:trHeight w:val="264"/>
        </w:trPr>
        <w:tc>
          <w:tcPr>
            <w:tcW w:w="8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Cash dividends on common stock</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(12,876)</w:t>
            </w:r>
          </w:p>
        </w:tc>
      </w:tr>
      <w:tr>
        <w:trPr>
          <w:trHeight w:val="250"/>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101,072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(150,377)</w:t>
            </w:r>
          </w:p>
        </w:tc>
      </w:tr>
      <w:tr>
        <w:trPr>
          <w:trHeight w:val="229"/>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Net change in cash and cash equivalents, including restricted cash</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5,296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(1,770)</w:t>
            </w: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Cash and cash equivalents, including restricted cash, at beginning of period</w:t>
            </w: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515,206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327,265</w:t>
            </w: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 including restricted cash, at end of period</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520,502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325,495</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8680" w:type="dxa"/>
            <w:vAlign w:val="bottom"/>
            <w:gridSpan w:val="2"/>
          </w:tcPr>
          <w:p>
            <w:pPr>
              <w:ind w:left="180"/>
              <w:spacing w:after="0"/>
              <w:rPr>
                <w:sz w:val="20"/>
                <w:szCs w:val="20"/>
                <w:color w:val="auto"/>
              </w:rPr>
            </w:pPr>
            <w:r>
              <w:rPr>
                <w:rFonts w:ascii="Arial" w:cs="Arial" w:eastAsia="Arial" w:hAnsi="Arial"/>
                <w:sz w:val="13"/>
                <w:szCs w:val="13"/>
                <w:color w:val="auto"/>
              </w:rPr>
              <w:t>Significant non-cash investing and financing transactions: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Unsettled government guaranteed loan sales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13,934</w:t>
            </w:r>
          </w:p>
        </w:tc>
      </w:tr>
      <w:tr>
        <w:trPr>
          <w:trHeight w:val="263"/>
        </w:trPr>
        <w:tc>
          <w:tcPr>
            <w:tcW w:w="8680" w:type="dxa"/>
            <w:vAlign w:val="bottom"/>
            <w:gridSpan w:val="2"/>
          </w:tcPr>
          <w:p>
            <w:pPr>
              <w:ind w:left="280"/>
              <w:spacing w:after="0"/>
              <w:rPr>
                <w:sz w:val="20"/>
                <w:szCs w:val="20"/>
                <w:color w:val="auto"/>
              </w:rPr>
            </w:pPr>
            <w:r>
              <w:rPr>
                <w:rFonts w:ascii="Arial" w:cs="Arial" w:eastAsia="Arial" w:hAnsi="Arial"/>
                <w:sz w:val="13"/>
                <w:szCs w:val="13"/>
                <w:color w:val="auto"/>
              </w:rPr>
              <w:t>Transfers of loans to foreclosed properties</w:t>
            </w:r>
          </w:p>
        </w:tc>
        <w:tc>
          <w:tcPr>
            <w:tcW w:w="220" w:type="dxa"/>
            <w:vAlign w:val="bottom"/>
          </w:tcPr>
          <w:p>
            <w:pPr>
              <w:spacing w:after="0"/>
              <w:rPr>
                <w:sz w:val="22"/>
                <w:szCs w:val="2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751</w:t>
            </w:r>
          </w:p>
        </w:tc>
      </w:tr>
      <w:tr>
        <w:trPr>
          <w:trHeight w:val="277"/>
        </w:trPr>
        <w:tc>
          <w:tcPr>
            <w:tcW w:w="86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Unsettled repurchases of common stock</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498</w:t>
            </w:r>
          </w:p>
        </w:tc>
      </w:tr>
    </w:tbl>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693" w:right="339" w:bottom="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693" w:right="33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and its subsidiaries (collectively referred to herein as “United”)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In addition to those items mentioned below, a more detailed description of United’s accounting policies is included in its Annual Report on Form 10-K for the year ended December 31, 2019 (the “2019 10-K”).</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2019 10-K. Certain amounts reported in prior periods' consolidated financial statements have been reclassified to conform to the current 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Securities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Debt securities are classified as held-to-maturity and carried at amortized cost when management has the positive intent and ability to hold them to maturity. Debt securities are classified as available-for-sale when they might be sold before maturity. Securities available-for-sale are carried at fair value, with unrealized holding gains and losses reported in other comprehensive income, net of tax.</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income includes amortization of purchase premiums or discounts. Premiums and discounts on securities are generally amortized on the level-yield method without anticipating prepayments, except for mortgage-backed securities where prepayments are anticipated. Premiums on callable debt securities are amortized to their earliest call date. Gains and losses on sales are recorded on the trade date and determined using the specific identification method.</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sheets.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debt security is placed on nonaccrual status at the time any principal or interest payments become 90 days delinquent. Interest accrued but not received for a security placed on non-accrual is reversed against interest income.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Allowance for Credit Losses (“ACL”) - Held-to-Maturity Securities: </w:t>
      </w:r>
      <w:r>
        <w:rPr>
          <w:rFonts w:ascii="Arial" w:cs="Arial" w:eastAsia="Arial" w:hAnsi="Arial"/>
          <w:sz w:val="18"/>
          <w:szCs w:val="18"/>
          <w:color w:val="auto"/>
        </w:rPr>
        <w:t>Management measures expected credit losses on held-to-maturity debt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on a collective basis by major security type. Accrued interest receivable on held-to-maturity debt securities totaled $1.07 million at March 31, 2020 and was excluded from the estimate of credit losses.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 of expected credit losses considers historical credit loss information that is adjusted for current conditions and reasonable and supportable forecasts. Management classifies the held-to-maturity portfolio into the following major security types: State and political subdivisions, residential mortgage-backed, agency and commercial mortgage-backed, agency.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residential and commercial mortgage-backed securities held by United are issued by U.S. government agencies. These securities are either explicitly or implicitly guaranteed by the U.S. government, are highly rated by major rating agencies and have a long history of no credit losses. The state and political subdivision securities are highly rated by major rating agencies. As a result, no ACL was recorded on the held-to-maturity portfolio at March 31, 2020.</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ACL - Available-For-Sale Securities: </w:t>
      </w:r>
      <w:r>
        <w:rPr>
          <w:rFonts w:ascii="Arial" w:cs="Arial" w:eastAsia="Arial" w:hAnsi="Arial"/>
          <w:sz w:val="16"/>
          <w:szCs w:val="16"/>
          <w:color w:val="auto"/>
        </w:rPr>
        <w:t>For available-for-sale debt securities in an unrealized loss position, United first assesses whether it intends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United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is less than the amortized cost basis. Any amount of unrealized loss that has not been recorded through an ACL is recognized in other comprehensive income.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ACL are recorded as provision for (or reversal of) credit loss expense. Losses are charged against the ACL when management believes the uncollectibility of an available-for-sale security is confirmed or when either of the criteria regarding intent or requirement to sell is met. At March 31, 2020, there was no ACL related to the available-for-sale portfolio.</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Accrued interest receivable on available-for-sale debt securities totaled $8.83 million at March 31, 2020 and was excluded from the estimate of credit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and deferred fees and costs. Accrued interest receivable related to loans totaled $21.2 million at March 31, 2020 and was reported in accrued interest receivable on the consolidated balance sheets. Interest income is accrued on the unpaid principal balance. Loan origination fees, net of certain direct origination costs, are deferred and recognized in interest income using methods that approximate a level yield without anticipating prepayments.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accrual of interest is discontinued when a loan becomes 90 days past due and is not well collateralized and in the process of collection, or when management believes, after considering economic and business conditions and collection efforts, that the principal or interest will not be collectible in the normal course of business. Past due status is based on contractual terms of the loan.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on the cost-recovery method, until qualifying for return to accrual. Under the cost-recovery method, interest income is not recognized until the loan balance is reduced to zero. Loans are returned to accrual status when all the principal and interest amounts contractually due are brought current, there is a sustained period of repayment performance and future payments are reasonably assured.</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Equipment Financing Lease Receivables: </w:t>
      </w:r>
      <w:r>
        <w:rPr>
          <w:rFonts w:ascii="Arial" w:cs="Arial" w:eastAsia="Arial" w:hAnsi="Arial"/>
          <w:sz w:val="17"/>
          <w:szCs w:val="17"/>
          <w:color w:val="auto"/>
        </w:rPr>
        <w:t>Equipment financing lease receivables, which are classified as sales-type or direct financing leases, are</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the sum of the future minimum lease payments, initial deferred costs and estimated or contractual residual values less unearned income and security deposits.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taxes from consideration in these lease contracts.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Purchased Credit Deteriorated (“PCD”) Loans: </w:t>
      </w:r>
      <w:r>
        <w:rPr>
          <w:rFonts w:ascii="Arial" w:cs="Arial" w:eastAsia="Arial" w:hAnsi="Arial"/>
          <w:sz w:val="18"/>
          <w:szCs w:val="18"/>
          <w:color w:val="auto"/>
        </w:rPr>
        <w:t>Upon adoption of Accounting Standards Codification (“ASC”) Topic 326, Financial Instruments -</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Losses (“ASC 326”), loans that were designated as purchased credit impaired (“PCI”) loans under the previous accounting guidance were classified as PCD loans without reassessment.</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future acquisitions, United may purchase loans, some of which have experienced more than insignificant credit deterioration since origination. In those cases, United will consider internal loan grades, delinquency status and other relevant factors in assessing whether purchased loans are PCD. PCD loans are recorded at the amount paid. An initial ACL is determined using the same methodology as other loans held for investment, but with no impact to earnings. The initial ACL determined on a collective basis is allocated to individual loans. The sum of the loan's purchase price and ACL becomes its initial amortized cost basis.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ACL - Loans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ACL is a valuation account that is deducted from the loans' amortized cost basis to present the net amount expected to be collected on the loans. Loans are charged off against the ACL when management believes the uncollectibility of a loan balance is confirmed. Expected recoveries do not exceed the aggregate of amounts previously charged-off and expected to be charged-off. Accrued interest receivable is excluded from the estimate of credit losses.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determines the ACL balance using relevant available information, from internal and external sources, relating to past events, current conditions, and reasonable and supportable forecasts. Historical credit behaviors along with model judgments provide the basis for the estimation of expected credit losses. Adjustments to modeled loss estimates may be made for differences in current loan-specific risk characteristics such as differences in underwriting standards, portfolio mix, delinquency level, or term as well as for changes in environmental conditions, such as changes in economic conditions, property values, or other relevant factors.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is measured on a collective basis when similar risk characteristics exist. United has identified the following portfolio segments and calculates the ACL for each using a discounted cash flow methodology at the loan level, with loss rates, prepayment assumptions and curtailment assumptions driven by each loan’s collateral type: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Owner occupied commercial real estate - </w:t>
      </w:r>
      <w:r>
        <w:rPr>
          <w:rFonts w:ascii="Arial" w:cs="Arial" w:eastAsia="Arial" w:hAnsi="Arial"/>
          <w:sz w:val="18"/>
          <w:szCs w:val="18"/>
          <w:color w:val="auto"/>
        </w:rPr>
        <w:t>Loans in this category are susceptible to business failure and general economic conditions.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declines in occupancy rates, and lack of suitable alternative use for the property.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Commercial &amp; industrial - </w:t>
      </w:r>
      <w:r>
        <w:rPr>
          <w:rFonts w:ascii="Arial" w:cs="Arial" w:eastAsia="Arial" w:hAnsi="Arial"/>
          <w:sz w:val="18"/>
          <w:szCs w:val="18"/>
          <w:color w:val="auto"/>
        </w:rPr>
        <w:t>Risks to this loan category include the inability to monitor the condition of the collateral which often consists of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and other non-real estate assets. Equipment and inventory obsolescence can also pose a risk. Declines in general economic conditions and other events can cause cash flows to fall to levels insufficient to service debt.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Commercial construction - </w:t>
      </w:r>
      <w:r>
        <w:rPr>
          <w:rFonts w:ascii="Arial" w:cs="Arial" w:eastAsia="Arial" w:hAnsi="Arial"/>
          <w:sz w:val="18"/>
          <w:szCs w:val="18"/>
          <w:color w:val="auto"/>
        </w:rPr>
        <w:t>Risks common to commercial construction loans are cost overruns, changes in market demand for property, inadequate long-term financing arrangements and declines in real estate values.</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Equipment financing - </w:t>
      </w:r>
      <w:r>
        <w:rPr>
          <w:rFonts w:ascii="Arial" w:cs="Arial" w:eastAsia="Arial" w:hAnsi="Arial"/>
          <w:sz w:val="17"/>
          <w:szCs w:val="17"/>
          <w:color w:val="auto"/>
        </w:rPr>
        <w:t>Risks associated with equipment financing are similar to those described for commercial and industrial loans, including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conditions, as well as appropriate lien priority on equipment, equipment obsolescence and the general mobility of the collateral.</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Residential mortgage - </w:t>
      </w:r>
      <w:r>
        <w:rPr>
          <w:rFonts w:ascii="Arial" w:cs="Arial" w:eastAsia="Arial" w:hAnsi="Arial"/>
          <w:sz w:val="18"/>
          <w:szCs w:val="18"/>
          <w:color w:val="auto"/>
        </w:rPr>
        <w:t>Residential mortgage loans are susceptible to weakening general economic conditions, increases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including an increase in unemployment rates,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declining real estate values which reduce or eliminate the borrower’s home equity.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Residential construction - </w:t>
      </w:r>
      <w:r>
        <w:rPr>
          <w:rFonts w:ascii="Arial" w:cs="Arial" w:eastAsia="Arial" w:hAnsi="Arial"/>
          <w:sz w:val="18"/>
          <w:szCs w:val="18"/>
          <w:color w:val="auto"/>
        </w:rPr>
        <w:t>Residential construction loans are susceptible to the same risks as residential mortgage loans. Changes in market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lead to longer marketing times resulting in higher carrying costs and declining values.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Consumer - </w:t>
      </w:r>
      <w:r>
        <w:rPr>
          <w:rFonts w:ascii="Arial" w:cs="Arial" w:eastAsia="Arial" w:hAnsi="Arial"/>
          <w:sz w:val="18"/>
          <w:szCs w:val="18"/>
          <w:color w:val="auto"/>
        </w:rPr>
        <w:t>Risks common to consumer direct loans include unemployment and changes in local economic conditions as well as the inability to monitor</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consisting of personal property.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management determines that foreclosure is probable or when the borrower is experiencing financial difficulty at the reporting date and repayment is expected to be provided substantially through the operation or sale of the collateral, expected credit losses are based on the fair value of the collateral at the reporting date, adjusted for selling costs as appropriate.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discounted cash flow method is used to determine the ACL, management adjusts the effective interest rate used to discount expected cash flows to incorporate expected prepayments.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Determining the Contractual Term: </w:t>
      </w:r>
      <w:r>
        <w:rPr>
          <w:rFonts w:ascii="Arial" w:cs="Arial" w:eastAsia="Arial" w:hAnsi="Arial"/>
          <w:sz w:val="17"/>
          <w:szCs w:val="17"/>
          <w:color w:val="auto"/>
        </w:rPr>
        <w:t>Expected credit losses are estimated over the contractual term of the loans, adjusted for expected prepayments when</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The contractual term excludes expected extensions, renewals, and modifications unless either of the following applies: management has a reasonable expectation at the reporting date that a troubled debt restructuring will be executed with an individual borrower or the extension or renewal options are included in the original or modified contract at the reporting date and are not unconditionally cancellable by United.</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Troubled Debt Restructurings (“TDR”s): </w:t>
      </w:r>
      <w:r>
        <w:rPr>
          <w:rFonts w:ascii="Arial" w:cs="Arial" w:eastAsia="Arial" w:hAnsi="Arial"/>
          <w:sz w:val="18"/>
          <w:szCs w:val="18"/>
          <w:color w:val="auto"/>
        </w:rPr>
        <w:t>A loan for which the terms have been modified resulting in a more than insignificant concession, and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is experiencing financial difficulties, is generally considered to be a TDR. The ACL on a TDR is measured using the same method as all other loans held for investment, except that the original interest rate is used to discount the expected cash flows, not the rate specified within the restructuring. As discussed in Note 2, certain modifications in the first quarter of 2020 were excluded from the TDR population based on relief provided by the Coronavirus Aid, Relief, and Economic Security Act (“CARES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ACL - Off-Balance Sheet Credit Exposures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estimates expected credit losses on commitments to extend credit over the contractual period in which United is exposed to credit risk on the underlying commitments. The ACL on off-balance sheet credit exposures is adjusted as a provision for credit loss expense. The estimate includes consideration of the likelihood that funding will occur and an estimate of expected credit losses on commitments expected to be funded over its estimated life. The ACL is calculated using the same aggregate reserve rates calculated for the funded portion of loans at the portfolio level applied to the amount of commitments expected to fund.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 2020, United adopted ASC 326</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replaced the incurred loss impairment framework in prior GAAP with a current expected credit loss (“CECL”) framework, which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ACL. PCD loans will receive an initial allowance at the acquisition date that represents an adjustment to the amortized cost basis of the loan, with no impact to earnings. Credit losses relating to available-for-sale debt securities will be recorded through an ACL prospectively, with such allowance limited to the amount by which fair value is below amortized cost.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 adopted ASC 326 as of January 1, 2020 using the modified retrospective method for loans, leases and off-balance sheet credit exposures. Adoption of this guidance resulted in an $8.75 million increase in the ACL, comprised of increases in the ACL for loans of $6.88 million and the ACL for unfunded commitments of $1.87 million, with $3.59 million of the increase reclassified from the amortized cost basis of PCD financial assets that were previously classified as PCI. The cumulative effect adjustment to retained earnings was $3.53 million, net of tax. Calculated credit losses on held-to-maturity debt securities were not material and there was no impact to the available-for-sale securities portfolio or other financial instruments. Results for reporting periods beginning after January 1, 2020 are presented under ASC 326 while prior period amounts continue to be reported in accordance with previously applicable GAAP (“Incurred Loss”).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ACL for the majority of loans and leases was calculated using a discounted cash flow methodology applied at a loan level with a one-year reasonable and supportable forecast period and a two-year straight-line reversion period. In connection with the adoption, management has implemented changes to relevant systems, processes and controls where necessary. Model validation was completed during the fourth quarter of 2019 and implementation of the accounting, reporting and governance processes to comply with the new guidance was completed in the first quarter of 2020. United’s CECL allowance will fluctuate over time due to macroeconomic conditions and forecasts as well as the size and composition of the loan portfolios. Federal banking regulatory agencies have provided relief, which United has adopted, for the delay of the adverse capital impact of CECL at adoption and during the subsequent two-year period.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adopted ASC 326 using the prospective transition approach for PCD assets that were previously classified as PCI. In accordance with the standard, management did not reassess whether PCI assets met the criteria of PCD assets as of the date of adoption. As mentioned above, the amortized cost basis of the PCD assets was adjusted to reflect the addition of $3.59 million of the ACL. The remaining noncredit discount (based on the adjusted amortized cost basis) will be accreted into interest income at a rate that approximates the effective interest rate as of January 1, 2020.</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regard to PCD assets, because United elected to disaggregate the former PCI pools and no longer considers these pools to be the unit of account, contractually delinquent PCD loans will be reported as nonaccrual loans using the same criteria as other loans. Similarly, although management did not reassess whether modifications to individual acquired financial assets accounted for in pools were TDRs as of the date of adoption, PCD loans that are restructured and meet the definition of troubled debt restructurings after the adoption of CECL will be reported as such.</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 elected not to measure an allowance for credit losses for accrued interest receivable and instead to reverse interest income on those loans that are 90 days past due, to exclude accrued interest receivable from the amortized cost basis of financial instruments subject to CECL and to separately state the balance of accrued interest receivable on the consolidated balance sheet. In addition, United elected to adjust the discount rate used to calculate credit losses for expected prepayments and will include all changes in discounted cash flows as credit loss. United also elected to use, as a practical expedient, the fair value of collateral when determining the ACL for loans for which repayment is expected to be provided substantially through the operation or sale of the collateral when the borrower is experiencing financial difficulty (collateral-dependent loans).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27, 2020, the CARES Act was signed into law. The CARES Act included a number of provisions that were applicable to United, including the following:</w:t>
      </w:r>
    </w:p>
    <w:p>
      <w:pPr>
        <w:spacing w:after="0" w:line="166" w:lineRule="exact"/>
        <w:rPr>
          <w:sz w:val="20"/>
          <w:szCs w:val="20"/>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Relief for TDRs</w:t>
      </w:r>
      <w:r>
        <w:rPr>
          <w:rFonts w:ascii="Arial" w:cs="Arial" w:eastAsia="Arial" w:hAnsi="Arial"/>
          <w:sz w:val="18"/>
          <w:szCs w:val="18"/>
          <w:b w:val="1"/>
          <w:bCs w:val="1"/>
          <w:color w:val="auto"/>
        </w:rPr>
        <w:t>:</w:t>
      </w:r>
      <w:r>
        <w:rPr>
          <w:rFonts w:ascii="Arial" w:cs="Arial" w:eastAsia="Arial" w:hAnsi="Arial"/>
          <w:sz w:val="18"/>
          <w:szCs w:val="18"/>
          <w:color w:val="auto"/>
        </w:rPr>
        <w:t xml:space="preserve"> The CARES Act provided that modifications for loans under certain forbearance conditions that were otherwise performing before the COVID-19 crisis will not be considered TDRs for regulatory reporting and GAAP.</w:t>
      </w:r>
    </w:p>
    <w:p>
      <w:pPr>
        <w:jc w:val="both"/>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Optional Delay and Regulatory Relief for CECL Implementation: The CARES Act stipulated that large SEC filers have the option of delaying the adoption of CECL from January 1, 2020 to the earlier of the end of the COVID-19 emergency period or December 31, 2020. Banks that were required to implement CECL by the end of 2020 were granted the option to defer any impact of CECL on regulatory capital for two years before beginning the original three-year regulatory phase-in period, for a total five-year phase-in period. Although United did not elect to delay the adoption of CECL, the Company did elect the five-year phase-in period for regulatory purposes, as discussed above.</w:t>
      </w: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Paycheck Protection Program (“PPP”): The CARES Act created the PPP through the Small Business Administration (“SBA”), which allowed United to lend money to small businesses to maintain employee payrolls through the crisis with guarantees from the SBA. Under this program, loan amounts may be forgiven if the borrower maintains employee payrolls or restores payrolls afterwards.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No. 2020-03,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Financial Instruments</w:t>
      </w:r>
      <w:r>
        <w:rPr>
          <w:rFonts w:ascii="Arial" w:cs="Arial" w:eastAsia="Arial" w:hAnsi="Arial"/>
          <w:sz w:val="18"/>
          <w:szCs w:val="18"/>
          <w:color w:val="auto"/>
        </w:rPr>
        <w:t>. This update clarified certain minor issues within the codification, including, among other things,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for financial institutions and determination of the contractual term of a net investment in a lease. The standard was effective immediately, and did not have a material impact on the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This update provides expedients for contracts that are modified because of reference rate reform, including receivables, debt, leases,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In addition, the update provides a one-time election to sell or transfer debt securities classified as held-to-maturity that reference a rate that is affected by reference rate reform. The update is effective as of March 12, 2020 through December 31, 2022. Adoption of this update did not have a material impact on the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and Topic 825 Financial Instruments</w:t>
      </w:r>
      <w:r>
        <w:rPr>
          <w:rFonts w:ascii="Arial" w:cs="Arial" w:eastAsia="Arial" w:hAnsi="Arial"/>
          <w:sz w:val="18"/>
          <w:szCs w:val="18"/>
          <w:color w:val="auto"/>
        </w:rPr>
        <w:t>. In addition to amending guidance related to the new CECL standard, this update clarifies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hedge accounting and recognition and measurement of financial instruments. United adopted this update as of January 1, 2020, with no material impact on the consolidated financial statements.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eliminates Step 2 from the goodwill impairment test, which required an entity to calculate the implied fair value of goodwill by valuing a reporting unit’s assets and liabilities using the same process that would be required to value assets and liabilities in a business combination. Instead, the amendments require that an entity perform its annual goodwill impairment test by comparing the fair value of a reporting unit with its carrying amount. United adopted this update as of January 1, 2020, with no material impact on the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amortized cost basis, unrealized gains and losses and fair value of debt securities held-to-maturity as of the dates indicated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Gross Unrealized</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Fair</w:t>
            </w:r>
          </w:p>
        </w:tc>
      </w:tr>
      <w:tr>
        <w:trPr>
          <w:trHeight w:val="210"/>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6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Value</w:t>
            </w:r>
          </w:p>
        </w:tc>
      </w:tr>
      <w:tr>
        <w:trPr>
          <w:trHeight w:val="33"/>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7"/>
        </w:trPr>
        <w:tc>
          <w:tcPr>
            <w:tcW w:w="462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61,083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3,377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64,460</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150,490</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83,528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86,645</w:t>
            </w:r>
          </w:p>
        </w:tc>
      </w:tr>
      <w:tr>
        <w:trPr>
          <w:trHeight w:val="33"/>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290,404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301,595</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4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17"/>
        </w:trPr>
        <w:tc>
          <w:tcPr>
            <w:tcW w:w="462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45,479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47,044</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155,287</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84,087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85,573</w:t>
            </w:r>
          </w:p>
        </w:tc>
      </w:tr>
      <w:tr>
        <w:trPr>
          <w:trHeight w:val="33"/>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283,533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287,904</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Gross Unrealized</w:t>
            </w: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7"/>
                <w:szCs w:val="17"/>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Fair</w:t>
            </w:r>
          </w:p>
        </w:tc>
      </w:tr>
      <w:tr>
        <w:trPr>
          <w:trHeight w:val="210"/>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Gains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6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Value</w:t>
            </w:r>
          </w:p>
        </w:tc>
      </w:tr>
      <w:tr>
        <w:trPr>
          <w:trHeight w:val="33"/>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17"/>
        </w:trPr>
        <w:tc>
          <w:tcPr>
            <w:tcW w:w="46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153,219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158,964</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2,967</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214,191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227,681</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1,037,749</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Residential mortgage-backed securities, Non-agency</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260,638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2,095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259,842</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261,836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267,789</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191,070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190,785</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104,099</w:t>
            </w:r>
          </w:p>
        </w:tc>
      </w:tr>
      <w:tr>
        <w:trPr>
          <w:trHeight w:val="283"/>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2,202,217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57,788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10,129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2,249,876</w:t>
            </w:r>
          </w:p>
        </w:tc>
      </w:tr>
      <w:tr>
        <w:trPr>
          <w:trHeight w:val="271"/>
        </w:trPr>
        <w:tc>
          <w:tcPr>
            <w:tcW w:w="4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6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Treasuries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154,618</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3,035</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214,677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226,490</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1,030,948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1,042,244</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 Non-agency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250,550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256,781</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266,770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268,903</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Non-agency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16,050</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202,131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203,091</w:t>
            </w:r>
          </w:p>
        </w:tc>
      </w:tr>
      <w:tr>
        <w:trPr>
          <w:trHeight w:val="3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103,369</w:t>
            </w:r>
          </w:p>
        </w:tc>
      </w:tr>
      <w:tr>
        <w:trPr>
          <w:trHeight w:val="244"/>
        </w:trPr>
        <w:tc>
          <w:tcPr>
            <w:tcW w:w="4620" w:type="dxa"/>
            <w:vAlign w:val="bottom"/>
          </w:tcPr>
          <w:p>
            <w:pPr>
              <w:ind w:left="1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2,240,607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36,982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2,274,581</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Securities with a carrying value of $559 million and $918 million were pledged, primarily to secure public deposits, at March 31, 2020 and December 31, 2019,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360"/>
              <w:spacing w:after="0"/>
              <w:rPr>
                <w:sz w:val="20"/>
                <w:szCs w:val="20"/>
                <w:color w:val="auto"/>
              </w:rPr>
            </w:pPr>
            <w:r>
              <w:rPr>
                <w:rFonts w:ascii="Arial" w:cs="Arial" w:eastAsia="Arial" w:hAnsi="Arial"/>
                <w:sz w:val="16"/>
                <w:szCs w:val="16"/>
                <w:b w:val="1"/>
                <w:bCs w:val="1"/>
                <w:color w:val="auto"/>
              </w:rPr>
              <w:t>Less than 12 Months</w:t>
            </w:r>
          </w:p>
        </w:tc>
        <w:tc>
          <w:tcPr>
            <w:tcW w:w="160" w:type="dxa"/>
            <w:vAlign w:val="bottom"/>
          </w:tcPr>
          <w:p>
            <w:pPr>
              <w:spacing w:after="0"/>
              <w:rPr>
                <w:sz w:val="18"/>
                <w:szCs w:val="18"/>
                <w:color w:val="auto"/>
              </w:rPr>
            </w:pPr>
          </w:p>
        </w:tc>
        <w:tc>
          <w:tcPr>
            <w:tcW w:w="2280" w:type="dxa"/>
            <w:vAlign w:val="bottom"/>
            <w:gridSpan w:val="5"/>
          </w:tcPr>
          <w:p>
            <w:pPr>
              <w:ind w:left="36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3"/>
              </w:rPr>
              <w:t>Total</w:t>
            </w:r>
          </w:p>
        </w:tc>
        <w:tc>
          <w:tcPr>
            <w:tcW w:w="9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Loss</w:t>
            </w:r>
          </w:p>
        </w:tc>
      </w:tr>
      <w:tr>
        <w:trPr>
          <w:trHeight w:val="33"/>
        </w:trPr>
        <w:tc>
          <w:tcPr>
            <w:tcW w:w="3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7"/>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2,029</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84"/>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w:t>
            </w:r>
          </w:p>
        </w:tc>
      </w:tr>
      <w:tr>
        <w:trPr>
          <w:trHeight w:val="270"/>
        </w:trPr>
        <w:tc>
          <w:tcPr>
            <w:tcW w:w="3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3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16,049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694</w:t>
            </w: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r>
      <w:tr>
        <w:trPr>
          <w:trHeight w:val="244"/>
        </w:trPr>
        <w:tc>
          <w:tcPr>
            <w:tcW w:w="3940" w:type="dxa"/>
            <w:vAlign w:val="bottom"/>
          </w:tcPr>
          <w:p>
            <w:pPr>
              <w:ind w:left="180"/>
              <w:spacing w:after="0"/>
              <w:rPr>
                <w:sz w:val="20"/>
                <w:szCs w:val="20"/>
                <w:color w:val="auto"/>
              </w:rPr>
            </w:pPr>
            <w:r>
              <w:rPr>
                <w:rFonts w:ascii="Arial" w:cs="Arial" w:eastAsia="Arial" w:hAnsi="Arial"/>
                <w:sz w:val="16"/>
                <w:szCs w:val="16"/>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48,007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49,922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97,929</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844</w:t>
            </w: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360"/>
              <w:spacing w:after="0"/>
              <w:rPr>
                <w:sz w:val="20"/>
                <w:szCs w:val="20"/>
                <w:color w:val="auto"/>
              </w:rPr>
            </w:pPr>
            <w:r>
              <w:rPr>
                <w:rFonts w:ascii="Arial" w:cs="Arial" w:eastAsia="Arial" w:hAnsi="Arial"/>
                <w:sz w:val="16"/>
                <w:szCs w:val="16"/>
                <w:b w:val="1"/>
                <w:bCs w:val="1"/>
                <w:color w:val="auto"/>
              </w:rPr>
              <w:t>Less than 12 Months</w:t>
            </w:r>
          </w:p>
        </w:tc>
        <w:tc>
          <w:tcPr>
            <w:tcW w:w="160" w:type="dxa"/>
            <w:vAlign w:val="bottom"/>
          </w:tcPr>
          <w:p>
            <w:pPr>
              <w:spacing w:after="0"/>
              <w:rPr>
                <w:sz w:val="18"/>
                <w:szCs w:val="18"/>
                <w:color w:val="auto"/>
              </w:rPr>
            </w:pPr>
          </w:p>
        </w:tc>
        <w:tc>
          <w:tcPr>
            <w:tcW w:w="2280" w:type="dxa"/>
            <w:vAlign w:val="bottom"/>
            <w:gridSpan w:val="5"/>
          </w:tcPr>
          <w:p>
            <w:pPr>
              <w:ind w:left="36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3"/>
              </w:rPr>
              <w:t>Total</w:t>
            </w:r>
          </w:p>
        </w:tc>
        <w:tc>
          <w:tcPr>
            <w:tcW w:w="960" w:type="dxa"/>
            <w:vAlign w:val="bottom"/>
          </w:tcPr>
          <w:p>
            <w:pPr>
              <w:spacing w:after="0"/>
              <w:rPr>
                <w:sz w:val="18"/>
                <w:szCs w:val="18"/>
                <w:color w:val="auto"/>
              </w:rPr>
            </w:pPr>
          </w:p>
        </w:tc>
      </w:tr>
      <w:tr>
        <w:trPr>
          <w:trHeight w:val="33"/>
        </w:trPr>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rPr>
              <w:t>Loss</w:t>
            </w:r>
          </w:p>
        </w:tc>
      </w:tr>
      <w:tr>
        <w:trPr>
          <w:trHeight w:val="33"/>
        </w:trPr>
        <w:tc>
          <w:tcPr>
            <w:tcW w:w="3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7"/>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State and political subdivisions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15,009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15,009</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Residential mortgage-backed securities, Non-agency</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151,965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151,965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2,891</w:t>
            </w: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94,040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94,040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950</w:t>
            </w: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5,783</w:t>
            </w:r>
          </w:p>
        </w:tc>
      </w:tr>
      <w:tr>
        <w:trPr>
          <w:trHeight w:val="283"/>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323,118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5,581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60,878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4,548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383,996</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10,129</w:t>
            </w:r>
          </w:p>
        </w:tc>
      </w:tr>
      <w:tr>
        <w:trPr>
          <w:trHeight w:val="271"/>
        </w:trPr>
        <w:tc>
          <w:tcPr>
            <w:tcW w:w="3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3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228,611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18,294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246,905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726</w:t>
            </w: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Commercial mortgage-backed, Non-agency</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263</w:t>
            </w:r>
          </w:p>
        </w:tc>
      </w:tr>
      <w:tr>
        <w:trPr>
          <w:trHeight w:val="33"/>
        </w:trPr>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32,294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71,284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1,672</w:t>
            </w:r>
          </w:p>
        </w:tc>
      </w:tr>
      <w:tr>
        <w:trPr>
          <w:trHeight w:val="33"/>
        </w:trPr>
        <w:tc>
          <w:tcPr>
            <w:tcW w:w="3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unrealized loss position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281,051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96,663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377,714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3,008</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2020, there were 58 debt securities available-for-sale and 6 debt securities held-to-maturity that were in an unrealized loss position. United does not intend to sell nor believes it will be required to sell securities in an unrealized loss position prior to the recovery of their amortized cost basis. Unrealized losses at March 31, 2020 were primarily attributable to volatile market conditions resulting from uncertainty surrounding the impact of the COVID-19 pandemic.</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impairment charges were recognized during the three months ended March 31, 2019. At adoption of CECL on January 1, 2020 and at March 31, 2020, calculated credit losses on held-to-maturity debt securities were not material due to the high credit quality of the portfolio, which included securities issued or guaranteed by U.S. Government agencies and high credit quality municipal securities. As a result, no ACL was recorded on the held-to-maturity portfolio at March 31, 2020. In addition, at March 31, 2020, there was no ACL related to the available-for-sale portfolio. See Note 1 for additional details on the adoption of CECL as it relates to the securities portfolio.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months ended March 31, 2020 and 2019 </w:t>
      </w:r>
      <w:r>
        <w:rPr>
          <w:rFonts w:ascii="Arial" w:cs="Arial" w:eastAsia="Arial" w:hAnsi="Arial"/>
          <w:sz w:val="18"/>
          <w:szCs w:val="18"/>
          <w:i w:val="1"/>
          <w:iCs w:val="1"/>
          <w:color w:val="auto"/>
        </w:rPr>
        <w:t>(in thousands).</w:t>
      </w:r>
    </w:p>
    <w:p>
      <w:pPr>
        <w:spacing w:after="0" w:line="117" w:lineRule="exact"/>
        <w:rPr>
          <w:sz w:val="20"/>
          <w:szCs w:val="20"/>
          <w:color w:val="auto"/>
        </w:rPr>
      </w:pPr>
    </w:p>
    <w:p>
      <w:pPr>
        <w:jc w:val="center"/>
        <w:ind w:left="39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3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33020</wp:posOffset>
            </wp:positionV>
            <wp:extent cx="1491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48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r>
      <w:tr>
        <w:trPr>
          <w:trHeight w:val="283"/>
        </w:trPr>
        <w:tc>
          <w:tcPr>
            <w:tcW w:w="6420" w:type="dxa"/>
            <w:vAlign w:val="bottom"/>
            <w:tcBorders>
              <w:bottom w:val="single" w:sz="8" w:color="CCEEFF"/>
            </w:tcBorders>
          </w:tcPr>
          <w:p>
            <w:pPr>
              <w:ind w:left="2400"/>
              <w:spacing w:after="0"/>
              <w:rPr>
                <w:sz w:val="20"/>
                <w:szCs w:val="20"/>
                <w:color w:val="auto"/>
              </w:rPr>
            </w:pPr>
            <w:r>
              <w:rPr>
                <w:rFonts w:ascii="Arial" w:cs="Arial" w:eastAsia="Arial" w:hAnsi="Arial"/>
                <w:sz w:val="16"/>
                <w:szCs w:val="16"/>
                <w:color w:val="auto"/>
              </w:rPr>
              <w:t>Proceeds from sales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178,604</w:t>
            </w:r>
          </w:p>
        </w:tc>
        <w:tc>
          <w:tcPr>
            <w:tcW w:w="2480" w:type="dxa"/>
            <w:vAlign w:val="bottom"/>
            <w:tcBorders>
              <w:bottom w:val="single" w:sz="8" w:color="CCEEFF"/>
            </w:tcBorders>
          </w:tcPr>
          <w:p>
            <w:pPr>
              <w:spacing w:after="0"/>
              <w:rPr>
                <w:sz w:val="24"/>
                <w:szCs w:val="24"/>
                <w:color w:val="auto"/>
              </w:rPr>
            </w:pPr>
          </w:p>
        </w:tc>
      </w:tr>
      <w:tr>
        <w:trPr>
          <w:trHeight w:val="270"/>
        </w:trPr>
        <w:tc>
          <w:tcPr>
            <w:tcW w:w="6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r>
      <w:tr>
        <w:trPr>
          <w:trHeight w:val="237"/>
        </w:trPr>
        <w:tc>
          <w:tcPr>
            <w:tcW w:w="6420" w:type="dxa"/>
            <w:vAlign w:val="bottom"/>
          </w:tcPr>
          <w:p>
            <w:pPr>
              <w:ind w:left="2400"/>
              <w:spacing w:after="0"/>
              <w:rPr>
                <w:sz w:val="20"/>
                <w:szCs w:val="20"/>
                <w:color w:val="auto"/>
              </w:rPr>
            </w:pPr>
            <w:r>
              <w:rPr>
                <w:rFonts w:ascii="Arial" w:cs="Arial" w:eastAsia="Arial" w:hAnsi="Arial"/>
                <w:sz w:val="16"/>
                <w:szCs w:val="16"/>
                <w:color w:val="auto"/>
              </w:rPr>
              <w:t>Gross gains on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1,287</w:t>
            </w:r>
          </w:p>
        </w:tc>
        <w:tc>
          <w:tcPr>
            <w:tcW w:w="2480" w:type="dxa"/>
            <w:vAlign w:val="bottom"/>
          </w:tcPr>
          <w:p>
            <w:pPr>
              <w:spacing w:after="0"/>
              <w:rPr>
                <w:sz w:val="20"/>
                <w:szCs w:val="20"/>
                <w:color w:val="auto"/>
              </w:rPr>
            </w:pPr>
          </w:p>
        </w:tc>
      </w:tr>
      <w:tr>
        <w:trPr>
          <w:trHeight w:val="33"/>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6"/>
                <w:szCs w:val="16"/>
                <w:color w:val="auto"/>
              </w:rPr>
              <w:t>Gross losses on sales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2480" w:type="dxa"/>
            <w:vAlign w:val="bottom"/>
            <w:tcBorders>
              <w:bottom w:val="single" w:sz="8" w:color="CCEEFF"/>
            </w:tcBorders>
            <w:shd w:val="clear" w:color="auto" w:fill="CCEEFF"/>
          </w:tcPr>
          <w:p>
            <w:pPr>
              <w:spacing w:after="0"/>
              <w:rPr>
                <w:sz w:val="23"/>
                <w:szCs w:val="23"/>
                <w:color w:val="auto"/>
              </w:rPr>
            </w:pPr>
          </w:p>
        </w:tc>
      </w:tr>
      <w:tr>
        <w:trPr>
          <w:trHeight w:val="283"/>
        </w:trPr>
        <w:tc>
          <w:tcPr>
            <w:tcW w:w="6420" w:type="dxa"/>
            <w:vAlign w:val="bottom"/>
            <w:tcBorders>
              <w:bottom w:val="single" w:sz="8" w:color="CCEEFF"/>
            </w:tcBorders>
          </w:tcPr>
          <w:p>
            <w:pPr>
              <w:ind w:left="2540"/>
              <w:spacing w:after="0"/>
              <w:rPr>
                <w:sz w:val="20"/>
                <w:szCs w:val="20"/>
                <w:color w:val="auto"/>
              </w:rPr>
            </w:pPr>
            <w:r>
              <w:rPr>
                <w:rFonts w:ascii="Arial" w:cs="Arial" w:eastAsia="Arial" w:hAnsi="Arial"/>
                <w:sz w:val="16"/>
                <w:szCs w:val="16"/>
                <w:color w:val="auto"/>
              </w:rPr>
              <w:t>Net losses on sales of securities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2480" w:type="dxa"/>
            <w:vAlign w:val="bottom"/>
            <w:tcBorders>
              <w:bottom w:val="single" w:sz="8" w:color="CCEEFF"/>
            </w:tcBorders>
          </w:tcPr>
          <w:p>
            <w:pPr>
              <w:spacing w:after="0"/>
              <w:rPr>
                <w:sz w:val="24"/>
                <w:szCs w:val="24"/>
                <w:color w:val="auto"/>
              </w:rPr>
            </w:pPr>
          </w:p>
        </w:tc>
      </w:tr>
      <w:tr>
        <w:trPr>
          <w:trHeight w:val="270"/>
        </w:trPr>
        <w:tc>
          <w:tcPr>
            <w:tcW w:w="6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r>
      <w:tr>
        <w:trPr>
          <w:trHeight w:val="250"/>
        </w:trPr>
        <w:tc>
          <w:tcPr>
            <w:tcW w:w="6420" w:type="dxa"/>
            <w:vAlign w:val="bottom"/>
          </w:tcPr>
          <w:p>
            <w:pPr>
              <w:ind w:left="2400"/>
              <w:spacing w:after="0"/>
              <w:rPr>
                <w:sz w:val="20"/>
                <w:szCs w:val="20"/>
                <w:color w:val="auto"/>
              </w:rPr>
            </w:pPr>
            <w:r>
              <w:rPr>
                <w:rFonts w:ascii="Arial" w:cs="Arial" w:eastAsia="Arial" w:hAnsi="Arial"/>
                <w:sz w:val="16"/>
                <w:szCs w:val="16"/>
                <w:color w:val="auto"/>
              </w:rPr>
              <w:t>Income tax benefit attributable to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2480" w:type="dxa"/>
            <w:vAlign w:val="bottom"/>
          </w:tcPr>
          <w:p>
            <w:pPr>
              <w:spacing w:after="0"/>
              <w:rPr>
                <w:sz w:val="21"/>
                <w:szCs w:val="21"/>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debt securities available-for-sale and held-to-maturity at March 31, 2020,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940"/>
              <w:spacing w:after="0"/>
              <w:rPr>
                <w:sz w:val="20"/>
                <w:szCs w:val="20"/>
                <w:color w:val="auto"/>
              </w:rPr>
            </w:pPr>
            <w:r>
              <w:rPr>
                <w:rFonts w:ascii="Arial" w:cs="Arial" w:eastAsia="Arial" w:hAnsi="Arial"/>
                <w:sz w:val="16"/>
                <w:szCs w:val="16"/>
                <w:b w:val="1"/>
                <w:bCs w:val="1"/>
                <w:color w:val="auto"/>
              </w:rPr>
              <w:t>Available-for-Sale</w:t>
            </w:r>
          </w:p>
        </w:tc>
        <w:tc>
          <w:tcPr>
            <w:tcW w:w="200" w:type="dxa"/>
            <w:vAlign w:val="bottom"/>
          </w:tcPr>
          <w:p>
            <w:pPr>
              <w:spacing w:after="0"/>
              <w:rPr>
                <w:sz w:val="18"/>
                <w:szCs w:val="18"/>
                <w:color w:val="auto"/>
              </w:rPr>
            </w:pPr>
          </w:p>
        </w:tc>
        <w:tc>
          <w:tcPr>
            <w:tcW w:w="326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Held-to-Maturity</w:t>
            </w:r>
          </w:p>
        </w:tc>
      </w:tr>
      <w:tr>
        <w:trPr>
          <w:trHeight w:val="33"/>
        </w:trPr>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Treasuries: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Within 1 year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29,967</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30,035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 to 5 years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128,929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153,219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158,964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4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 to 5 years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More than 10 years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4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Within 1 year</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1,363</w:t>
            </w: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 to 5 years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12,421</w:t>
            </w: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5 to 10 years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24,255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25,802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13,323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14,714</w:t>
            </w: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More than 10 years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134,904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35,962</w:t>
            </w:r>
          </w:p>
        </w:tc>
      </w:tr>
      <w:tr>
        <w:trPr>
          <w:trHeight w:val="217"/>
        </w:trPr>
        <w:tc>
          <w:tcPr>
            <w:tcW w:w="4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227,681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61,083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64,460</w:t>
            </w:r>
          </w:p>
        </w:tc>
      </w:tr>
      <w:tr>
        <w:trPr>
          <w:trHeight w:val="33"/>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4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1 to 5 years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27,570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27,835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5 to 10 years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191,070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190,785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7"/>
        </w:trPr>
        <w:tc>
          <w:tcPr>
            <w:tcW w:w="4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20"/>
        </w:trPr>
        <w:tc>
          <w:tcPr>
            <w:tcW w:w="4160" w:type="dxa"/>
            <w:vAlign w:val="bottom"/>
          </w:tcPr>
          <w:p>
            <w:pPr>
              <w:ind w:left="40"/>
              <w:spacing w:after="0"/>
              <w:rPr>
                <w:sz w:val="20"/>
                <w:szCs w:val="20"/>
                <w:color w:val="auto"/>
              </w:rPr>
            </w:pPr>
            <w:r>
              <w:rPr>
                <w:rFonts w:ascii="Arial" w:cs="Arial" w:eastAsia="Arial" w:hAnsi="Arial"/>
                <w:sz w:val="16"/>
                <w:szCs w:val="16"/>
                <w:color w:val="auto"/>
              </w:rPr>
              <w:t>Total securities other than asset-backed and</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4160" w:type="dxa"/>
            <w:vAlign w:val="bottom"/>
          </w:tcPr>
          <w:p>
            <w:pPr>
              <w:ind w:left="120"/>
              <w:spacing w:after="0"/>
              <w:rPr>
                <w:sz w:val="20"/>
                <w:szCs w:val="20"/>
                <w:color w:val="auto"/>
              </w:rPr>
            </w:pPr>
            <w:r>
              <w:rPr>
                <w:rFonts w:ascii="Arial" w:cs="Arial" w:eastAsia="Arial" w:hAnsi="Arial"/>
                <w:sz w:val="16"/>
                <w:szCs w:val="16"/>
                <w:color w:val="auto"/>
              </w:rPr>
              <w:t>mortgage-backed securities:</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Within 1 year</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190,902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1 to 5 years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205,273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212,324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11,759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12,421</w:t>
            </w: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5 to 10 years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14,714</w:t>
            </w:r>
          </w:p>
        </w:tc>
      </w:tr>
      <w:tr>
        <w:trPr>
          <w:trHeight w:val="237"/>
        </w:trPr>
        <w:tc>
          <w:tcPr>
            <w:tcW w:w="4160" w:type="dxa"/>
            <w:vAlign w:val="bottom"/>
          </w:tcPr>
          <w:p>
            <w:pPr>
              <w:ind w:left="180"/>
              <w:spacing w:after="0"/>
              <w:rPr>
                <w:sz w:val="20"/>
                <w:szCs w:val="20"/>
                <w:color w:val="auto"/>
              </w:rPr>
            </w:pPr>
            <w:r>
              <w:rPr>
                <w:rFonts w:ascii="Arial" w:cs="Arial" w:eastAsia="Arial" w:hAnsi="Arial"/>
                <w:sz w:val="16"/>
                <w:szCs w:val="16"/>
                <w:color w:val="auto"/>
              </w:rPr>
              <w:t>More than 10 years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137,327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148,351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34,651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35,962</w:t>
            </w: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3"/>
        </w:trPr>
        <w:tc>
          <w:tcPr>
            <w:tcW w:w="4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109,542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104,099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1,269,582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1,297,591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150,490</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Commercial mortgage-backed securities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261,836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267,789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83,528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86,645</w:t>
            </w:r>
          </w:p>
        </w:tc>
      </w:tr>
      <w:tr>
        <w:trPr>
          <w:trHeight w:val="33"/>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4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2,249,876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301,595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1,702,984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1,720,227</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37"/>
        </w:trPr>
        <w:tc>
          <w:tcPr>
            <w:tcW w:w="5860" w:type="dxa"/>
            <w:vAlign w:val="bottom"/>
          </w:tcPr>
          <w:p>
            <w:pPr>
              <w:ind w:left="162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2,064,502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2,007,950</w:t>
            </w:r>
          </w:p>
        </w:tc>
        <w:tc>
          <w:tcPr>
            <w:tcW w:w="168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Commercial &amp;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1,220,657</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5860" w:type="dxa"/>
            <w:vAlign w:val="bottom"/>
          </w:tcPr>
          <w:p>
            <w:pPr>
              <w:ind w:left="162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959,318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976,215</w:t>
            </w:r>
          </w:p>
        </w:tc>
        <w:tc>
          <w:tcPr>
            <w:tcW w:w="168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Equipment financing</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760,952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744,544</w:t>
            </w:r>
          </w:p>
        </w:tc>
        <w:tc>
          <w:tcPr>
            <w:tcW w:w="1680" w:type="dxa"/>
            <w:vAlign w:val="bottom"/>
            <w:tcBorders>
              <w:bottom w:val="single" w:sz="8" w:color="CCEEFF"/>
            </w:tcBorders>
            <w:shd w:val="clear" w:color="auto" w:fill="CCEEFF"/>
          </w:tcPr>
          <w:p>
            <w:pPr>
              <w:spacing w:after="0"/>
              <w:rPr>
                <w:sz w:val="23"/>
                <w:szCs w:val="23"/>
                <w:color w:val="auto"/>
              </w:rPr>
            </w:pPr>
          </w:p>
        </w:tc>
      </w:tr>
      <w:tr>
        <w:trPr>
          <w:trHeight w:val="217"/>
        </w:trPr>
        <w:tc>
          <w:tcPr>
            <w:tcW w:w="5860" w:type="dxa"/>
            <w:vAlign w:val="bottom"/>
          </w:tcPr>
          <w:p>
            <w:pPr>
              <w:ind w:left="186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6,797,868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6,669,593</w:t>
            </w:r>
          </w:p>
        </w:tc>
        <w:tc>
          <w:tcPr>
            <w:tcW w:w="168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Residential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1,117,616</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5860" w:type="dxa"/>
            <w:vAlign w:val="bottom"/>
          </w:tcPr>
          <w:p>
            <w:pPr>
              <w:ind w:left="162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668,382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660,675</w:t>
            </w:r>
          </w:p>
        </w:tc>
        <w:tc>
          <w:tcPr>
            <w:tcW w:w="1680" w:type="dxa"/>
            <w:vAlign w:val="bottom"/>
          </w:tcPr>
          <w:p>
            <w:pPr>
              <w:spacing w:after="0"/>
              <w:rPr>
                <w:sz w:val="20"/>
                <w:szCs w:val="20"/>
                <w:color w:val="auto"/>
              </w:rPr>
            </w:pPr>
          </w:p>
        </w:tc>
      </w:tr>
      <w:tr>
        <w:trPr>
          <w:trHeight w:val="33"/>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Residential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236,437</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37"/>
        </w:trPr>
        <w:tc>
          <w:tcPr>
            <w:tcW w:w="5860" w:type="dxa"/>
            <w:vAlign w:val="bottom"/>
          </w:tcPr>
          <w:p>
            <w:pPr>
              <w:ind w:left="162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125,190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128,232</w:t>
            </w:r>
          </w:p>
        </w:tc>
        <w:tc>
          <w:tcPr>
            <w:tcW w:w="1680" w:type="dxa"/>
            <w:vAlign w:val="bottom"/>
          </w:tcPr>
          <w:p>
            <w:pPr>
              <w:spacing w:after="0"/>
              <w:rPr>
                <w:sz w:val="20"/>
                <w:szCs w:val="20"/>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8,935,424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8,812,553</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37"/>
        </w:trPr>
        <w:tc>
          <w:tcPr>
            <w:tcW w:w="5860" w:type="dxa"/>
            <w:vAlign w:val="bottom"/>
          </w:tcPr>
          <w:p>
            <w:pPr>
              <w:ind w:left="1620"/>
              <w:spacing w:after="0"/>
              <w:rPr>
                <w:sz w:val="20"/>
                <w:szCs w:val="20"/>
                <w:color w:val="auto"/>
              </w:rPr>
            </w:pPr>
            <w:r>
              <w:rPr>
                <w:rFonts w:ascii="Arial" w:cs="Arial" w:eastAsia="Arial" w:hAnsi="Arial"/>
                <w:sz w:val="16"/>
                <w:szCs w:val="16"/>
                <w:color w:val="auto"/>
              </w:rPr>
              <w:t>Less allowance for credit losses - loans</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(62,089)</w:t>
            </w:r>
          </w:p>
        </w:tc>
        <w:tc>
          <w:tcPr>
            <w:tcW w:w="1680" w:type="dxa"/>
            <w:vAlign w:val="bottom"/>
          </w:tcPr>
          <w:p>
            <w:pPr>
              <w:spacing w:after="0"/>
              <w:rPr>
                <w:sz w:val="20"/>
                <w:szCs w:val="20"/>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Loans, net</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8,853,519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8,750,464</w:t>
            </w:r>
          </w:p>
        </w:tc>
        <w:tc>
          <w:tcPr>
            <w:tcW w:w="1680" w:type="dxa"/>
            <w:vAlign w:val="bottom"/>
            <w:tcBorders>
              <w:bottom w:val="single" w:sz="8" w:color="CCEEFF"/>
            </w:tcBorders>
            <w:shd w:val="clear" w:color="auto" w:fill="CCEEFF"/>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and December 31, 2019, loans totaling $4.15 billion and $4.06 billion, respectively, were pledged as collateral to secure contingent funding sources.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first quarter of 2020 United sold $4.03 million of United States Small Business Administration / United States Department of Agriculture (“SBA/USDA”) guaranteed loans and $22.2 million of equipment financing receivables. During the first quarter of 2019, United sold $17.1 million of SBA/USDA guaranteed loans. The gains and losses on these loan sales were included in noninterest income on the consolidated statements of income.</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At March 31, 2020 and December 31, 2019, equipment financing assets included leases of $37.6 million and $37.4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18"/>
                <w:szCs w:val="18"/>
                <w:color w:val="auto"/>
              </w:rPr>
            </w:pPr>
          </w:p>
        </w:tc>
        <w:tc>
          <w:tcPr>
            <w:tcW w:w="3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30"/>
        </w:trPr>
        <w:tc>
          <w:tcPr>
            <w:tcW w:w="57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Minimum future lease payments receivable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39,709</w:t>
            </w:r>
          </w:p>
        </w:tc>
        <w:tc>
          <w:tcPr>
            <w:tcW w:w="1560" w:type="dxa"/>
            <w:vAlign w:val="bottom"/>
            <w:tcBorders>
              <w:bottom w:val="single" w:sz="8" w:color="CCEEFF"/>
            </w:tcBorders>
            <w:shd w:val="clear" w:color="auto" w:fill="CCEEFF"/>
          </w:tcPr>
          <w:p>
            <w:pPr>
              <w:spacing w:after="0"/>
              <w:rPr>
                <w:sz w:val="20"/>
                <w:szCs w:val="20"/>
                <w:color w:val="auto"/>
              </w:rPr>
            </w:pPr>
          </w:p>
        </w:tc>
      </w:tr>
      <w:tr>
        <w:trPr>
          <w:trHeight w:val="237"/>
        </w:trPr>
        <w:tc>
          <w:tcPr>
            <w:tcW w:w="5740" w:type="dxa"/>
            <w:vAlign w:val="bottom"/>
          </w:tcPr>
          <w:p>
            <w:pPr>
              <w:ind w:left="1620"/>
              <w:spacing w:after="0"/>
              <w:rPr>
                <w:sz w:val="20"/>
                <w:szCs w:val="20"/>
                <w:color w:val="auto"/>
              </w:rPr>
            </w:pPr>
            <w:r>
              <w:rPr>
                <w:rFonts w:ascii="Arial" w:cs="Arial" w:eastAsia="Arial" w:hAnsi="Arial"/>
                <w:sz w:val="16"/>
                <w:szCs w:val="16"/>
                <w:color w:val="auto"/>
              </w:rPr>
              <w:t>Estimated residual value of leased equipment</w:t>
            </w:r>
          </w:p>
        </w:tc>
        <w:tc>
          <w:tcPr>
            <w:tcW w:w="2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3,575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3,631</w:t>
            </w:r>
          </w:p>
        </w:tc>
        <w:tc>
          <w:tcPr>
            <w:tcW w:w="156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Initial direct costs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1620"/>
              <w:spacing w:after="0"/>
              <w:rPr>
                <w:sz w:val="20"/>
                <w:szCs w:val="20"/>
                <w:color w:val="auto"/>
              </w:rPr>
            </w:pPr>
            <w:r>
              <w:rPr>
                <w:rFonts w:ascii="Arial" w:cs="Arial" w:eastAsia="Arial" w:hAnsi="Arial"/>
                <w:sz w:val="16"/>
                <w:szCs w:val="16"/>
                <w:color w:val="auto"/>
              </w:rPr>
              <w:t>Security deposits</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(989)</w:t>
            </w:r>
          </w:p>
        </w:tc>
        <w:tc>
          <w:tcPr>
            <w:tcW w:w="156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Purchase accounting premium</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740" w:type="dxa"/>
            <w:vAlign w:val="bottom"/>
          </w:tcPr>
          <w:p>
            <w:pPr>
              <w:ind w:left="1620"/>
              <w:spacing w:after="0"/>
              <w:rPr>
                <w:sz w:val="20"/>
                <w:szCs w:val="20"/>
                <w:color w:val="auto"/>
              </w:rPr>
            </w:pPr>
            <w:r>
              <w:rPr>
                <w:rFonts w:ascii="Arial" w:cs="Arial" w:eastAsia="Arial" w:hAnsi="Arial"/>
                <w:sz w:val="16"/>
                <w:szCs w:val="16"/>
                <w:color w:val="auto"/>
              </w:rPr>
              <w:t>Unearned income</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(5,848)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(6,088)</w:t>
            </w:r>
          </w:p>
        </w:tc>
        <w:tc>
          <w:tcPr>
            <w:tcW w:w="1560" w:type="dxa"/>
            <w:vAlign w:val="bottom"/>
          </w:tcPr>
          <w:p>
            <w:pPr>
              <w:spacing w:after="0"/>
              <w:rPr>
                <w:sz w:val="20"/>
                <w:szCs w:val="20"/>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Net investment in leases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37,378</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Minimum future lease payments expected to be received from equipment financing lease contracts as of March 31, 2020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8"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00" w:type="dxa"/>
            <w:vAlign w:val="bottom"/>
            <w:tcBorders>
              <w:top w:val="single" w:sz="8" w:color="CCEEFF"/>
              <w:bottom w:val="single" w:sz="8" w:color="CCEEFF"/>
            </w:tcBorders>
            <w:shd w:val="clear" w:color="auto" w:fill="CCEEFF"/>
          </w:tcPr>
          <w:p>
            <w:pPr>
              <w:spacing w:after="0"/>
              <w:rPr>
                <w:sz w:val="21"/>
                <w:szCs w:val="21"/>
                <w:color w:val="auto"/>
              </w:rPr>
            </w:pPr>
          </w:p>
        </w:tc>
        <w:tc>
          <w:tcPr>
            <w:tcW w:w="42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2020</w:t>
            </w:r>
          </w:p>
        </w:tc>
        <w:tc>
          <w:tcPr>
            <w:tcW w:w="560" w:type="dxa"/>
            <w:vAlign w:val="bottom"/>
            <w:tcBorders>
              <w:top w:val="single" w:sz="8" w:color="CCEEFF"/>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11,653</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2740"/>
              <w:spacing w:after="0"/>
              <w:rPr>
                <w:sz w:val="20"/>
                <w:szCs w:val="20"/>
                <w:color w:val="auto"/>
              </w:rPr>
            </w:pPr>
            <w:r>
              <w:rPr>
                <w:rFonts w:ascii="Arial" w:cs="Arial" w:eastAsia="Arial" w:hAnsi="Arial"/>
                <w:sz w:val="16"/>
                <w:szCs w:val="16"/>
                <w:color w:val="auto"/>
              </w:rPr>
              <w:t>2021</w:t>
            </w:r>
          </w:p>
        </w:tc>
        <w:tc>
          <w:tcPr>
            <w:tcW w:w="5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12,387</w:t>
            </w:r>
          </w:p>
        </w:tc>
        <w:tc>
          <w:tcPr>
            <w:tcW w:w="2680" w:type="dxa"/>
            <w:vAlign w:val="bottom"/>
          </w:tcPr>
          <w:p>
            <w:pPr>
              <w:spacing w:after="0"/>
              <w:rPr>
                <w:sz w:val="20"/>
                <w:szCs w:val="20"/>
                <w:color w:val="auto"/>
              </w:rPr>
            </w:pPr>
          </w:p>
        </w:tc>
      </w:tr>
      <w:tr>
        <w:trPr>
          <w:trHeight w:val="33"/>
        </w:trPr>
        <w:tc>
          <w:tcPr>
            <w:tcW w:w="2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2740"/>
              <w:spacing w:after="0"/>
              <w:rPr>
                <w:sz w:val="20"/>
                <w:szCs w:val="20"/>
                <w:color w:val="auto"/>
              </w:rPr>
            </w:pPr>
            <w:r>
              <w:rPr>
                <w:rFonts w:ascii="Arial" w:cs="Arial" w:eastAsia="Arial" w:hAnsi="Arial"/>
                <w:sz w:val="16"/>
                <w:szCs w:val="16"/>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8,683</w:t>
            </w:r>
          </w:p>
        </w:tc>
        <w:tc>
          <w:tcPr>
            <w:tcW w:w="268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gridSpan w:val="2"/>
          </w:tcPr>
          <w:p>
            <w:pPr>
              <w:ind w:left="2740"/>
              <w:spacing w:after="0"/>
              <w:rPr>
                <w:sz w:val="20"/>
                <w:szCs w:val="20"/>
                <w:color w:val="auto"/>
              </w:rPr>
            </w:pPr>
            <w:r>
              <w:rPr>
                <w:rFonts w:ascii="Arial" w:cs="Arial" w:eastAsia="Arial" w:hAnsi="Arial"/>
                <w:sz w:val="16"/>
                <w:szCs w:val="16"/>
                <w:color w:val="auto"/>
              </w:rPr>
              <w:t>2023</w:t>
            </w:r>
          </w:p>
        </w:tc>
        <w:tc>
          <w:tcPr>
            <w:tcW w:w="5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4,937</w:t>
            </w:r>
          </w:p>
        </w:tc>
        <w:tc>
          <w:tcPr>
            <w:tcW w:w="2680" w:type="dxa"/>
            <w:vAlign w:val="bottom"/>
          </w:tcPr>
          <w:p>
            <w:pPr>
              <w:spacing w:after="0"/>
              <w:rPr>
                <w:sz w:val="20"/>
                <w:szCs w:val="20"/>
                <w:color w:val="auto"/>
              </w:rPr>
            </w:pPr>
          </w:p>
        </w:tc>
      </w:tr>
      <w:tr>
        <w:trPr>
          <w:trHeight w:val="33"/>
        </w:trPr>
        <w:tc>
          <w:tcPr>
            <w:tcW w:w="27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2740"/>
              <w:spacing w:after="0"/>
              <w:rPr>
                <w:sz w:val="20"/>
                <w:szCs w:val="20"/>
                <w:color w:val="auto"/>
              </w:rPr>
            </w:pPr>
            <w:r>
              <w:rPr>
                <w:rFonts w:ascii="Arial" w:cs="Arial" w:eastAsia="Arial" w:hAnsi="Arial"/>
                <w:sz w:val="16"/>
                <w:szCs w:val="16"/>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1,700</w:t>
            </w:r>
          </w:p>
        </w:tc>
        <w:tc>
          <w:tcPr>
            <w:tcW w:w="2680" w:type="dxa"/>
            <w:vAlign w:val="bottom"/>
            <w:tcBorders>
              <w:bottom w:val="single" w:sz="8" w:color="CCEEFF"/>
            </w:tcBorders>
            <w:shd w:val="clear" w:color="auto" w:fill="CCEEFF"/>
          </w:tcPr>
          <w:p>
            <w:pPr>
              <w:spacing w:after="0"/>
              <w:rPr>
                <w:sz w:val="21"/>
                <w:szCs w:val="21"/>
                <w:color w:val="auto"/>
              </w:rPr>
            </w:pPr>
          </w:p>
        </w:tc>
      </w:tr>
      <w:tr>
        <w:trPr>
          <w:trHeight w:val="237"/>
        </w:trPr>
        <w:tc>
          <w:tcPr>
            <w:tcW w:w="2700" w:type="dxa"/>
            <w:vAlign w:val="bottom"/>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365</w:t>
            </w:r>
          </w:p>
        </w:tc>
        <w:tc>
          <w:tcPr>
            <w:tcW w:w="2680" w:type="dxa"/>
            <w:vAlign w:val="bottom"/>
          </w:tcPr>
          <w:p>
            <w:pPr>
              <w:spacing w:after="0"/>
              <w:rPr>
                <w:sz w:val="20"/>
                <w:szCs w:val="20"/>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39,725</w:t>
            </w:r>
          </w:p>
        </w:tc>
        <w:tc>
          <w:tcPr>
            <w:tcW w:w="2680" w:type="dxa"/>
            <w:vAlign w:val="bottom"/>
            <w:tcBorders>
              <w:bottom w:val="single" w:sz="8" w:color="CCEEFF"/>
            </w:tcBorders>
            <w:shd w:val="clear" w:color="auto" w:fill="CCEEFF"/>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 December 31, 2019, the carrying value and outstanding balance of PCI loans were $58.6 million and $83.1 million, respectively. The following table presents changes in the balance of the accretable yield for PCI loans for the period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4260" w:type="dxa"/>
            <w:vAlign w:val="bottom"/>
            <w:gridSpan w:val="3"/>
          </w:tcPr>
          <w:p>
            <w:pPr>
              <w:ind w:left="80"/>
              <w:spacing w:after="0"/>
              <w:rPr>
                <w:sz w:val="20"/>
                <w:szCs w:val="20"/>
                <w:color w:val="auto"/>
              </w:rPr>
            </w:pPr>
            <w:r>
              <w:rPr>
                <w:rFonts w:ascii="Arial" w:cs="Arial" w:eastAsia="Arial" w:hAnsi="Arial"/>
                <w:sz w:val="16"/>
                <w:szCs w:val="16"/>
                <w:b w:val="1"/>
                <w:bCs w:val="1"/>
                <w:color w:val="auto"/>
              </w:rPr>
              <w:t>Three Months Ended March</w:t>
            </w:r>
          </w:p>
        </w:tc>
      </w:tr>
      <w:tr>
        <w:trPr>
          <w:trHeight w:val="210"/>
        </w:trPr>
        <w:tc>
          <w:tcPr>
            <w:tcW w:w="6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right"/>
              <w:ind w:right="679"/>
              <w:spacing w:after="0"/>
              <w:rPr>
                <w:sz w:val="20"/>
                <w:szCs w:val="20"/>
                <w:color w:val="auto"/>
              </w:rPr>
            </w:pPr>
            <w:r>
              <w:rPr>
                <w:rFonts w:ascii="Arial" w:cs="Arial" w:eastAsia="Arial" w:hAnsi="Arial"/>
                <w:sz w:val="16"/>
                <w:szCs w:val="16"/>
                <w:b w:val="1"/>
                <w:bCs w:val="1"/>
                <w:color w:val="auto"/>
              </w:rPr>
              <w:t>31, 2019</w:t>
            </w:r>
          </w:p>
        </w:tc>
        <w:tc>
          <w:tcPr>
            <w:tcW w:w="214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217"/>
        </w:trPr>
        <w:tc>
          <w:tcPr>
            <w:tcW w:w="6980" w:type="dxa"/>
            <w:vAlign w:val="bottom"/>
          </w:tcPr>
          <w:p>
            <w:pPr>
              <w:ind w:left="2280"/>
              <w:spacing w:after="0"/>
              <w:rPr>
                <w:sz w:val="20"/>
                <w:szCs w:val="20"/>
                <w:color w:val="auto"/>
              </w:rPr>
            </w:pPr>
            <w:r>
              <w:rPr>
                <w:rFonts w:ascii="Arial" w:cs="Arial" w:eastAsia="Arial" w:hAnsi="Arial"/>
                <w:sz w:val="16"/>
                <w:szCs w:val="16"/>
                <w:color w:val="auto"/>
              </w:rPr>
              <w:t>Balance at beginning of period</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26,868</w:t>
            </w:r>
          </w:p>
        </w:tc>
        <w:tc>
          <w:tcPr>
            <w:tcW w:w="214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6"/>
                <w:szCs w:val="16"/>
                <w:color w:val="auto"/>
              </w:rPr>
              <w:t>Accretion</w:t>
            </w:r>
          </w:p>
        </w:tc>
        <w:tc>
          <w:tcPr>
            <w:tcW w:w="4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(4,813)</w:t>
            </w:r>
          </w:p>
        </w:tc>
        <w:tc>
          <w:tcPr>
            <w:tcW w:w="214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280"/>
              <w:spacing w:after="0"/>
              <w:rPr>
                <w:sz w:val="20"/>
                <w:szCs w:val="20"/>
                <w:color w:val="auto"/>
              </w:rPr>
            </w:pPr>
            <w:r>
              <w:rPr>
                <w:rFonts w:ascii="Arial" w:cs="Arial" w:eastAsia="Arial" w:hAnsi="Arial"/>
                <w:sz w:val="16"/>
                <w:szCs w:val="16"/>
                <w:color w:val="auto"/>
              </w:rPr>
              <w:t>Reclassification from nonaccretable difference</w:t>
            </w:r>
          </w:p>
        </w:tc>
        <w:tc>
          <w:tcPr>
            <w:tcW w:w="4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2,706</w:t>
            </w:r>
          </w:p>
        </w:tc>
        <w:tc>
          <w:tcPr>
            <w:tcW w:w="214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0"/>
        </w:trPr>
        <w:tc>
          <w:tcPr>
            <w:tcW w:w="6980" w:type="dxa"/>
            <w:vAlign w:val="bottom"/>
            <w:shd w:val="clear" w:color="auto" w:fill="CCEEFF"/>
          </w:tcPr>
          <w:p>
            <w:pPr>
              <w:ind w:left="2280"/>
              <w:spacing w:after="0"/>
              <w:rPr>
                <w:sz w:val="20"/>
                <w:szCs w:val="20"/>
                <w:color w:val="auto"/>
              </w:rPr>
            </w:pPr>
            <w:r>
              <w:rPr>
                <w:rFonts w:ascii="Arial" w:cs="Arial" w:eastAsia="Arial" w:hAnsi="Arial"/>
                <w:sz w:val="16"/>
                <w:szCs w:val="16"/>
                <w:color w:val="auto"/>
              </w:rPr>
              <w:t>Changes in expected cash flows that do not affect nonaccretable</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r>
      <w:tr>
        <w:trPr>
          <w:trHeight w:val="239"/>
        </w:trPr>
        <w:tc>
          <w:tcPr>
            <w:tcW w:w="698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6"/>
                <w:szCs w:val="16"/>
                <w:color w:val="auto"/>
              </w:rPr>
              <w:t>difference</w:t>
            </w:r>
          </w:p>
        </w:tc>
        <w:tc>
          <w:tcPr>
            <w:tcW w:w="4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1,863</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2280"/>
              <w:spacing w:after="0"/>
              <w:rPr>
                <w:sz w:val="20"/>
                <w:szCs w:val="20"/>
                <w:color w:val="auto"/>
              </w:rPr>
            </w:pPr>
            <w:r>
              <w:rPr>
                <w:rFonts w:ascii="Arial" w:cs="Arial" w:eastAsia="Arial" w:hAnsi="Arial"/>
                <w:sz w:val="16"/>
                <w:szCs w:val="16"/>
                <w:color w:val="auto"/>
              </w:rPr>
              <w:t>Balance at end of period</w:t>
            </w: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26,624</w:t>
            </w:r>
          </w:p>
        </w:tc>
        <w:tc>
          <w:tcPr>
            <w:tcW w:w="2140" w:type="dxa"/>
            <w:vAlign w:val="bottom"/>
          </w:tcPr>
          <w:p>
            <w:pPr>
              <w:spacing w:after="0"/>
              <w:rPr>
                <w:sz w:val="21"/>
                <w:szCs w:val="21"/>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aging of the amortized cost basis in loans by aging category and accrual status as of March 31, 2020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ind w:left="500"/>
              <w:spacing w:after="0"/>
              <w:rPr>
                <w:sz w:val="20"/>
                <w:szCs w:val="20"/>
                <w:color w:val="auto"/>
              </w:rPr>
            </w:pPr>
            <w:r>
              <w:rPr>
                <w:rFonts w:ascii="Arial" w:cs="Arial" w:eastAsia="Arial" w:hAnsi="Arial"/>
                <w:sz w:val="16"/>
                <w:szCs w:val="16"/>
                <w:b w:val="1"/>
                <w:bCs w:val="1"/>
                <w:color w:val="auto"/>
              </w:rPr>
              <w:t>Accruing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w w:val="89"/>
              </w:rPr>
              <w:t>Loans Past Due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6"/>
              </w:rPr>
              <w:t>Current</w:t>
            </w: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Loans</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rPr>
              <w:t>30 - 59 Days</w:t>
            </w:r>
          </w:p>
        </w:tc>
        <w:tc>
          <w:tcPr>
            <w:tcW w:w="1100" w:type="dxa"/>
            <w:vAlign w:val="bottom"/>
            <w:gridSpan w:val="3"/>
          </w:tcPr>
          <w:p>
            <w:pPr>
              <w:ind w:left="80"/>
              <w:spacing w:after="0"/>
              <w:rPr>
                <w:sz w:val="20"/>
                <w:szCs w:val="20"/>
                <w:color w:val="auto"/>
              </w:rPr>
            </w:pPr>
            <w:r>
              <w:rPr>
                <w:rFonts w:ascii="Arial" w:cs="Arial" w:eastAsia="Arial" w:hAnsi="Arial"/>
                <w:sz w:val="16"/>
                <w:szCs w:val="16"/>
                <w:b w:val="1"/>
                <w:bCs w:val="1"/>
                <w:color w:val="auto"/>
              </w:rPr>
              <w:t>60 - 89 Days</w:t>
            </w: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&gt; 90 Days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Loans</w:t>
            </w:r>
          </w:p>
        </w:tc>
        <w:tc>
          <w:tcPr>
            <w:tcW w:w="1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Total Loans</w:t>
            </w:r>
          </w:p>
        </w:tc>
        <w:tc>
          <w:tcPr>
            <w:tcW w:w="0" w:type="dxa"/>
            <w:vAlign w:val="bottom"/>
          </w:tcPr>
          <w:p>
            <w:pPr>
              <w:spacing w:after="0"/>
              <w:rPr>
                <w:sz w:val="1"/>
                <w:szCs w:val="1"/>
                <w:color w:val="auto"/>
              </w:rPr>
            </w:pPr>
          </w:p>
        </w:tc>
      </w:tr>
      <w:tr>
        <w:trPr>
          <w:trHeight w:val="33"/>
        </w:trPr>
        <w:tc>
          <w:tcPr>
            <w:tcW w:w="4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1,686,758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4,364</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10,405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1,702,984</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2,057,775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2,064,502</w:t>
            </w: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Commercial &amp; industrial</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1,304,689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1,310,112</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959,318</w:t>
            </w: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Equipment financing</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753,741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760,952</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commercial</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6,759,360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6,797,868</w:t>
            </w: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Residential mortgage</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1,110,031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4,882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12,458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1,127,988</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Home equity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661,857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668,382</w:t>
            </w:r>
          </w:p>
        </w:tc>
        <w:tc>
          <w:tcPr>
            <w:tcW w:w="0" w:type="dxa"/>
            <w:vAlign w:val="bottom"/>
          </w:tcPr>
          <w:p>
            <w:pPr>
              <w:spacing w:after="0"/>
              <w:rPr>
                <w:sz w:val="1"/>
                <w:szCs w:val="1"/>
                <w:color w:val="auto"/>
              </w:rPr>
            </w:pPr>
          </w:p>
        </w:tc>
      </w:tr>
      <w:tr>
        <w:trPr>
          <w:trHeight w:val="237"/>
        </w:trPr>
        <w:tc>
          <w:tcPr>
            <w:tcW w:w="4520" w:type="dxa"/>
            <w:vAlign w:val="bottom"/>
            <w:gridSpan w:val="2"/>
          </w:tcPr>
          <w:p>
            <w:pPr>
              <w:ind w:left="40"/>
              <w:spacing w:after="0"/>
              <w:rPr>
                <w:sz w:val="20"/>
                <w:szCs w:val="20"/>
                <w:color w:val="auto"/>
              </w:rPr>
            </w:pPr>
            <w:r>
              <w:rPr>
                <w:rFonts w:ascii="Arial" w:cs="Arial" w:eastAsia="Arial" w:hAnsi="Arial"/>
                <w:sz w:val="16"/>
                <w:szCs w:val="16"/>
                <w:color w:val="auto"/>
              </w:rPr>
              <w:t>Residential construction</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214,568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215,996</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125,190</w:t>
            </w:r>
          </w:p>
        </w:tc>
        <w:tc>
          <w:tcPr>
            <w:tcW w:w="0" w:type="dxa"/>
            <w:vAlign w:val="bottom"/>
          </w:tcPr>
          <w:p>
            <w:pPr>
              <w:spacing w:after="0"/>
              <w:rPr>
                <w:sz w:val="1"/>
                <w:szCs w:val="1"/>
                <w:color w:val="auto"/>
              </w:rPr>
            </w:pPr>
          </w:p>
        </w:tc>
      </w:tr>
      <w:tr>
        <w:trPr>
          <w:trHeight w:val="243"/>
        </w:trPr>
        <w:tc>
          <w:tcPr>
            <w:tcW w:w="4520" w:type="dxa"/>
            <w:vAlign w:val="bottom"/>
            <w:gridSpan w:val="2"/>
          </w:tcPr>
          <w:p>
            <w:pPr>
              <w:ind w:left="180"/>
              <w:spacing w:after="0"/>
              <w:rPr>
                <w:sz w:val="20"/>
                <w:szCs w:val="20"/>
                <w:color w:val="auto"/>
              </w:rPr>
            </w:pPr>
            <w:r>
              <w:rPr>
                <w:rFonts w:ascii="Arial" w:cs="Arial" w:eastAsia="Arial" w:hAnsi="Arial"/>
                <w:sz w:val="16"/>
                <w:szCs w:val="16"/>
                <w:color w:val="auto"/>
              </w:rPr>
              <w:t>Total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8,869,536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25,583</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4,097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36,208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8,935,424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aging of recorded investment in loans, including accruing and nonaccrual loans, as of December 31, 2019 </w:t>
      </w:r>
      <w:r>
        <w:rPr>
          <w:rFonts w:ascii="Arial" w:cs="Arial" w:eastAsia="Arial" w:hAnsi="Arial"/>
          <w:sz w:val="16"/>
          <w:szCs w:val="16"/>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20" w:type="dxa"/>
            <w:vAlign w:val="bottom"/>
            <w:gridSpan w:val="9"/>
          </w:tcPr>
          <w:p>
            <w:pPr>
              <w:jc w:val="right"/>
              <w:spacing w:after="0"/>
              <w:rPr>
                <w:sz w:val="20"/>
                <w:szCs w:val="20"/>
                <w:color w:val="auto"/>
              </w:rPr>
            </w:pPr>
            <w:r>
              <w:rPr>
                <w:rFonts w:ascii="Arial" w:cs="Arial" w:eastAsia="Arial" w:hAnsi="Arial"/>
                <w:sz w:val="16"/>
                <w:szCs w:val="16"/>
                <w:b w:val="1"/>
                <w:bCs w:val="1"/>
                <w:color w:val="auto"/>
              </w:rPr>
              <w:t>Loans Past Due - Accruing and Nonaccrual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9"/>
              </w:rPr>
              <w:t>30 - 59 Days</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w w:val="99"/>
              </w:rPr>
              <w:t>60 - 89 Days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7"/>
              </w:rPr>
              <w:t xml:space="preserve">&gt; 90 Days </w:t>
            </w:r>
            <w:r>
              <w:rPr>
                <w:rFonts w:ascii="Arial" w:cs="Arial" w:eastAsia="Arial" w:hAnsi="Arial"/>
                <w:sz w:val="21"/>
                <w:szCs w:val="21"/>
                <w:b w:val="1"/>
                <w:bCs w:val="1"/>
                <w:color w:val="auto"/>
                <w:w w:val="87"/>
                <w:vertAlign w:val="superscript"/>
              </w:rPr>
              <w:t>(1)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9"/>
              </w:rPr>
              <w:t>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Loans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PCI Loans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1,700,682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1,720,227</w:t>
            </w:r>
          </w:p>
        </w:tc>
        <w:tc>
          <w:tcPr>
            <w:tcW w:w="0" w:type="dxa"/>
            <w:vAlign w:val="bottom"/>
          </w:tcPr>
          <w:p>
            <w:pPr>
              <w:spacing w:after="0"/>
              <w:rPr>
                <w:sz w:val="1"/>
                <w:szCs w:val="1"/>
                <w:color w:val="auto"/>
              </w:rPr>
            </w:pPr>
          </w:p>
        </w:tc>
      </w:tr>
      <w:tr>
        <w:trPr>
          <w:trHeight w:val="237"/>
        </w:trPr>
        <w:tc>
          <w:tcPr>
            <w:tcW w:w="340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1,979,053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27,228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2,007,950</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1,215,581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1,220,657</w:t>
            </w:r>
          </w:p>
        </w:tc>
        <w:tc>
          <w:tcPr>
            <w:tcW w:w="0" w:type="dxa"/>
            <w:vAlign w:val="bottom"/>
          </w:tcPr>
          <w:p>
            <w:pPr>
              <w:spacing w:after="0"/>
              <w:rPr>
                <w:sz w:val="1"/>
                <w:szCs w:val="1"/>
                <w:color w:val="auto"/>
              </w:rPr>
            </w:pPr>
          </w:p>
        </w:tc>
      </w:tr>
      <w:tr>
        <w:trPr>
          <w:trHeight w:val="237"/>
        </w:trPr>
        <w:tc>
          <w:tcPr>
            <w:tcW w:w="340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966,833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976,215</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734,526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744,544</w:t>
            </w:r>
          </w:p>
        </w:tc>
        <w:tc>
          <w:tcPr>
            <w:tcW w:w="0" w:type="dxa"/>
            <w:vAlign w:val="bottom"/>
          </w:tcPr>
          <w:p>
            <w:pPr>
              <w:spacing w:after="0"/>
              <w:rPr>
                <w:sz w:val="1"/>
                <w:szCs w:val="1"/>
                <w:color w:val="auto"/>
              </w:rPr>
            </w:pPr>
          </w:p>
        </w:tc>
      </w:tr>
      <w:tr>
        <w:trPr>
          <w:trHeight w:val="217"/>
        </w:trPr>
        <w:tc>
          <w:tcPr>
            <w:tcW w:w="340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9,547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6,596,675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46,947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6,669,593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1,097,999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1,117,616</w:t>
            </w:r>
          </w:p>
        </w:tc>
        <w:tc>
          <w:tcPr>
            <w:tcW w:w="0" w:type="dxa"/>
            <w:vAlign w:val="bottom"/>
          </w:tcPr>
          <w:p>
            <w:pPr>
              <w:spacing w:after="0"/>
              <w:rPr>
                <w:sz w:val="1"/>
                <w:szCs w:val="1"/>
                <w:color w:val="auto"/>
              </w:rPr>
            </w:pPr>
          </w:p>
        </w:tc>
      </w:tr>
      <w:tr>
        <w:trPr>
          <w:trHeight w:val="237"/>
        </w:trPr>
        <w:tc>
          <w:tcPr>
            <w:tcW w:w="340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655,762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660,675</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236,437</w:t>
            </w:r>
          </w:p>
        </w:tc>
        <w:tc>
          <w:tcPr>
            <w:tcW w:w="0" w:type="dxa"/>
            <w:vAlign w:val="bottom"/>
          </w:tcPr>
          <w:p>
            <w:pPr>
              <w:spacing w:after="0"/>
              <w:rPr>
                <w:sz w:val="1"/>
                <w:szCs w:val="1"/>
                <w:color w:val="auto"/>
              </w:rPr>
            </w:pPr>
          </w:p>
        </w:tc>
      </w:tr>
      <w:tr>
        <w:trPr>
          <w:trHeight w:val="237"/>
        </w:trPr>
        <w:tc>
          <w:tcPr>
            <w:tcW w:w="3400" w:type="dxa"/>
            <w:vAlign w:val="bottom"/>
            <w:gridSpan w:val="2"/>
          </w:tcPr>
          <w:p>
            <w:pPr>
              <w:ind w:left="40"/>
              <w:spacing w:after="0"/>
              <w:rPr>
                <w:sz w:val="20"/>
                <w:szCs w:val="20"/>
                <w:color w:val="auto"/>
              </w:rPr>
            </w:pPr>
            <w:r>
              <w:rPr>
                <w:rFonts w:ascii="Arial" w:cs="Arial" w:eastAsia="Arial" w:hAnsi="Arial"/>
                <w:sz w:val="16"/>
                <w:szCs w:val="16"/>
                <w:color w:val="auto"/>
              </w:rPr>
              <w:t>Consumer</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127,020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128,232</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loans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8,712,667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8,812,553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Excluding PCI loans, substantially all loans more than 90 days past due were on nonaccrual status at December 31, 2019.</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CECL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Incurred Loss</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December 31, 2019</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Nonaccrual loans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with no</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loans with an</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80" w:type="dxa"/>
            <w:vAlign w:val="bottom"/>
          </w:tcPr>
          <w:p>
            <w:pPr>
              <w:spacing w:after="0"/>
              <w:rPr>
                <w:sz w:val="17"/>
                <w:szCs w:val="17"/>
                <w:color w:val="auto"/>
              </w:rPr>
            </w:pPr>
          </w:p>
        </w:tc>
        <w:tc>
          <w:tcPr>
            <w:tcW w:w="16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Nonaccrual</w:t>
            </w: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allowance</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allowance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Loans</w:t>
            </w:r>
          </w:p>
        </w:tc>
        <w:tc>
          <w:tcPr>
            <w:tcW w:w="180" w:type="dxa"/>
            <w:vAlign w:val="bottom"/>
          </w:tcPr>
          <w:p>
            <w:pPr>
              <w:spacing w:after="0"/>
              <w:rPr>
                <w:sz w:val="18"/>
                <w:szCs w:val="18"/>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Loans</w:t>
            </w:r>
          </w:p>
        </w:tc>
      </w:tr>
      <w:tr>
        <w:trPr>
          <w:trHeight w:val="33"/>
        </w:trPr>
        <w:tc>
          <w:tcPr>
            <w:tcW w:w="5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6,889</w:t>
            </w:r>
          </w:p>
        </w:tc>
        <w:tc>
          <w:tcPr>
            <w:tcW w:w="12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10,405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10,544</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w:t>
            </w: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Commercial &amp; industrial</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2,545</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2,277</w:t>
            </w: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Equipment financing</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3,141</w:t>
            </w:r>
          </w:p>
        </w:tc>
      </w:tr>
      <w:tr>
        <w:trPr>
          <w:trHeight w:val="33"/>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commercial</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20,503</w:t>
            </w: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Residential mortgage</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12,458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10,567</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Home equity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3,173</w:t>
            </w:r>
          </w:p>
        </w:tc>
      </w:tr>
      <w:tr>
        <w:trPr>
          <w:trHeight w:val="237"/>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Residential construction</w:t>
            </w:r>
          </w:p>
        </w:tc>
        <w:tc>
          <w:tcPr>
            <w:tcW w:w="2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939</w:t>
            </w:r>
          </w:p>
        </w:tc>
      </w:tr>
      <w:tr>
        <w:trPr>
          <w:trHeight w:val="33"/>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r>
      <w:tr>
        <w:trPr>
          <w:trHeight w:val="244"/>
        </w:trPr>
        <w:tc>
          <w:tcPr>
            <w:tcW w:w="55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21,407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36,208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35,341</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$468,000 and $378,000 for the three months ended March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are on nonaccrual status, become past due 90 days, or are in bankruptcy are classified as “fail” and all other loans are classified as “pass”. For purposes of the table below, loans in these categories that are classified as “fail” are reported as substandard and all other loans are reported as pass.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Based on the most recent analysis performed, the amortized cost of loans by risk category by vintage year as of the date indicated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1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As of March 31, 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60" w:type="dxa"/>
            <w:vAlign w:val="bottom"/>
            <w:gridSpan w:val="7"/>
          </w:tcPr>
          <w:p>
            <w:pPr>
              <w:ind w:left="40"/>
              <w:spacing w:after="0"/>
              <w:rPr>
                <w:sz w:val="20"/>
                <w:szCs w:val="20"/>
                <w:color w:val="auto"/>
              </w:rPr>
            </w:pPr>
            <w:r>
              <w:rPr>
                <w:rFonts w:ascii="Arial" w:cs="Arial" w:eastAsia="Arial" w:hAnsi="Arial"/>
                <w:sz w:val="13"/>
                <w:szCs w:val="13"/>
                <w:b w:val="1"/>
                <w:bCs w:val="1"/>
                <w:color w:val="auto"/>
                <w:w w:val="91"/>
              </w:rPr>
              <w:t>Term Loans by Origination Year</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Revolvers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18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9"/>
              </w:rPr>
              <w:t>converted to</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1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5"/>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95"/>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95"/>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Revolvers</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term loans</w:t>
            </w:r>
          </w:p>
        </w:tc>
        <w:tc>
          <w:tcPr>
            <w:tcW w:w="16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Owner occupied commercial</w:t>
            </w: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 estate:</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108,385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402,541</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271,646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236,178</w:t>
            </w:r>
          </w:p>
        </w:tc>
        <w:tc>
          <w:tcPr>
            <w:tcW w:w="100" w:type="dxa"/>
            <w:vAlign w:val="bottom"/>
          </w:tcPr>
          <w:p>
            <w:pPr>
              <w:spacing w:after="0"/>
              <w:rPr>
                <w:sz w:val="22"/>
                <w:szCs w:val="22"/>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222,321</w:t>
            </w:r>
          </w:p>
        </w:tc>
        <w:tc>
          <w:tcPr>
            <w:tcW w:w="100" w:type="dxa"/>
            <w:vAlign w:val="bottom"/>
          </w:tcPr>
          <w:p>
            <w:pPr>
              <w:spacing w:after="0"/>
              <w:rPr>
                <w:sz w:val="22"/>
                <w:szCs w:val="22"/>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287,441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60,479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28,008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1,616,999</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42,204</w:t>
            </w:r>
          </w:p>
        </w:tc>
        <w:tc>
          <w:tcPr>
            <w:tcW w:w="0" w:type="dxa"/>
            <w:vAlign w:val="bottom"/>
          </w:tcPr>
          <w:p>
            <w:pPr>
              <w:spacing w:after="0"/>
              <w:rPr>
                <w:sz w:val="1"/>
                <w:szCs w:val="1"/>
                <w:color w:val="auto"/>
              </w:rPr>
            </w:pPr>
          </w:p>
        </w:tc>
      </w:tr>
      <w:tr>
        <w:trPr>
          <w:trHeight w:val="263"/>
        </w:trPr>
        <w:tc>
          <w:tcPr>
            <w:tcW w:w="1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43,781</w:t>
            </w:r>
          </w:p>
        </w:tc>
        <w:tc>
          <w:tcPr>
            <w:tcW w:w="0" w:type="dxa"/>
            <w:vAlign w:val="bottom"/>
          </w:tcPr>
          <w:p>
            <w:pPr>
              <w:spacing w:after="0"/>
              <w:rPr>
                <w:sz w:val="1"/>
                <w:szCs w:val="1"/>
                <w:color w:val="auto"/>
              </w:rPr>
            </w:pPr>
          </w:p>
        </w:tc>
      </w:tr>
      <w:tr>
        <w:trPr>
          <w:trHeight w:val="157"/>
        </w:trPr>
        <w:tc>
          <w:tcPr>
            <w:tcW w:w="1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owner occupied</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commercial real estate</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260,143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233,929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300,688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1,702,984</w:t>
            </w:r>
          </w:p>
        </w:tc>
        <w:tc>
          <w:tcPr>
            <w:tcW w:w="0" w:type="dxa"/>
            <w:vAlign w:val="bottom"/>
          </w:tcPr>
          <w:p>
            <w:pPr>
              <w:spacing w:after="0"/>
              <w:rPr>
                <w:sz w:val="1"/>
                <w:szCs w:val="1"/>
                <w:color w:val="auto"/>
              </w:rPr>
            </w:pPr>
          </w:p>
        </w:tc>
      </w:tr>
      <w:tr>
        <w:trPr>
          <w:trHeight w:val="171"/>
        </w:trPr>
        <w:tc>
          <w:tcPr>
            <w:tcW w:w="1820" w:type="dxa"/>
            <w:vAlign w:val="bottom"/>
          </w:tcPr>
          <w:p>
            <w:pPr>
              <w:ind w:left="40"/>
              <w:spacing w:after="0"/>
              <w:rPr>
                <w:sz w:val="20"/>
                <w:szCs w:val="20"/>
                <w:color w:val="auto"/>
              </w:rPr>
            </w:pPr>
            <w:r>
              <w:rPr>
                <w:rFonts w:ascii="Arial" w:cs="Arial" w:eastAsia="Arial" w:hAnsi="Arial"/>
                <w:sz w:val="13"/>
                <w:szCs w:val="13"/>
                <w:color w:val="auto"/>
              </w:rPr>
              <w:t>Income producing commercial</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206,665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500,411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399,578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1,982,999</w:t>
            </w: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47,290</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34,213</w:t>
            </w:r>
          </w:p>
        </w:tc>
        <w:tc>
          <w:tcPr>
            <w:tcW w:w="0" w:type="dxa"/>
            <w:vAlign w:val="bottom"/>
          </w:tcPr>
          <w:p>
            <w:pPr>
              <w:spacing w:after="0"/>
              <w:rPr>
                <w:sz w:val="1"/>
                <w:szCs w:val="1"/>
                <w:color w:val="auto"/>
              </w:rPr>
            </w:pPr>
          </w:p>
        </w:tc>
      </w:tr>
      <w:tr>
        <w:trPr>
          <w:trHeight w:val="151"/>
        </w:trPr>
        <w:tc>
          <w:tcPr>
            <w:tcW w:w="1820" w:type="dxa"/>
            <w:vAlign w:val="bottom"/>
          </w:tcPr>
          <w:p>
            <w:pPr>
              <w:ind w:left="280"/>
              <w:spacing w:after="0"/>
              <w:rPr>
                <w:sz w:val="20"/>
                <w:szCs w:val="20"/>
                <w:color w:val="auto"/>
              </w:rPr>
            </w:pPr>
            <w:r>
              <w:rPr>
                <w:rFonts w:ascii="Arial" w:cs="Arial" w:eastAsia="Arial" w:hAnsi="Arial"/>
                <w:sz w:val="13"/>
                <w:szCs w:val="13"/>
                <w:color w:val="auto"/>
              </w:rPr>
              <w:t>Total income producing</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28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223,962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527,256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412,125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292,590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295,604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264,171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37,060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2,064,502</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87,261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267,166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240,535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93,442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63,150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361,419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1,248,485</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22,441</w:t>
            </w:r>
          </w:p>
        </w:tc>
        <w:tc>
          <w:tcPr>
            <w:tcW w:w="0" w:type="dxa"/>
            <w:vAlign w:val="bottom"/>
          </w:tcPr>
          <w:p>
            <w:pPr>
              <w:spacing w:after="0"/>
              <w:rPr>
                <w:sz w:val="1"/>
                <w:szCs w:val="1"/>
                <w:color w:val="auto"/>
              </w:rPr>
            </w:pPr>
          </w:p>
        </w:tc>
      </w:tr>
      <w:tr>
        <w:trPr>
          <w:trHeight w:val="263"/>
        </w:trPr>
        <w:tc>
          <w:tcPr>
            <w:tcW w:w="1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20,796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39,186</w:t>
            </w:r>
          </w:p>
        </w:tc>
        <w:tc>
          <w:tcPr>
            <w:tcW w:w="0" w:type="dxa"/>
            <w:vAlign w:val="bottom"/>
          </w:tcPr>
          <w:p>
            <w:pPr>
              <w:spacing w:after="0"/>
              <w:rPr>
                <w:sz w:val="1"/>
                <w:szCs w:val="1"/>
                <w:color w:val="auto"/>
              </w:rPr>
            </w:pPr>
          </w:p>
        </w:tc>
      </w:tr>
      <w:tr>
        <w:trPr>
          <w:trHeight w:val="157"/>
        </w:trPr>
        <w:tc>
          <w:tcPr>
            <w:tcW w:w="1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commercial &amp;</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industrial</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398,355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1,310,112</w:t>
            </w:r>
          </w:p>
        </w:tc>
        <w:tc>
          <w:tcPr>
            <w:tcW w:w="0" w:type="dxa"/>
            <w:vAlign w:val="bottom"/>
          </w:tcPr>
          <w:p>
            <w:pPr>
              <w:spacing w:after="0"/>
              <w:rPr>
                <w:sz w:val="1"/>
                <w:szCs w:val="1"/>
                <w:color w:val="auto"/>
              </w:rPr>
            </w:pPr>
          </w:p>
        </w:tc>
      </w:tr>
      <w:tr>
        <w:trPr>
          <w:trHeight w:val="262"/>
        </w:trPr>
        <w:tc>
          <w:tcPr>
            <w:tcW w:w="1820" w:type="dxa"/>
            <w:vAlign w:val="bottom"/>
          </w:tcPr>
          <w:p>
            <w:pPr>
              <w:ind w:left="40"/>
              <w:spacing w:after="0"/>
              <w:rPr>
                <w:sz w:val="20"/>
                <w:szCs w:val="20"/>
                <w:color w:val="auto"/>
              </w:rPr>
            </w:pPr>
            <w:r>
              <w:rPr>
                <w:rFonts w:ascii="Arial" w:cs="Arial" w:eastAsia="Arial" w:hAnsi="Arial"/>
                <w:sz w:val="13"/>
                <w:szCs w:val="13"/>
                <w:color w:val="auto"/>
              </w:rPr>
              <w:t>Commercial construction</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313,984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948,878</w:t>
            </w: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2,871</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7,569</w:t>
            </w:r>
          </w:p>
        </w:tc>
        <w:tc>
          <w:tcPr>
            <w:tcW w:w="0" w:type="dxa"/>
            <w:vAlign w:val="bottom"/>
          </w:tcPr>
          <w:p>
            <w:pPr>
              <w:spacing w:after="0"/>
              <w:rPr>
                <w:sz w:val="1"/>
                <w:szCs w:val="1"/>
                <w:color w:val="auto"/>
              </w:rPr>
            </w:pPr>
          </w:p>
        </w:tc>
      </w:tr>
      <w:tr>
        <w:trPr>
          <w:trHeight w:val="151"/>
        </w:trPr>
        <w:tc>
          <w:tcPr>
            <w:tcW w:w="1820" w:type="dxa"/>
            <w:vAlign w:val="bottom"/>
          </w:tcPr>
          <w:p>
            <w:pPr>
              <w:ind w:left="280"/>
              <w:spacing w:after="0"/>
              <w:rPr>
                <w:sz w:val="20"/>
                <w:szCs w:val="20"/>
                <w:color w:val="auto"/>
              </w:rPr>
            </w:pPr>
            <w:r>
              <w:rPr>
                <w:rFonts w:ascii="Arial" w:cs="Arial" w:eastAsia="Arial" w:hAnsi="Arial"/>
                <w:sz w:val="13"/>
                <w:szCs w:val="13"/>
                <w:color w:val="auto"/>
              </w:rPr>
              <w:t>Total commercial</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280"/>
              <w:spacing w:after="0"/>
              <w:rPr>
                <w:sz w:val="20"/>
                <w:szCs w:val="20"/>
                <w:color w:val="auto"/>
              </w:rPr>
            </w:pPr>
            <w:r>
              <w:rPr>
                <w:rFonts w:ascii="Arial" w:cs="Arial" w:eastAsia="Arial" w:hAnsi="Arial"/>
                <w:sz w:val="13"/>
                <w:szCs w:val="13"/>
                <w:color w:val="auto"/>
              </w:rPr>
              <w:t>construction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92,066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249,884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315,528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163,601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92,829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20,815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959,318</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124,870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353,441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187,366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67,279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21,377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757,843</w:t>
            </w:r>
          </w:p>
        </w:tc>
        <w:tc>
          <w:tcPr>
            <w:tcW w:w="0" w:type="dxa"/>
            <w:vAlign w:val="bottom"/>
          </w:tcPr>
          <w:p>
            <w:pPr>
              <w:spacing w:after="0"/>
              <w:rPr>
                <w:sz w:val="1"/>
                <w:szCs w:val="1"/>
                <w:color w:val="auto"/>
              </w:rPr>
            </w:pPr>
          </w:p>
        </w:tc>
      </w:tr>
      <w:tr>
        <w:trPr>
          <w:trHeight w:val="272"/>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3,109</w:t>
            </w:r>
          </w:p>
        </w:tc>
        <w:tc>
          <w:tcPr>
            <w:tcW w:w="0" w:type="dxa"/>
            <w:vAlign w:val="bottom"/>
          </w:tcPr>
          <w:p>
            <w:pPr>
              <w:spacing w:after="0"/>
              <w:rPr>
                <w:sz w:val="1"/>
                <w:szCs w:val="1"/>
                <w:color w:val="auto"/>
              </w:rPr>
            </w:pPr>
          </w:p>
        </w:tc>
      </w:tr>
      <w:tr>
        <w:trPr>
          <w:trHeight w:val="248"/>
        </w:trPr>
        <w:tc>
          <w:tcPr>
            <w:tcW w:w="1820" w:type="dxa"/>
            <w:vAlign w:val="bottom"/>
          </w:tcPr>
          <w:p>
            <w:pPr>
              <w:ind w:left="280"/>
              <w:spacing w:after="0"/>
              <w:rPr>
                <w:sz w:val="20"/>
                <w:szCs w:val="20"/>
                <w:color w:val="auto"/>
              </w:rPr>
            </w:pPr>
            <w:r>
              <w:rPr>
                <w:rFonts w:ascii="Arial" w:cs="Arial" w:eastAsia="Arial" w:hAnsi="Arial"/>
                <w:sz w:val="13"/>
                <w:szCs w:val="13"/>
                <w:color w:val="auto"/>
              </w:rPr>
              <w:t>Total equipment financing</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354,258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760,952</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86,068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251,157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188,207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164,654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134,189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279,723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1,112,018</w:t>
            </w:r>
          </w:p>
        </w:tc>
        <w:tc>
          <w:tcPr>
            <w:tcW w:w="0" w:type="dxa"/>
            <w:vAlign w:val="bottom"/>
          </w:tcPr>
          <w:p>
            <w:pPr>
              <w:spacing w:after="0"/>
              <w:rPr>
                <w:sz w:val="1"/>
                <w:szCs w:val="1"/>
                <w:color w:val="auto"/>
              </w:rPr>
            </w:pPr>
          </w:p>
        </w:tc>
      </w:tr>
      <w:tr>
        <w:trPr>
          <w:trHeight w:val="272"/>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15,970</w:t>
            </w:r>
          </w:p>
        </w:tc>
        <w:tc>
          <w:tcPr>
            <w:tcW w:w="0" w:type="dxa"/>
            <w:vAlign w:val="bottom"/>
          </w:tcPr>
          <w:p>
            <w:pPr>
              <w:spacing w:after="0"/>
              <w:rPr>
                <w:sz w:val="1"/>
                <w:szCs w:val="1"/>
                <w:color w:val="auto"/>
              </w:rPr>
            </w:pPr>
          </w:p>
        </w:tc>
      </w:tr>
      <w:tr>
        <w:trPr>
          <w:trHeight w:val="248"/>
        </w:trPr>
        <w:tc>
          <w:tcPr>
            <w:tcW w:w="1820" w:type="dxa"/>
            <w:vAlign w:val="bottom"/>
          </w:tcPr>
          <w:p>
            <w:pPr>
              <w:ind w:left="280"/>
              <w:spacing w:after="0"/>
              <w:rPr>
                <w:sz w:val="20"/>
                <w:szCs w:val="20"/>
                <w:color w:val="auto"/>
              </w:rPr>
            </w:pPr>
            <w:r>
              <w:rPr>
                <w:rFonts w:ascii="Arial" w:cs="Arial" w:eastAsia="Arial" w:hAnsi="Arial"/>
                <w:sz w:val="13"/>
                <w:szCs w:val="13"/>
                <w:color w:val="auto"/>
              </w:rPr>
              <w:t>Total residential mortgage</w:t>
            </w: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86,900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253,260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191,134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166,174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135,080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287,060</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8,369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1,127,988</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645,874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18,111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663,985</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4,397</w:t>
            </w:r>
          </w:p>
        </w:tc>
        <w:tc>
          <w:tcPr>
            <w:tcW w:w="0" w:type="dxa"/>
            <w:vAlign w:val="bottom"/>
          </w:tcPr>
          <w:p>
            <w:pPr>
              <w:spacing w:after="0"/>
              <w:rPr>
                <w:sz w:val="1"/>
                <w:szCs w:val="1"/>
                <w:color w:val="auto"/>
              </w:rPr>
            </w:pPr>
          </w:p>
        </w:tc>
      </w:tr>
      <w:tr>
        <w:trPr>
          <w:trHeight w:val="151"/>
        </w:trPr>
        <w:tc>
          <w:tcPr>
            <w:tcW w:w="1820" w:type="dxa"/>
            <w:vAlign w:val="bottom"/>
          </w:tcPr>
          <w:p>
            <w:pPr>
              <w:ind w:left="280"/>
              <w:spacing w:after="0"/>
              <w:rPr>
                <w:sz w:val="20"/>
                <w:szCs w:val="20"/>
                <w:color w:val="auto"/>
              </w:rPr>
            </w:pPr>
            <w:r>
              <w:rPr>
                <w:rFonts w:ascii="Arial" w:cs="Arial" w:eastAsia="Arial" w:hAnsi="Arial"/>
                <w:sz w:val="13"/>
                <w:szCs w:val="13"/>
                <w:color w:val="auto"/>
              </w:rPr>
              <w:t>Total home equity lines of</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280"/>
              <w:spacing w:after="0"/>
              <w:rPr>
                <w:sz w:val="20"/>
                <w:szCs w:val="20"/>
                <w:color w:val="auto"/>
              </w:rPr>
            </w:pPr>
            <w:r>
              <w:rPr>
                <w:rFonts w:ascii="Arial" w:cs="Arial" w:eastAsia="Arial" w:hAnsi="Arial"/>
                <w:sz w:val="13"/>
                <w:szCs w:val="13"/>
                <w:color w:val="auto"/>
              </w:rPr>
              <w:t>credit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646,100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22,282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668,382</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34,849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137,032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13,603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18,480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215,208</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51"/>
        </w:trPr>
        <w:tc>
          <w:tcPr>
            <w:tcW w:w="1820" w:type="dxa"/>
            <w:vAlign w:val="bottom"/>
          </w:tcPr>
          <w:p>
            <w:pPr>
              <w:ind w:left="280"/>
              <w:spacing w:after="0"/>
              <w:rPr>
                <w:sz w:val="20"/>
                <w:szCs w:val="20"/>
                <w:color w:val="auto"/>
              </w:rPr>
            </w:pPr>
            <w:r>
              <w:rPr>
                <w:rFonts w:ascii="Arial" w:cs="Arial" w:eastAsia="Arial" w:hAnsi="Arial"/>
                <w:sz w:val="13"/>
                <w:szCs w:val="13"/>
                <w:color w:val="auto"/>
              </w:rPr>
              <w:t>Total residential</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820" w:type="dxa"/>
            <w:vAlign w:val="bottom"/>
          </w:tcPr>
          <w:p>
            <w:pPr>
              <w:ind w:left="280"/>
              <w:spacing w:after="0"/>
              <w:rPr>
                <w:sz w:val="20"/>
                <w:szCs w:val="20"/>
                <w:color w:val="auto"/>
              </w:rPr>
            </w:pPr>
            <w:r>
              <w:rPr>
                <w:rFonts w:ascii="Arial" w:cs="Arial" w:eastAsia="Arial" w:hAnsi="Arial"/>
                <w:sz w:val="13"/>
                <w:szCs w:val="13"/>
                <w:color w:val="auto"/>
              </w:rPr>
              <w:t>construction</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34,849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137,205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13,736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18,810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215,996</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45,895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25,917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10,217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14,567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124,717</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63"/>
        </w:trPr>
        <w:tc>
          <w:tcPr>
            <w:tcW w:w="1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consumer</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loans</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auto"/>
              </w:rPr>
              <w:t>Pass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755,531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2,203,978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1,640,836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1,057,369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862,130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934,832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1,134,975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81,481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8,671,132</w:t>
            </w:r>
          </w:p>
        </w:tc>
        <w:tc>
          <w:tcPr>
            <w:tcW w:w="0" w:type="dxa"/>
            <w:vAlign w:val="bottom"/>
          </w:tcPr>
          <w:p>
            <w:pPr>
              <w:spacing w:after="0"/>
              <w:rPr>
                <w:sz w:val="1"/>
                <w:szCs w:val="1"/>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Watch</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114,813</w:t>
            </w:r>
          </w:p>
        </w:tc>
        <w:tc>
          <w:tcPr>
            <w:tcW w:w="0" w:type="dxa"/>
            <w:vAlign w:val="bottom"/>
          </w:tcPr>
          <w:p>
            <w:pPr>
              <w:spacing w:after="0"/>
              <w:rPr>
                <w:sz w:val="1"/>
                <w:szCs w:val="1"/>
                <w:color w:val="auto"/>
              </w:rPr>
            </w:pPr>
          </w:p>
        </w:tc>
      </w:tr>
      <w:tr>
        <w:trPr>
          <w:trHeight w:val="264"/>
        </w:trPr>
        <w:tc>
          <w:tcPr>
            <w:tcW w:w="18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Substandard</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37,590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21,017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24,328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149,479</w:t>
            </w:r>
          </w:p>
        </w:tc>
        <w:tc>
          <w:tcPr>
            <w:tcW w:w="0" w:type="dxa"/>
            <w:vAlign w:val="bottom"/>
          </w:tcPr>
          <w:p>
            <w:pPr>
              <w:spacing w:after="0"/>
              <w:rPr>
                <w:sz w:val="1"/>
                <w:szCs w:val="1"/>
                <w:color w:val="auto"/>
              </w:rPr>
            </w:pPr>
          </w:p>
        </w:tc>
      </w:tr>
      <w:tr>
        <w:trPr>
          <w:trHeight w:val="242"/>
        </w:trPr>
        <w:tc>
          <w:tcPr>
            <w:tcW w:w="1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784,229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2,264,976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1,670,838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1,095,439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888,616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963,926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1,176,292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8,935,424</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541"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25"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Based on the most recent analysis performed, the risk category of loans by class of loans as of the date indicated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6"/>
              </w:rPr>
              <w:t>As of December 31, 2019</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67"/>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Doubtful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8"/>
        </w:trPr>
        <w:tc>
          <w:tcPr>
            <w:tcW w:w="4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3"/>
                <w:szCs w:val="13"/>
                <w:b w:val="1"/>
                <w:bCs w:val="1"/>
                <w:color w:val="auto"/>
              </w:rPr>
              <w:t>Pass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Watch</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Substandard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Total</w:t>
            </w:r>
          </w:p>
        </w:tc>
      </w:tr>
      <w:tr>
        <w:trPr>
          <w:trHeight w:val="249"/>
        </w:trPr>
        <w:tc>
          <w:tcPr>
            <w:tcW w:w="4520" w:type="dxa"/>
            <w:vAlign w:val="bottom"/>
          </w:tcPr>
          <w:p>
            <w:pPr>
              <w:ind w:left="40"/>
              <w:spacing w:after="0"/>
              <w:rPr>
                <w:sz w:val="20"/>
                <w:szCs w:val="20"/>
                <w:color w:val="auto"/>
              </w:rPr>
            </w:pPr>
            <w:r>
              <w:rPr>
                <w:rFonts w:ascii="Arial" w:cs="Arial" w:eastAsia="Arial" w:hAnsi="Arial"/>
                <w:sz w:val="13"/>
                <w:szCs w:val="13"/>
                <w:color w:val="auto"/>
              </w:rPr>
              <w:t>Owner occupied commercial real estate</w:t>
            </w: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1,638,398</w:t>
            </w:r>
          </w:p>
        </w:tc>
        <w:tc>
          <w:tcPr>
            <w:tcW w:w="120" w:type="dxa"/>
            <w:vAlign w:val="bottom"/>
          </w:tcPr>
          <w:p>
            <w:pPr>
              <w:spacing w:after="0"/>
              <w:rPr>
                <w:sz w:val="21"/>
                <w:szCs w:val="21"/>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24,563</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48,720</w:t>
            </w:r>
          </w:p>
        </w:tc>
        <w:tc>
          <w:tcPr>
            <w:tcW w:w="100" w:type="dxa"/>
            <w:vAlign w:val="bottom"/>
          </w:tcPr>
          <w:p>
            <w:pPr>
              <w:spacing w:after="0"/>
              <w:rPr>
                <w:sz w:val="21"/>
                <w:szCs w:val="21"/>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1,711,681</w:t>
            </w:r>
          </w:p>
        </w:tc>
      </w:tr>
      <w:tr>
        <w:trPr>
          <w:trHeight w:val="278"/>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1,914,524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40,676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25,522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1,980,722</w:t>
            </w:r>
          </w:p>
        </w:tc>
      </w:tr>
      <w:tr>
        <w:trPr>
          <w:trHeight w:val="262"/>
        </w:trPr>
        <w:tc>
          <w:tcPr>
            <w:tcW w:w="4520" w:type="dxa"/>
            <w:vAlign w:val="bottom"/>
          </w:tcPr>
          <w:p>
            <w:pPr>
              <w:ind w:left="40"/>
              <w:spacing w:after="0"/>
              <w:rPr>
                <w:sz w:val="20"/>
                <w:szCs w:val="20"/>
                <w:color w:val="auto"/>
              </w:rPr>
            </w:pPr>
            <w:r>
              <w:rPr>
                <w:rFonts w:ascii="Arial" w:cs="Arial" w:eastAsia="Arial" w:hAnsi="Arial"/>
                <w:sz w:val="13"/>
                <w:szCs w:val="13"/>
                <w:color w:val="auto"/>
              </w:rPr>
              <w:t>Commercial &amp; industrial</w:t>
            </w:r>
          </w:p>
        </w:tc>
        <w:tc>
          <w:tcPr>
            <w:tcW w:w="30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1,156,366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16,385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47,580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1,220,331</w:t>
            </w:r>
          </w:p>
        </w:tc>
      </w:tr>
      <w:tr>
        <w:trPr>
          <w:trHeight w:val="278"/>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960,251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6,804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969,353</w:t>
            </w:r>
          </w:p>
        </w:tc>
      </w:tr>
      <w:tr>
        <w:trPr>
          <w:trHeight w:val="263"/>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Equipment financing</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737,418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3,141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740,559</w:t>
            </w:r>
          </w:p>
        </w:tc>
      </w:tr>
      <w:tr>
        <w:trPr>
          <w:trHeight w:val="257"/>
        </w:trPr>
        <w:tc>
          <w:tcPr>
            <w:tcW w:w="4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6,406,957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83,922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131,767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6,622,646</w:t>
            </w:r>
          </w:p>
        </w:tc>
      </w:tr>
      <w:tr>
        <w:trPr>
          <w:trHeight w:val="262"/>
        </w:trPr>
        <w:tc>
          <w:tcPr>
            <w:tcW w:w="4520" w:type="dxa"/>
            <w:vAlign w:val="bottom"/>
          </w:tcPr>
          <w:p>
            <w:pPr>
              <w:ind w:left="40"/>
              <w:spacing w:after="0"/>
              <w:rPr>
                <w:sz w:val="20"/>
                <w:szCs w:val="20"/>
                <w:color w:val="auto"/>
              </w:rPr>
            </w:pPr>
            <w:r>
              <w:rPr>
                <w:rFonts w:ascii="Arial" w:cs="Arial" w:eastAsia="Arial" w:hAnsi="Arial"/>
                <w:sz w:val="13"/>
                <w:szCs w:val="13"/>
                <w:color w:val="auto"/>
              </w:rPr>
              <w:t>Residential mortgage</w:t>
            </w:r>
          </w:p>
        </w:tc>
        <w:tc>
          <w:tcPr>
            <w:tcW w:w="30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1,093,902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14,135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1,108,037</w:t>
            </w:r>
          </w:p>
        </w:tc>
      </w:tr>
      <w:tr>
        <w:trPr>
          <w:trHeight w:val="278"/>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654,619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4,646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659,265</w:t>
            </w:r>
          </w:p>
        </w:tc>
      </w:tr>
      <w:tr>
        <w:trPr>
          <w:trHeight w:val="262"/>
        </w:trPr>
        <w:tc>
          <w:tcPr>
            <w:tcW w:w="4520" w:type="dxa"/>
            <w:vAlign w:val="bottom"/>
          </w:tcPr>
          <w:p>
            <w:pPr>
              <w:ind w:left="40"/>
              <w:spacing w:after="0"/>
              <w:rPr>
                <w:sz w:val="20"/>
                <w:szCs w:val="20"/>
                <w:color w:val="auto"/>
              </w:rPr>
            </w:pPr>
            <w:r>
              <w:rPr>
                <w:rFonts w:ascii="Arial" w:cs="Arial" w:eastAsia="Arial" w:hAnsi="Arial"/>
                <w:sz w:val="13"/>
                <w:szCs w:val="13"/>
                <w:color w:val="auto"/>
              </w:rPr>
              <w:t>Residential construction</w:t>
            </w:r>
          </w:p>
        </w:tc>
        <w:tc>
          <w:tcPr>
            <w:tcW w:w="30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234,791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1,272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236,063</w:t>
            </w:r>
          </w:p>
        </w:tc>
      </w:tr>
      <w:tr>
        <w:trPr>
          <w:trHeight w:val="271"/>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127,507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127,896</w:t>
            </w:r>
          </w:p>
        </w:tc>
      </w:tr>
      <w:tr>
        <w:trPr>
          <w:trHeight w:val="250"/>
        </w:trPr>
        <w:tc>
          <w:tcPr>
            <w:tcW w:w="4520" w:type="dxa"/>
            <w:vAlign w:val="bottom"/>
          </w:tcPr>
          <w:p>
            <w:pPr>
              <w:ind w:left="180"/>
              <w:spacing w:after="0"/>
              <w:rPr>
                <w:sz w:val="20"/>
                <w:szCs w:val="20"/>
                <w:color w:val="auto"/>
              </w:rPr>
            </w:pPr>
            <w:r>
              <w:rPr>
                <w:rFonts w:ascii="Arial" w:cs="Arial" w:eastAsia="Arial" w:hAnsi="Arial"/>
                <w:sz w:val="13"/>
                <w:szCs w:val="13"/>
                <w:color w:val="auto"/>
              </w:rPr>
              <w:t>Total loans, excluding PCI loans</w:t>
            </w:r>
          </w:p>
        </w:tc>
        <w:tc>
          <w:tcPr>
            <w:tcW w:w="3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8,517,776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83,930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152,201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8,753,907</w:t>
            </w:r>
          </w:p>
        </w:tc>
      </w:tr>
      <w:tr>
        <w:trPr>
          <w:trHeight w:val="243"/>
        </w:trPr>
        <w:tc>
          <w:tcPr>
            <w:tcW w:w="45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r>
      <w:tr>
        <w:trPr>
          <w:trHeight w:val="262"/>
        </w:trPr>
        <w:tc>
          <w:tcPr>
            <w:tcW w:w="4520" w:type="dxa"/>
            <w:vAlign w:val="bottom"/>
          </w:tcPr>
          <w:p>
            <w:pPr>
              <w:ind w:left="40"/>
              <w:spacing w:after="0"/>
              <w:rPr>
                <w:sz w:val="20"/>
                <w:szCs w:val="20"/>
                <w:color w:val="auto"/>
              </w:rPr>
            </w:pPr>
            <w:r>
              <w:rPr>
                <w:rFonts w:ascii="Arial" w:cs="Arial" w:eastAsia="Arial" w:hAnsi="Arial"/>
                <w:sz w:val="13"/>
                <w:szCs w:val="13"/>
                <w:color w:val="auto"/>
              </w:rPr>
              <w:t>Owner occupied commercial real estate</w:t>
            </w:r>
          </w:p>
        </w:tc>
        <w:tc>
          <w:tcPr>
            <w:tcW w:w="30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3,238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2,797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2,511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8,546</w:t>
            </w:r>
          </w:p>
        </w:tc>
      </w:tr>
      <w:tr>
        <w:trPr>
          <w:trHeight w:val="278"/>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19,648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6,305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27,228</w:t>
            </w:r>
          </w:p>
        </w:tc>
      </w:tr>
      <w:tr>
        <w:trPr>
          <w:trHeight w:val="262"/>
        </w:trPr>
        <w:tc>
          <w:tcPr>
            <w:tcW w:w="4520" w:type="dxa"/>
            <w:vAlign w:val="bottom"/>
          </w:tcPr>
          <w:p>
            <w:pPr>
              <w:ind w:left="40"/>
              <w:spacing w:after="0"/>
              <w:rPr>
                <w:sz w:val="20"/>
                <w:szCs w:val="20"/>
                <w:color w:val="auto"/>
              </w:rPr>
            </w:pPr>
            <w:r>
              <w:rPr>
                <w:rFonts w:ascii="Arial" w:cs="Arial" w:eastAsia="Arial" w:hAnsi="Arial"/>
                <w:sz w:val="13"/>
                <w:szCs w:val="13"/>
                <w:color w:val="auto"/>
              </w:rPr>
              <w:t>Commercial &amp; industrial</w:t>
            </w:r>
          </w:p>
        </w:tc>
        <w:tc>
          <w:tcPr>
            <w:tcW w:w="30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326</w:t>
            </w:r>
          </w:p>
        </w:tc>
      </w:tr>
      <w:tr>
        <w:trPr>
          <w:trHeight w:val="278"/>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3,628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2,644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6,862</w:t>
            </w: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Equipment financing</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3,952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3,985</w:t>
            </w:r>
          </w:p>
        </w:tc>
      </w:tr>
      <w:tr>
        <w:trPr>
          <w:trHeight w:val="256"/>
        </w:trPr>
        <w:tc>
          <w:tcPr>
            <w:tcW w:w="4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30,570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9,773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6,604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46,947</w:t>
            </w:r>
          </w:p>
        </w:tc>
      </w:tr>
      <w:tr>
        <w:trPr>
          <w:trHeight w:val="262"/>
        </w:trPr>
        <w:tc>
          <w:tcPr>
            <w:tcW w:w="4520" w:type="dxa"/>
            <w:vAlign w:val="bottom"/>
          </w:tcPr>
          <w:p>
            <w:pPr>
              <w:ind w:left="40"/>
              <w:spacing w:after="0"/>
              <w:rPr>
                <w:sz w:val="20"/>
                <w:szCs w:val="20"/>
                <w:color w:val="auto"/>
              </w:rPr>
            </w:pPr>
            <w:r>
              <w:rPr>
                <w:rFonts w:ascii="Arial" w:cs="Arial" w:eastAsia="Arial" w:hAnsi="Arial"/>
                <w:sz w:val="13"/>
                <w:szCs w:val="13"/>
                <w:color w:val="auto"/>
              </w:rPr>
              <w:t>Residential mortgage</w:t>
            </w:r>
          </w:p>
        </w:tc>
        <w:tc>
          <w:tcPr>
            <w:tcW w:w="30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8,112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1,467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9,579</w:t>
            </w:r>
          </w:p>
        </w:tc>
      </w:tr>
      <w:tr>
        <w:trPr>
          <w:trHeight w:val="278"/>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1,410</w:t>
            </w:r>
          </w:p>
        </w:tc>
      </w:tr>
      <w:tr>
        <w:trPr>
          <w:trHeight w:val="262"/>
        </w:trPr>
        <w:tc>
          <w:tcPr>
            <w:tcW w:w="4520" w:type="dxa"/>
            <w:vAlign w:val="bottom"/>
          </w:tcPr>
          <w:p>
            <w:pPr>
              <w:ind w:left="40"/>
              <w:spacing w:after="0"/>
              <w:rPr>
                <w:sz w:val="20"/>
                <w:szCs w:val="20"/>
                <w:color w:val="auto"/>
              </w:rPr>
            </w:pPr>
            <w:r>
              <w:rPr>
                <w:rFonts w:ascii="Arial" w:cs="Arial" w:eastAsia="Arial" w:hAnsi="Arial"/>
                <w:sz w:val="13"/>
                <w:szCs w:val="13"/>
                <w:color w:val="auto"/>
              </w:rPr>
              <w:t>Residential construction</w:t>
            </w:r>
          </w:p>
        </w:tc>
        <w:tc>
          <w:tcPr>
            <w:tcW w:w="30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374</w:t>
            </w:r>
          </w:p>
        </w:tc>
      </w:tr>
      <w:tr>
        <w:trPr>
          <w:trHeight w:val="271"/>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303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336</w:t>
            </w:r>
          </w:p>
        </w:tc>
      </w:tr>
      <w:tr>
        <w:trPr>
          <w:trHeight w:val="250"/>
        </w:trPr>
        <w:tc>
          <w:tcPr>
            <w:tcW w:w="4520" w:type="dxa"/>
            <w:vAlign w:val="bottom"/>
          </w:tcPr>
          <w:p>
            <w:pPr>
              <w:ind w:left="180"/>
              <w:spacing w:after="0"/>
              <w:rPr>
                <w:sz w:val="20"/>
                <w:szCs w:val="20"/>
                <w:color w:val="auto"/>
              </w:rPr>
            </w:pPr>
            <w:r>
              <w:rPr>
                <w:rFonts w:ascii="Arial" w:cs="Arial" w:eastAsia="Arial" w:hAnsi="Arial"/>
                <w:sz w:val="13"/>
                <w:szCs w:val="13"/>
                <w:color w:val="auto"/>
              </w:rPr>
              <w:t>Total PCI loans</w:t>
            </w:r>
          </w:p>
        </w:tc>
        <w:tc>
          <w:tcPr>
            <w:tcW w:w="30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40,683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9,773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8,190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58,646</w:t>
            </w:r>
          </w:p>
        </w:tc>
      </w:tr>
      <w:tr>
        <w:trPr>
          <w:trHeight w:val="243"/>
        </w:trPr>
        <w:tc>
          <w:tcPr>
            <w:tcW w:w="45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r>
      <w:tr>
        <w:trPr>
          <w:trHeight w:val="255"/>
        </w:trPr>
        <w:tc>
          <w:tcPr>
            <w:tcW w:w="4520" w:type="dxa"/>
            <w:vAlign w:val="bottom"/>
          </w:tcPr>
          <w:p>
            <w:pPr>
              <w:ind w:left="280"/>
              <w:spacing w:after="0"/>
              <w:rPr>
                <w:sz w:val="20"/>
                <w:szCs w:val="20"/>
                <w:color w:val="auto"/>
              </w:rPr>
            </w:pPr>
            <w:r>
              <w:rPr>
                <w:rFonts w:ascii="Arial" w:cs="Arial" w:eastAsia="Arial" w:hAnsi="Arial"/>
                <w:sz w:val="13"/>
                <w:szCs w:val="13"/>
                <w:color w:val="auto"/>
              </w:rPr>
              <w:t>Total loan portfolio</w:t>
            </w:r>
          </w:p>
        </w:tc>
        <w:tc>
          <w:tcPr>
            <w:tcW w:w="300" w:type="dxa"/>
            <w:vAlign w:val="bottom"/>
          </w:tcPr>
          <w:p>
            <w:pPr>
              <w:jc w:val="right"/>
              <w:ind w:right="15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8,558,459</w:t>
            </w:r>
          </w:p>
        </w:tc>
        <w:tc>
          <w:tcPr>
            <w:tcW w:w="120" w:type="dxa"/>
            <w:vAlign w:val="bottom"/>
          </w:tcPr>
          <w:p>
            <w:pPr>
              <w:spacing w:after="0"/>
              <w:rPr>
                <w:sz w:val="22"/>
                <w:szCs w:val="22"/>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5"/>
              <w:spacing w:after="0"/>
              <w:rPr>
                <w:sz w:val="20"/>
                <w:szCs w:val="20"/>
                <w:color w:val="auto"/>
              </w:rPr>
            </w:pPr>
            <w:r>
              <w:rPr>
                <w:rFonts w:ascii="Arial" w:cs="Arial" w:eastAsia="Arial" w:hAnsi="Arial"/>
                <w:sz w:val="13"/>
                <w:szCs w:val="13"/>
                <w:color w:val="auto"/>
              </w:rPr>
              <w:t>93,703</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rPr>
                <w:sz w:val="20"/>
                <w:szCs w:val="20"/>
                <w:color w:val="auto"/>
              </w:rPr>
            </w:pPr>
            <w:r>
              <w:rPr>
                <w:rFonts w:ascii="Arial" w:cs="Arial" w:eastAsia="Arial" w:hAnsi="Arial"/>
                <w:sz w:val="13"/>
                <w:szCs w:val="13"/>
                <w:color w:val="auto"/>
              </w:rPr>
              <w:t>160,391</w:t>
            </w:r>
          </w:p>
        </w:tc>
        <w:tc>
          <w:tcPr>
            <w:tcW w:w="100" w:type="dxa"/>
            <w:vAlign w:val="bottom"/>
          </w:tcPr>
          <w:p>
            <w:pPr>
              <w:spacing w:after="0"/>
              <w:rPr>
                <w:sz w:val="22"/>
                <w:szCs w:val="22"/>
                <w:color w:val="auto"/>
              </w:rPr>
            </w:pPr>
          </w:p>
        </w:tc>
        <w:tc>
          <w:tcPr>
            <w:tcW w:w="2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2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color w:val="auto"/>
              </w:rPr>
              <w:t>8,812,553</w:t>
            </w:r>
          </w:p>
        </w:tc>
      </w:tr>
      <w:tr>
        <w:trPr>
          <w:trHeight w:val="20"/>
        </w:trPr>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Troubled Debt Restructurings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2020 and December 31, 2019, United had TDRs totaling $53.7 million and $54.2 million, respectively. United allocated $1.51 million and $2.51 million of allowance for TDRs as of March 31, 2020 and December 31, 2019, respectively. As of March 31, 2020 and December 31, 2019, there were no commitments to lend additional amounts to customers with outstanding loans that are classified as TDRs.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Loans modified under the terms of a TDR during the three months ended March 31, 2020 and 2019 are presented in the following table. In addition, the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3"/>
                <w:szCs w:val="13"/>
                <w:b w:val="1"/>
                <w:bCs w:val="1"/>
                <w:color w:val="auto"/>
                <w:w w:val="96"/>
              </w:rPr>
              <w:t>New TDRs</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63"/>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left="213"/>
              <w:spacing w:after="0"/>
              <w:rPr>
                <w:sz w:val="20"/>
                <w:szCs w:val="20"/>
                <w:color w:val="auto"/>
              </w:rPr>
            </w:pPr>
            <w:r>
              <w:rPr>
                <w:rFonts w:ascii="Arial" w:cs="Arial" w:eastAsia="Arial" w:hAnsi="Arial"/>
                <w:sz w:val="13"/>
                <w:szCs w:val="13"/>
                <w:b w:val="1"/>
                <w:bCs w:val="1"/>
                <w:color w:val="auto"/>
                <w:w w:val="99"/>
              </w:rPr>
              <w:t>TDRs Modified Within the</w:t>
            </w:r>
          </w:p>
        </w:tc>
        <w:tc>
          <w:tcPr>
            <w:tcW w:w="260" w:type="dxa"/>
            <w:vAlign w:val="bottom"/>
          </w:tcPr>
          <w:p>
            <w:pPr>
              <w:spacing w:after="0"/>
              <w:rPr>
                <w:sz w:val="14"/>
                <w:szCs w:val="14"/>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gridSpan w:val="11"/>
          </w:tcPr>
          <w:p>
            <w:pPr>
              <w:jc w:val="center"/>
              <w:ind w:right="220"/>
              <w:spacing w:after="0"/>
              <w:rPr>
                <w:sz w:val="20"/>
                <w:szCs w:val="20"/>
                <w:color w:val="auto"/>
              </w:rPr>
            </w:pPr>
            <w:r>
              <w:rPr>
                <w:rFonts w:ascii="Arial" w:cs="Arial" w:eastAsia="Arial" w:hAnsi="Arial"/>
                <w:sz w:val="13"/>
                <w:szCs w:val="13"/>
                <w:b w:val="1"/>
                <w:bCs w:val="1"/>
                <w:color w:val="auto"/>
                <w:w w:val="93"/>
              </w:rPr>
              <w:t>Post-Modification Outstanding Amortized Cost by Type of</w:t>
            </w:r>
          </w:p>
        </w:tc>
        <w:tc>
          <w:tcPr>
            <w:tcW w:w="21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Previous Twelve Months That Have</w:t>
            </w:r>
          </w:p>
        </w:tc>
      </w:t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Pre-modification</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w w:val="96"/>
              </w:rPr>
              <w:t>Modification</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Borders>
              <w:bottom w:val="single" w:sz="8" w:color="auto"/>
            </w:tcBorders>
            <w:gridSpan w:val="3"/>
          </w:tcPr>
          <w:p>
            <w:pPr>
              <w:jc w:val="center"/>
              <w:ind w:left="213"/>
              <w:spacing w:after="0"/>
              <w:rPr>
                <w:sz w:val="20"/>
                <w:szCs w:val="20"/>
                <w:color w:val="auto"/>
              </w:rPr>
            </w:pPr>
            <w:r>
              <w:rPr>
                <w:rFonts w:ascii="Arial" w:cs="Arial" w:eastAsia="Arial" w:hAnsi="Arial"/>
                <w:sz w:val="13"/>
                <w:szCs w:val="13"/>
                <w:b w:val="1"/>
                <w:bCs w:val="1"/>
                <w:color w:val="auto"/>
                <w:w w:val="91"/>
              </w:rPr>
              <w:t>Subsequently Defaulted</w:t>
            </w:r>
          </w:p>
        </w:tc>
        <w:tc>
          <w:tcPr>
            <w:tcW w:w="260" w:type="dxa"/>
            <w:vAlign w:val="bottom"/>
            <w:tcBorders>
              <w:bottom w:val="single" w:sz="8" w:color="auto"/>
            </w:tcBorders>
          </w:tcPr>
          <w:p>
            <w:pPr>
              <w:spacing w:after="0"/>
              <w:rPr>
                <w:sz w:val="15"/>
                <w:szCs w:val="15"/>
                <w:color w:val="auto"/>
              </w:rPr>
            </w:pPr>
          </w:p>
        </w:tc>
      </w:tr>
      <w:tr>
        <w:trPr>
          <w:trHeight w:val="163"/>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Number of</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2"/>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Contracts</w:t>
            </w:r>
          </w:p>
        </w:tc>
        <w:tc>
          <w:tcPr>
            <w:tcW w:w="1160" w:type="dxa"/>
            <w:vAlign w:val="bottom"/>
            <w:gridSpan w:val="3"/>
          </w:tcPr>
          <w:p>
            <w:pPr>
              <w:ind w:left="60"/>
              <w:spacing w:after="0"/>
              <w:rPr>
                <w:sz w:val="20"/>
                <w:szCs w:val="20"/>
                <w:color w:val="auto"/>
              </w:rPr>
            </w:pPr>
            <w:r>
              <w:rPr>
                <w:rFonts w:ascii="Arial" w:cs="Arial" w:eastAsia="Arial" w:hAnsi="Arial"/>
                <w:sz w:val="13"/>
                <w:szCs w:val="13"/>
                <w:b w:val="1"/>
                <w:bCs w:val="1"/>
                <w:color w:val="auto"/>
              </w:rPr>
              <w:t>Amortized Cost</w:t>
            </w: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Reduction</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Structure</w:t>
            </w:r>
          </w:p>
        </w:tc>
        <w:tc>
          <w:tcPr>
            <w:tcW w:w="2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Contracts</w:t>
            </w: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Amortized Cost</w:t>
            </w:r>
          </w:p>
        </w:tc>
      </w:tr>
      <w:tr>
        <w:trPr>
          <w:trHeight w:val="263"/>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Three Months Ended March 31, 2020</w:t>
            </w:r>
          </w:p>
        </w:tc>
        <w:tc>
          <w:tcPr>
            <w:tcW w:w="1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90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76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c>
          <w:tcPr>
            <w:tcW w:w="6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6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r>
      <w:tr>
        <w:trPr>
          <w:trHeight w:val="25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1,008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990</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296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235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2"/>
                <w:szCs w:val="22"/>
                <w:color w:val="auto"/>
              </w:rPr>
            </w:pP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w:t>
            </w:r>
          </w:p>
        </w:tc>
      </w:tr>
      <w:tr>
        <w:trPr>
          <w:trHeight w:val="263"/>
        </w:trPr>
        <w:tc>
          <w:tcPr>
            <w:tcW w:w="296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2"/>
                <w:szCs w:val="22"/>
                <w:color w:val="auto"/>
              </w:rPr>
            </w:pP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1"/>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434</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434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434</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49"/>
        </w:trPr>
        <w:tc>
          <w:tcPr>
            <w:tcW w:w="2960" w:type="dxa"/>
            <w:vAlign w:val="bottom"/>
            <w:gridSpan w:val="2"/>
          </w:tcPr>
          <w:p>
            <w:pPr>
              <w:ind w:left="280"/>
              <w:spacing w:after="0"/>
              <w:rPr>
                <w:sz w:val="20"/>
                <w:szCs w:val="20"/>
                <w:color w:val="auto"/>
              </w:rPr>
            </w:pPr>
            <w:r>
              <w:rPr>
                <w:rFonts w:ascii="Arial" w:cs="Arial" w:eastAsia="Arial" w:hAnsi="Arial"/>
                <w:sz w:val="13"/>
                <w:szCs w:val="13"/>
                <w:color w:val="auto"/>
              </w:rPr>
              <w:t>Total commercial</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1,677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1,155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1,656</w:t>
            </w:r>
          </w:p>
        </w:tc>
        <w:tc>
          <w:tcPr>
            <w:tcW w:w="1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6</w:t>
            </w:r>
          </w:p>
        </w:tc>
      </w:tr>
      <w:tr>
        <w:trPr>
          <w:trHeight w:val="27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302</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296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2"/>
                <w:szCs w:val="22"/>
                <w:color w:val="auto"/>
              </w:rPr>
            </w:pP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Consumer</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w:t>
            </w:r>
          </w:p>
        </w:tc>
      </w:tr>
      <w:tr>
        <w:trPr>
          <w:trHeight w:val="243"/>
        </w:trPr>
        <w:tc>
          <w:tcPr>
            <w:tcW w:w="2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loans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1,990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1,945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63"/>
        </w:trPr>
        <w:tc>
          <w:tcPr>
            <w:tcW w:w="2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March 31, 2019</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50"/>
        </w:trPr>
        <w:tc>
          <w:tcPr>
            <w:tcW w:w="296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296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62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2"/>
                <w:szCs w:val="22"/>
                <w:color w:val="auto"/>
              </w:rPr>
            </w:pP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r>
      <w:tr>
        <w:trPr>
          <w:trHeight w:val="257"/>
        </w:trPr>
        <w:tc>
          <w:tcPr>
            <w:tcW w:w="2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commercial</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176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296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3"/>
              <w:spacing w:after="0"/>
              <w:rPr>
                <w:sz w:val="20"/>
                <w:szCs w:val="20"/>
                <w:color w:val="auto"/>
              </w:rPr>
            </w:pPr>
            <w:r>
              <w:rPr>
                <w:rFonts w:ascii="Arial" w:cs="Arial" w:eastAsia="Arial" w:hAnsi="Arial"/>
                <w:sz w:val="13"/>
                <w:szCs w:val="13"/>
                <w:color w:val="auto"/>
              </w:rPr>
              <w:t>345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344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color w:val="auto"/>
              </w:rPr>
              <w:t>344</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2"/>
                <w:szCs w:val="22"/>
                <w:color w:val="auto"/>
              </w:rPr>
            </w:pP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3"/>
        </w:trPr>
        <w:tc>
          <w:tcPr>
            <w:tcW w:w="296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2"/>
                <w:szCs w:val="22"/>
                <w:color w:val="auto"/>
              </w:rPr>
            </w:pPr>
          </w:p>
        </w:tc>
        <w:tc>
          <w:tcPr>
            <w:tcW w:w="260" w:type="dxa"/>
            <w:vAlign w:val="bottom"/>
          </w:tcPr>
          <w:p>
            <w:pPr>
              <w:jc w:val="right"/>
              <w:ind w:right="33"/>
              <w:spacing w:after="0"/>
              <w:rPr>
                <w:sz w:val="20"/>
                <w:szCs w:val="20"/>
                <w:color w:val="auto"/>
              </w:rPr>
            </w:pPr>
            <w:r>
              <w:rPr>
                <w:rFonts w:ascii="Arial" w:cs="Arial" w:eastAsia="Arial" w:hAnsi="Arial"/>
                <w:sz w:val="13"/>
                <w:szCs w:val="13"/>
                <w:color w:val="auto"/>
              </w:rPr>
              <w:t>—</w:t>
            </w:r>
          </w:p>
        </w:tc>
      </w:tr>
      <w:tr>
        <w:trPr>
          <w:trHeight w:val="277"/>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66</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57</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r>
      <w:tr>
        <w:trPr>
          <w:trHeight w:val="243"/>
        </w:trPr>
        <w:tc>
          <w:tcPr>
            <w:tcW w:w="2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loans</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587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577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2020, United had granted short-term deferrals related to the COVID-19 crisis for $164 million of loans that were otherwise performing prior to modification. Pursuant to the CARES Act, these loans were not considered TDRs.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Since the adoption of ASC 326, the ACL for loans represents management’s estimate of life of loan credit losses in the portfolio as of the end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ACL related to unfunded commitments is included in other liabilities in the consolidated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CECL</w:t>
            </w: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Incurred Loss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640" w:type="dxa"/>
            <w:vAlign w:val="bottom"/>
            <w:gridSpan w:val="4"/>
          </w:tcPr>
          <w:p>
            <w:pPr>
              <w:ind w:left="40"/>
              <w:spacing w:after="0"/>
              <w:rPr>
                <w:sz w:val="20"/>
                <w:szCs w:val="20"/>
                <w:color w:val="auto"/>
              </w:rPr>
            </w:pPr>
            <w:r>
              <w:rPr>
                <w:rFonts w:ascii="Arial" w:cs="Arial" w:eastAsia="Arial" w:hAnsi="Arial"/>
                <w:sz w:val="13"/>
                <w:szCs w:val="13"/>
                <w:b w:val="1"/>
                <w:bCs w:val="1"/>
                <w:color w:val="auto"/>
              </w:rPr>
              <w:t>Three Months Ended March 31,</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81"/>
              </w:rPr>
              <w:t>2019</w:t>
            </w:r>
          </w:p>
        </w:tc>
        <w:tc>
          <w:tcPr>
            <w:tcW w:w="120" w:type="dxa"/>
            <w:vAlign w:val="bottom"/>
          </w:tcPr>
          <w:p>
            <w:pPr>
              <w:spacing w:after="0"/>
              <w:rPr>
                <w:sz w:val="10"/>
                <w:szCs w:val="10"/>
                <w:color w:val="auto"/>
              </w:rPr>
            </w:pPr>
          </w:p>
        </w:tc>
        <w:tc>
          <w:tcPr>
            <w:tcW w:w="8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Adoption of</w:t>
            </w:r>
          </w:p>
        </w:tc>
        <w:tc>
          <w:tcPr>
            <w:tcW w:w="8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2"/>
              </w:rPr>
              <w:t>January 1, 2020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(Release)</w:t>
            </w:r>
          </w:p>
        </w:tc>
        <w:tc>
          <w:tcPr>
            <w:tcW w:w="100" w:type="dxa"/>
            <w:vAlign w:val="bottom"/>
          </w:tcPr>
          <w:p>
            <w:pPr>
              <w:spacing w:after="0"/>
              <w:rPr>
                <w:sz w:val="10"/>
                <w:szCs w:val="10"/>
                <w:color w:val="auto"/>
              </w:rPr>
            </w:pPr>
          </w:p>
        </w:tc>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Ending</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5"/>
              </w:rPr>
              <w:t>Beginning</w:t>
            </w:r>
          </w:p>
        </w:tc>
        <w:tc>
          <w:tcPr>
            <w:tcW w:w="120" w:type="dxa"/>
            <w:vAlign w:val="bottom"/>
          </w:tcPr>
          <w:p>
            <w:pPr>
              <w:spacing w:after="0"/>
              <w:rPr>
                <w:sz w:val="10"/>
                <w:szCs w:val="10"/>
                <w:color w:val="auto"/>
              </w:rPr>
            </w:pPr>
          </w:p>
        </w:tc>
        <w:tc>
          <w:tcPr>
            <w:tcW w:w="560" w:type="dxa"/>
            <w:vAlign w:val="bottom"/>
          </w:tcPr>
          <w:p>
            <w:pPr>
              <w:jc w:val="right"/>
              <w:ind w:right="98"/>
              <w:spacing w:after="0" w:line="122" w:lineRule="exact"/>
              <w:rPr>
                <w:sz w:val="20"/>
                <w:szCs w:val="20"/>
                <w:color w:val="auto"/>
              </w:rPr>
            </w:pPr>
            <w:r>
              <w:rPr>
                <w:rFonts w:ascii="Arial" w:cs="Arial" w:eastAsia="Arial" w:hAnsi="Arial"/>
                <w:sz w:val="11"/>
                <w:szCs w:val="11"/>
                <w:b w:val="1"/>
                <w:bCs w:val="1"/>
                <w:color w:val="auto"/>
                <w:w w:val="91"/>
              </w:rPr>
              <w:t>Charge-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(Release)</w:t>
            </w:r>
          </w:p>
        </w:tc>
        <w:tc>
          <w:tcPr>
            <w:tcW w:w="120" w:type="dxa"/>
            <w:vAlign w:val="bottom"/>
          </w:tcPr>
          <w:p>
            <w:pPr>
              <w:spacing w:after="0"/>
              <w:rPr>
                <w:sz w:val="10"/>
                <w:szCs w:val="10"/>
                <w:color w:val="auto"/>
              </w:rPr>
            </w:pPr>
          </w:p>
        </w:tc>
        <w:tc>
          <w:tcPr>
            <w:tcW w:w="540" w:type="dxa"/>
            <w:vAlign w:val="bottom"/>
          </w:tcPr>
          <w:p>
            <w:pPr>
              <w:jc w:val="right"/>
              <w:ind w:right="98"/>
              <w:spacing w:after="0" w:line="122" w:lineRule="exact"/>
              <w:rPr>
                <w:sz w:val="20"/>
                <w:szCs w:val="20"/>
                <w:color w:val="auto"/>
              </w:rPr>
            </w:pPr>
            <w:r>
              <w:rPr>
                <w:rFonts w:ascii="Arial" w:cs="Arial" w:eastAsia="Arial" w:hAnsi="Arial"/>
                <w:sz w:val="11"/>
                <w:szCs w:val="11"/>
                <w:b w:val="1"/>
                <w:bCs w:val="1"/>
                <w:color w:val="auto"/>
                <w:w w:val="96"/>
              </w:rPr>
              <w:t>Ending</w:t>
            </w:r>
          </w:p>
        </w:tc>
        <w:tc>
          <w:tcPr>
            <w:tcW w:w="0" w:type="dxa"/>
            <w:vAlign w:val="bottom"/>
          </w:tcPr>
          <w:p>
            <w:pPr>
              <w:spacing w:after="0"/>
              <w:rPr>
                <w:sz w:val="1"/>
                <w:szCs w:val="1"/>
                <w:color w:val="auto"/>
              </w:rPr>
            </w:pPr>
          </w:p>
        </w:tc>
      </w:tr>
      <w:tr>
        <w:trPr>
          <w:trHeight w:val="140"/>
        </w:trPr>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Balance</w:t>
            </w:r>
          </w:p>
        </w:tc>
        <w:tc>
          <w:tcPr>
            <w:tcW w:w="14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CECL</w:t>
            </w:r>
          </w:p>
        </w:tc>
        <w:tc>
          <w:tcPr>
            <w:tcW w:w="160" w:type="dxa"/>
            <w:vAlign w:val="bottom"/>
          </w:tcPr>
          <w:p>
            <w:pPr>
              <w:spacing w:after="0"/>
              <w:rPr>
                <w:sz w:val="12"/>
                <w:szCs w:val="12"/>
                <w:color w:val="auto"/>
              </w:rPr>
            </w:pPr>
          </w:p>
        </w:tc>
        <w:tc>
          <w:tcPr>
            <w:tcW w:w="660" w:type="dxa"/>
            <w:vAlign w:val="bottom"/>
          </w:tcPr>
          <w:p>
            <w:pPr>
              <w:jc w:val="right"/>
              <w:ind w:right="158"/>
              <w:spacing w:after="0"/>
              <w:rPr>
                <w:sz w:val="20"/>
                <w:szCs w:val="20"/>
                <w:color w:val="auto"/>
              </w:rPr>
            </w:pPr>
            <w:r>
              <w:rPr>
                <w:rFonts w:ascii="Arial" w:cs="Arial" w:eastAsia="Arial" w:hAnsi="Arial"/>
                <w:sz w:val="11"/>
                <w:szCs w:val="11"/>
                <w:b w:val="1"/>
                <w:bCs w:val="1"/>
                <w:color w:val="auto"/>
                <w:w w:val="99"/>
              </w:rPr>
              <w:t>Balance</w:t>
            </w:r>
          </w:p>
        </w:tc>
        <w:tc>
          <w:tcPr>
            <w:tcW w:w="12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Charge-Offs</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Recoveries</w:t>
            </w:r>
          </w:p>
        </w:tc>
        <w:tc>
          <w:tcPr>
            <w:tcW w:w="10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Provision</w:t>
            </w:r>
          </w:p>
        </w:tc>
        <w:tc>
          <w:tcPr>
            <w:tcW w:w="1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Balance</w:t>
            </w:r>
          </w:p>
        </w:tc>
        <w:tc>
          <w:tcPr>
            <w:tcW w:w="120" w:type="dxa"/>
            <w:vAlign w:val="bottom"/>
          </w:tcPr>
          <w:p>
            <w:pPr>
              <w:spacing w:after="0"/>
              <w:rPr>
                <w:sz w:val="12"/>
                <w:szCs w:val="12"/>
                <w:color w:val="auto"/>
              </w:rPr>
            </w:pPr>
          </w:p>
        </w:tc>
        <w:tc>
          <w:tcPr>
            <w:tcW w:w="560" w:type="dxa"/>
            <w:vAlign w:val="bottom"/>
          </w:tcPr>
          <w:p>
            <w:pPr>
              <w:jc w:val="right"/>
              <w:ind w:right="178"/>
              <w:spacing w:after="0"/>
              <w:rPr>
                <w:sz w:val="20"/>
                <w:szCs w:val="20"/>
                <w:color w:val="auto"/>
              </w:rPr>
            </w:pPr>
            <w:r>
              <w:rPr>
                <w:rFonts w:ascii="Arial" w:cs="Arial" w:eastAsia="Arial" w:hAnsi="Arial"/>
                <w:sz w:val="11"/>
                <w:szCs w:val="11"/>
                <w:b w:val="1"/>
                <w:bCs w:val="1"/>
                <w:color w:val="auto"/>
              </w:rPr>
              <w:t>Offs</w:t>
            </w:r>
          </w:p>
        </w:tc>
        <w:tc>
          <w:tcPr>
            <w:tcW w:w="100" w:type="dxa"/>
            <w:vAlign w:val="bottom"/>
          </w:tcPr>
          <w:p>
            <w:pPr>
              <w:spacing w:after="0"/>
              <w:rPr>
                <w:sz w:val="12"/>
                <w:szCs w:val="12"/>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5"/>
              </w:rPr>
              <w:t>Recoveries</w:t>
            </w:r>
          </w:p>
        </w:tc>
        <w:tc>
          <w:tcPr>
            <w:tcW w:w="12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Provision</w:t>
            </w:r>
          </w:p>
        </w:tc>
        <w:tc>
          <w:tcPr>
            <w:tcW w:w="120" w:type="dxa"/>
            <w:vAlign w:val="bottom"/>
          </w:tcPr>
          <w:p>
            <w:pPr>
              <w:spacing w:after="0"/>
              <w:rPr>
                <w:sz w:val="12"/>
                <w:szCs w:val="12"/>
                <w:color w:val="auto"/>
              </w:rPr>
            </w:pPr>
          </w:p>
        </w:tc>
        <w:tc>
          <w:tcPr>
            <w:tcW w:w="540" w:type="dxa"/>
            <w:vAlign w:val="bottom"/>
          </w:tcPr>
          <w:p>
            <w:pPr>
              <w:jc w:val="right"/>
              <w:ind w:right="78"/>
              <w:spacing w:after="0"/>
              <w:rPr>
                <w:sz w:val="20"/>
                <w:szCs w:val="20"/>
                <w:color w:val="auto"/>
              </w:rPr>
            </w:pPr>
            <w:r>
              <w:rPr>
                <w:rFonts w:ascii="Arial" w:cs="Arial" w:eastAsia="Arial" w:hAnsi="Arial"/>
                <w:sz w:val="11"/>
                <w:szCs w:val="11"/>
                <w:b w:val="1"/>
                <w:bCs w:val="1"/>
                <w:color w:val="auto"/>
                <w:w w:val="89"/>
              </w:rPr>
              <w:t>Balance</w:t>
            </w:r>
          </w:p>
        </w:tc>
        <w:tc>
          <w:tcPr>
            <w:tcW w:w="0" w:type="dxa"/>
            <w:vAlign w:val="bottom"/>
          </w:tcPr>
          <w:p>
            <w:pPr>
              <w:spacing w:after="0"/>
              <w:rPr>
                <w:sz w:val="1"/>
                <w:szCs w:val="1"/>
                <w:color w:val="auto"/>
              </w:rPr>
            </w:pPr>
          </w:p>
        </w:tc>
      </w:tr>
      <w:tr>
        <w:trPr>
          <w:trHeight w:val="22"/>
        </w:trPr>
        <w:tc>
          <w:tcPr>
            <w:tcW w:w="1600" w:type="dxa"/>
            <w:vAlign w:val="bottom"/>
            <w:vMerge w:val="restart"/>
          </w:tcPr>
          <w:p>
            <w:pPr>
              <w:ind w:left="40"/>
              <w:spacing w:after="0"/>
              <w:rPr>
                <w:sz w:val="20"/>
                <w:szCs w:val="20"/>
                <w:color w:val="auto"/>
              </w:rPr>
            </w:pPr>
            <w:r>
              <w:rPr>
                <w:rFonts w:ascii="Arial" w:cs="Arial" w:eastAsia="Arial" w:hAnsi="Arial"/>
                <w:sz w:val="13"/>
                <w:szCs w:val="13"/>
                <w:color w:val="auto"/>
              </w:rPr>
              <w:t>Owner occupied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11,404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(1,616)</w:t>
            </w:r>
          </w:p>
        </w:tc>
        <w:tc>
          <w:tcPr>
            <w:tcW w:w="12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9,788</w:t>
            </w:r>
          </w:p>
        </w:tc>
        <w:tc>
          <w:tcPr>
            <w:tcW w:w="260" w:type="dxa"/>
            <w:vAlign w:val="bottom"/>
            <w:gridSpan w:val="2"/>
          </w:tcPr>
          <w:p>
            <w:pPr>
              <w:jc w:val="right"/>
              <w:ind w:right="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11,000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12,207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(5)</w:t>
            </w:r>
          </w:p>
        </w:tc>
        <w:tc>
          <w:tcPr>
            <w:tcW w:w="26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11,874</w:t>
            </w: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producing</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real estate</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12,306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12,276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16,584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11,073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11,126</w:t>
            </w:r>
          </w:p>
        </w:tc>
        <w:tc>
          <w:tcPr>
            <w:tcW w:w="0" w:type="dxa"/>
            <w:vAlign w:val="bottom"/>
          </w:tcPr>
          <w:p>
            <w:pPr>
              <w:spacing w:after="0"/>
              <w:rPr>
                <w:sz w:val="1"/>
                <w:szCs w:val="1"/>
                <w:color w:val="auto"/>
              </w:rPr>
            </w:pPr>
          </w:p>
        </w:tc>
      </w:tr>
      <w:tr>
        <w:trPr>
          <w:trHeight w:val="262"/>
        </w:trPr>
        <w:tc>
          <w:tcPr>
            <w:tcW w:w="1600" w:type="dxa"/>
            <w:vAlign w:val="bottom"/>
          </w:tcPr>
          <w:p>
            <w:pPr>
              <w:ind w:left="40"/>
              <w:spacing w:after="0"/>
              <w:rPr>
                <w:sz w:val="20"/>
                <w:szCs w:val="20"/>
                <w:color w:val="auto"/>
              </w:rPr>
            </w:pPr>
            <w:r>
              <w:rPr>
                <w:rFonts w:ascii="Arial" w:cs="Arial" w:eastAsia="Arial" w:hAnsi="Arial"/>
                <w:sz w:val="13"/>
                <w:szCs w:val="13"/>
                <w:color w:val="auto"/>
              </w:rPr>
              <w:t>Commercial &amp; industrial</w:t>
            </w:r>
          </w:p>
        </w:tc>
        <w:tc>
          <w:tcPr>
            <w:tcW w:w="12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5,266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4,012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9,278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8,738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10,831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4,802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(1,519)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1,449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4,895</w:t>
            </w:r>
          </w:p>
        </w:tc>
        <w:tc>
          <w:tcPr>
            <w:tcW w:w="0" w:type="dxa"/>
            <w:vAlign w:val="bottom"/>
          </w:tcPr>
          <w:p>
            <w:pPr>
              <w:spacing w:after="0"/>
              <w:rPr>
                <w:sz w:val="1"/>
                <w:szCs w:val="1"/>
                <w:color w:val="auto"/>
              </w:rPr>
            </w:pPr>
          </w:p>
        </w:tc>
      </w:tr>
      <w:tr>
        <w:trPr>
          <w:trHeight w:val="278"/>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9,668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(2,583)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9,556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10,337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10,275</w:t>
            </w:r>
          </w:p>
        </w:tc>
        <w:tc>
          <w:tcPr>
            <w:tcW w:w="0" w:type="dxa"/>
            <w:vAlign w:val="bottom"/>
          </w:tcPr>
          <w:p>
            <w:pPr>
              <w:spacing w:after="0"/>
              <w:rPr>
                <w:sz w:val="1"/>
                <w:szCs w:val="1"/>
                <w:color w:val="auto"/>
              </w:rPr>
            </w:pPr>
          </w:p>
        </w:tc>
      </w:tr>
      <w:tr>
        <w:trPr>
          <w:trHeight w:val="262"/>
        </w:trPr>
        <w:tc>
          <w:tcPr>
            <w:tcW w:w="1600" w:type="dxa"/>
            <w:vAlign w:val="bottom"/>
          </w:tcPr>
          <w:p>
            <w:pPr>
              <w:ind w:left="40"/>
              <w:spacing w:after="0"/>
              <w:rPr>
                <w:sz w:val="20"/>
                <w:szCs w:val="20"/>
                <w:color w:val="auto"/>
              </w:rPr>
            </w:pPr>
            <w:r>
              <w:rPr>
                <w:rFonts w:ascii="Arial" w:cs="Arial" w:eastAsia="Arial" w:hAnsi="Arial"/>
                <w:sz w:val="13"/>
                <w:szCs w:val="13"/>
                <w:color w:val="auto"/>
              </w:rPr>
              <w:t>Equipment financing</w:t>
            </w:r>
          </w:p>
        </w:tc>
        <w:tc>
          <w:tcPr>
            <w:tcW w:w="12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7,384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5,871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13,255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2,990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14,738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5,452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(1,424)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2,060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6,231</w:t>
            </w:r>
          </w:p>
        </w:tc>
        <w:tc>
          <w:tcPr>
            <w:tcW w:w="0" w:type="dxa"/>
            <w:vAlign w:val="bottom"/>
          </w:tcPr>
          <w:p>
            <w:pPr>
              <w:spacing w:after="0"/>
              <w:rPr>
                <w:sz w:val="1"/>
                <w:szCs w:val="1"/>
                <w:color w:val="auto"/>
              </w:rPr>
            </w:pPr>
          </w:p>
        </w:tc>
      </w:tr>
      <w:tr>
        <w:trPr>
          <w:trHeight w:val="278"/>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8,081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9,650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1,422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11,063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8,295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8,345</w:t>
            </w:r>
          </w:p>
        </w:tc>
        <w:tc>
          <w:tcPr>
            <w:tcW w:w="0" w:type="dxa"/>
            <w:vAlign w:val="bottom"/>
          </w:tcPr>
          <w:p>
            <w:pPr>
              <w:spacing w:after="0"/>
              <w:rPr>
                <w:sz w:val="1"/>
                <w:szCs w:val="1"/>
                <w:color w:val="auto"/>
              </w:rPr>
            </w:pPr>
          </w:p>
        </w:tc>
      </w:tr>
      <w:tr>
        <w:trPr>
          <w:trHeight w:val="262"/>
        </w:trPr>
        <w:tc>
          <w:tcPr>
            <w:tcW w:w="1600" w:type="dxa"/>
            <w:vAlign w:val="bottom"/>
          </w:tcPr>
          <w:p>
            <w:pPr>
              <w:ind w:left="40"/>
              <w:spacing w:after="0"/>
              <w:rPr>
                <w:sz w:val="20"/>
                <w:szCs w:val="20"/>
                <w:color w:val="auto"/>
              </w:rPr>
            </w:pPr>
            <w:r>
              <w:rPr>
                <w:rFonts w:ascii="Arial" w:cs="Arial" w:eastAsia="Arial" w:hAnsi="Arial"/>
                <w:sz w:val="13"/>
                <w:szCs w:val="13"/>
                <w:color w:val="auto"/>
              </w:rPr>
              <w:t>Home equity lines of credit</w:t>
            </w:r>
          </w:p>
        </w:tc>
        <w:tc>
          <w:tcPr>
            <w:tcW w:w="12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4,575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1,919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6,494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6,887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4,752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4,797</w:t>
            </w:r>
          </w:p>
        </w:tc>
        <w:tc>
          <w:tcPr>
            <w:tcW w:w="0" w:type="dxa"/>
            <w:vAlign w:val="bottom"/>
          </w:tcPr>
          <w:p>
            <w:pPr>
              <w:spacing w:after="0"/>
              <w:rPr>
                <w:sz w:val="1"/>
                <w:szCs w:val="1"/>
                <w:color w:val="auto"/>
              </w:rPr>
            </w:pPr>
          </w:p>
        </w:tc>
      </w:tr>
      <w:tr>
        <w:trPr>
          <w:trHeight w:val="278"/>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2,504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(1,771)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2,390</w:t>
            </w:r>
          </w:p>
        </w:tc>
        <w:tc>
          <w:tcPr>
            <w:tcW w:w="0" w:type="dxa"/>
            <w:vAlign w:val="bottom"/>
          </w:tcPr>
          <w:p>
            <w:pPr>
              <w:spacing w:after="0"/>
              <w:rPr>
                <w:sz w:val="1"/>
                <w:szCs w:val="1"/>
                <w:color w:val="auto"/>
              </w:rPr>
            </w:pPr>
          </w:p>
        </w:tc>
      </w:tr>
      <w:tr>
        <w:trPr>
          <w:trHeight w:val="262"/>
        </w:trPr>
        <w:tc>
          <w:tcPr>
            <w:tcW w:w="1600" w:type="dxa"/>
            <w:vAlign w:val="bottom"/>
          </w:tcPr>
          <w:p>
            <w:pPr>
              <w:ind w:left="40"/>
              <w:spacing w:after="0"/>
              <w:rPr>
                <w:sz w:val="20"/>
                <w:szCs w:val="20"/>
                <w:color w:val="auto"/>
              </w:rPr>
            </w:pPr>
            <w:r>
              <w:rPr>
                <w:rFonts w:ascii="Arial" w:cs="Arial" w:eastAsia="Arial" w:hAnsi="Arial"/>
                <w:sz w:val="13"/>
                <w:szCs w:val="13"/>
                <w:color w:val="auto"/>
              </w:rPr>
              <w:t>Consumer</w:t>
            </w:r>
          </w:p>
        </w:tc>
        <w:tc>
          <w:tcPr>
            <w:tcW w:w="12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427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(547)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837</w:t>
            </w:r>
          </w:p>
        </w:tc>
        <w:tc>
          <w:tcPr>
            <w:tcW w:w="0" w:type="dxa"/>
            <w:vAlign w:val="bottom"/>
          </w:tcPr>
          <w:p>
            <w:pPr>
              <w:spacing w:after="0"/>
              <w:rPr>
                <w:sz w:val="1"/>
                <w:szCs w:val="1"/>
                <w:color w:val="auto"/>
              </w:rPr>
            </w:pPr>
          </w:p>
        </w:tc>
      </w:tr>
      <w:tr>
        <w:trPr>
          <w:trHeight w:val="278"/>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872</w:t>
            </w:r>
          </w:p>
        </w:tc>
        <w:tc>
          <w:tcPr>
            <w:tcW w:w="0" w:type="dxa"/>
            <w:vAlign w:val="bottom"/>
          </w:tcPr>
          <w:p>
            <w:pPr>
              <w:spacing w:after="0"/>
              <w:rPr>
                <w:sz w:val="1"/>
                <w:szCs w:val="1"/>
                <w:color w:val="auto"/>
              </w:rPr>
            </w:pPr>
          </w:p>
        </w:tc>
      </w:tr>
      <w:tr>
        <w:trPr>
          <w:trHeight w:val="128"/>
        </w:trPr>
        <w:tc>
          <w:tcPr>
            <w:tcW w:w="1600" w:type="dxa"/>
            <w:vAlign w:val="bottom"/>
          </w:tcPr>
          <w:p>
            <w:pPr>
              <w:ind w:left="280"/>
              <w:spacing w:after="0" w:line="128" w:lineRule="exact"/>
              <w:rPr>
                <w:sz w:val="20"/>
                <w:szCs w:val="20"/>
                <w:color w:val="auto"/>
              </w:rPr>
            </w:pPr>
            <w:r>
              <w:rPr>
                <w:rFonts w:ascii="Arial" w:cs="Arial" w:eastAsia="Arial" w:hAnsi="Arial"/>
                <w:sz w:val="13"/>
                <w:szCs w:val="13"/>
                <w:color w:val="auto"/>
              </w:rPr>
              <w:t>Total allowance for</w:t>
            </w: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00" w:type="dxa"/>
            <w:vAlign w:val="bottom"/>
          </w:tcPr>
          <w:p>
            <w:pPr>
              <w:ind w:left="280"/>
              <w:spacing w:after="0"/>
              <w:rPr>
                <w:sz w:val="20"/>
                <w:szCs w:val="20"/>
                <w:color w:val="auto"/>
              </w:rPr>
            </w:pPr>
            <w:r>
              <w:rPr>
                <w:rFonts w:ascii="Arial" w:cs="Arial" w:eastAsia="Arial" w:hAnsi="Arial"/>
                <w:sz w:val="13"/>
                <w:szCs w:val="13"/>
                <w:color w:val="auto"/>
              </w:rPr>
              <w:t>credit losses - loans</w:t>
            </w:r>
          </w:p>
        </w:tc>
        <w:tc>
          <w:tcPr>
            <w:tcW w:w="120" w:type="dxa"/>
            <w:vAlign w:val="bottom"/>
          </w:tcPr>
          <w:p>
            <w:pPr>
              <w:spacing w:after="0"/>
              <w:rPr>
                <w:sz w:val="14"/>
                <w:szCs w:val="14"/>
                <w:color w:val="auto"/>
              </w:rPr>
            </w:pP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62,089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6,880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68,969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4"/>
              </w:rPr>
              <w:t>(10,805)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21,050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81,905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61,203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(4,360)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3,569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8"/>
              <w:spacing w:after="0"/>
              <w:rPr>
                <w:sz w:val="20"/>
                <w:szCs w:val="20"/>
                <w:color w:val="auto"/>
              </w:rPr>
            </w:pPr>
            <w:r>
              <w:rPr>
                <w:rFonts w:ascii="Arial" w:cs="Arial" w:eastAsia="Arial" w:hAnsi="Arial"/>
                <w:sz w:val="13"/>
                <w:szCs w:val="13"/>
                <w:color w:val="auto"/>
              </w:rPr>
              <w:t>61,642</w:t>
            </w:r>
          </w:p>
        </w:tc>
        <w:tc>
          <w:tcPr>
            <w:tcW w:w="0" w:type="dxa"/>
            <w:vAlign w:val="bottom"/>
          </w:tcPr>
          <w:p>
            <w:pPr>
              <w:spacing w:after="0"/>
              <w:rPr>
                <w:sz w:val="1"/>
                <w:szCs w:val="1"/>
                <w:color w:val="auto"/>
              </w:rPr>
            </w:pPr>
          </w:p>
        </w:tc>
      </w:tr>
      <w:tr>
        <w:trPr>
          <w:trHeight w:val="156"/>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Allowance for unfunded</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commitments</w:t>
            </w: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3,458</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1,871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5,329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1,141</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6,470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3,410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3,141</w:t>
            </w:r>
          </w:p>
        </w:tc>
        <w:tc>
          <w:tcPr>
            <w:tcW w:w="0" w:type="dxa"/>
            <w:vAlign w:val="bottom"/>
          </w:tcPr>
          <w:p>
            <w:pPr>
              <w:spacing w:after="0"/>
              <w:rPr>
                <w:sz w:val="1"/>
                <w:szCs w:val="1"/>
                <w:color w:val="auto"/>
              </w:rPr>
            </w:pPr>
          </w:p>
        </w:tc>
      </w:tr>
      <w:tr>
        <w:trPr>
          <w:trHeight w:val="128"/>
        </w:trPr>
        <w:tc>
          <w:tcPr>
            <w:tcW w:w="1600" w:type="dxa"/>
            <w:vAlign w:val="bottom"/>
          </w:tcPr>
          <w:p>
            <w:pPr>
              <w:ind w:left="280"/>
              <w:spacing w:after="0" w:line="128" w:lineRule="exact"/>
              <w:rPr>
                <w:sz w:val="20"/>
                <w:szCs w:val="20"/>
                <w:color w:val="auto"/>
              </w:rPr>
            </w:pPr>
            <w:r>
              <w:rPr>
                <w:rFonts w:ascii="Arial" w:cs="Arial" w:eastAsia="Arial" w:hAnsi="Arial"/>
                <w:sz w:val="13"/>
                <w:szCs w:val="13"/>
                <w:color w:val="auto"/>
              </w:rPr>
              <w:t>Total allowance for</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9"/>
              <w:spacing w:after="0"/>
              <w:rPr>
                <w:sz w:val="20"/>
                <w:szCs w:val="20"/>
                <w:color w:val="auto"/>
              </w:rPr>
            </w:pPr>
            <w:r>
              <w:rPr>
                <w:rFonts w:ascii="Arial" w:cs="Arial" w:eastAsia="Arial" w:hAnsi="Arial"/>
                <w:sz w:val="13"/>
                <w:szCs w:val="13"/>
                <w:color w:val="auto"/>
              </w:rPr>
              <w:t>65,547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8"/>
              <w:spacing w:after="0"/>
              <w:rPr>
                <w:sz w:val="20"/>
                <w:szCs w:val="20"/>
                <w:color w:val="auto"/>
              </w:rPr>
            </w:pPr>
            <w:r>
              <w:rPr>
                <w:rFonts w:ascii="Arial" w:cs="Arial" w:eastAsia="Arial" w:hAnsi="Arial"/>
                <w:sz w:val="13"/>
                <w:szCs w:val="13"/>
                <w:color w:val="auto"/>
              </w:rPr>
              <w:t>8,751</w:t>
            </w:r>
          </w:p>
        </w:tc>
        <w:tc>
          <w:tcPr>
            <w:tcW w:w="120" w:type="dxa"/>
            <w:vAlign w:val="bottom"/>
          </w:tcPr>
          <w:p>
            <w:pPr>
              <w:spacing w:after="0"/>
              <w:rPr>
                <w:sz w:val="11"/>
                <w:szCs w:val="11"/>
                <w:color w:val="auto"/>
              </w:rPr>
            </w:pP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8"/>
              <w:spacing w:after="0"/>
              <w:rPr>
                <w:sz w:val="20"/>
                <w:szCs w:val="20"/>
                <w:color w:val="auto"/>
              </w:rPr>
            </w:pPr>
            <w:r>
              <w:rPr>
                <w:rFonts w:ascii="Arial" w:cs="Arial" w:eastAsia="Arial" w:hAnsi="Arial"/>
                <w:sz w:val="13"/>
                <w:szCs w:val="13"/>
                <w:color w:val="auto"/>
              </w:rPr>
              <w:t>74,298</w:t>
            </w:r>
          </w:p>
        </w:tc>
        <w:tc>
          <w:tcPr>
            <w:tcW w:w="260" w:type="dxa"/>
            <w:vAlign w:val="bottom"/>
            <w:gridSpan w:val="2"/>
            <w:vMerge w:val="restart"/>
          </w:tcPr>
          <w:p>
            <w:pPr>
              <w:jc w:val="right"/>
              <w:ind w:right="6"/>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94"/>
              </w:rPr>
              <w:t>(10,805)</w:t>
            </w:r>
          </w:p>
        </w:tc>
        <w:tc>
          <w:tcPr>
            <w:tcW w:w="120" w:type="dxa"/>
            <w:vAlign w:val="bottom"/>
          </w:tcPr>
          <w:p>
            <w:pPr>
              <w:spacing w:after="0"/>
              <w:rPr>
                <w:sz w:val="11"/>
                <w:szCs w:val="1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ind w:right="57"/>
              <w:spacing w:after="0"/>
              <w:rPr>
                <w:sz w:val="20"/>
                <w:szCs w:val="20"/>
                <w:color w:val="auto"/>
              </w:rPr>
            </w:pPr>
            <w:r>
              <w:rPr>
                <w:rFonts w:ascii="Arial" w:cs="Arial" w:eastAsia="Arial" w:hAnsi="Arial"/>
                <w:sz w:val="13"/>
                <w:szCs w:val="13"/>
                <w:color w:val="auto"/>
              </w:rPr>
              <w:t>2,691</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22,191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58"/>
              <w:spacing w:after="0"/>
              <w:rPr>
                <w:sz w:val="20"/>
                <w:szCs w:val="20"/>
                <w:color w:val="auto"/>
              </w:rPr>
            </w:pPr>
            <w:r>
              <w:rPr>
                <w:rFonts w:ascii="Arial" w:cs="Arial" w:eastAsia="Arial" w:hAnsi="Arial"/>
                <w:sz w:val="13"/>
                <w:szCs w:val="13"/>
                <w:color w:val="auto"/>
              </w:rPr>
              <w:t>88,375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8"/>
              <w:spacing w:after="0"/>
              <w:rPr>
                <w:sz w:val="20"/>
                <w:szCs w:val="20"/>
                <w:color w:val="auto"/>
              </w:rPr>
            </w:pPr>
            <w:r>
              <w:rPr>
                <w:rFonts w:ascii="Arial" w:cs="Arial" w:eastAsia="Arial" w:hAnsi="Arial"/>
                <w:sz w:val="13"/>
                <w:szCs w:val="13"/>
                <w:color w:val="auto"/>
              </w:rPr>
              <w:t>64,613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(4,360)</w:t>
            </w:r>
          </w:p>
        </w:tc>
        <w:tc>
          <w:tcPr>
            <w:tcW w:w="260" w:type="dxa"/>
            <w:vAlign w:val="bottom"/>
            <w:gridSpan w:val="2"/>
            <w:vMerge w:val="restart"/>
          </w:tcPr>
          <w:p>
            <w:pPr>
              <w:jc w:val="right"/>
              <w:ind w:right="26"/>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37"/>
              <w:spacing w:after="0"/>
              <w:rPr>
                <w:sz w:val="20"/>
                <w:szCs w:val="20"/>
                <w:color w:val="auto"/>
              </w:rPr>
            </w:pPr>
            <w:r>
              <w:rPr>
                <w:rFonts w:ascii="Arial" w:cs="Arial" w:eastAsia="Arial" w:hAnsi="Arial"/>
                <w:sz w:val="13"/>
                <w:szCs w:val="13"/>
                <w:color w:val="auto"/>
              </w:rPr>
              <w:t>1,230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8"/>
              <w:spacing w:after="0"/>
              <w:rPr>
                <w:sz w:val="20"/>
                <w:szCs w:val="20"/>
                <w:color w:val="auto"/>
              </w:rPr>
            </w:pPr>
            <w:r>
              <w:rPr>
                <w:rFonts w:ascii="Arial" w:cs="Arial" w:eastAsia="Arial" w:hAnsi="Arial"/>
                <w:sz w:val="13"/>
                <w:szCs w:val="13"/>
                <w:color w:val="auto"/>
              </w:rPr>
              <w:t>3,300</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8"/>
              <w:spacing w:after="0"/>
              <w:rPr>
                <w:sz w:val="20"/>
                <w:szCs w:val="20"/>
                <w:color w:val="auto"/>
              </w:rPr>
            </w:pPr>
            <w:r>
              <w:rPr>
                <w:rFonts w:ascii="Arial" w:cs="Arial" w:eastAsia="Arial" w:hAnsi="Arial"/>
                <w:sz w:val="13"/>
                <w:szCs w:val="13"/>
                <w:color w:val="auto"/>
              </w:rPr>
              <w:t>64,783</w:t>
            </w:r>
          </w:p>
        </w:tc>
        <w:tc>
          <w:tcPr>
            <w:tcW w:w="0" w:type="dxa"/>
            <w:vAlign w:val="bottom"/>
          </w:tcPr>
          <w:p>
            <w:pPr>
              <w:spacing w:after="0"/>
              <w:rPr>
                <w:sz w:val="1"/>
                <w:szCs w:val="1"/>
                <w:color w:val="auto"/>
              </w:rPr>
            </w:pPr>
          </w:p>
        </w:tc>
      </w:tr>
      <w:tr>
        <w:trPr>
          <w:trHeight w:val="161"/>
        </w:trPr>
        <w:tc>
          <w:tcPr>
            <w:tcW w:w="1600" w:type="dxa"/>
            <w:vAlign w:val="bottom"/>
          </w:tcPr>
          <w:p>
            <w:pPr>
              <w:ind w:left="280"/>
              <w:spacing w:after="0"/>
              <w:rPr>
                <w:sz w:val="20"/>
                <w:szCs w:val="20"/>
                <w:color w:val="auto"/>
              </w:rPr>
            </w:pPr>
            <w:r>
              <w:rPr>
                <w:rFonts w:ascii="Arial" w:cs="Arial" w:eastAsia="Arial" w:hAnsi="Arial"/>
                <w:sz w:val="13"/>
                <w:szCs w:val="13"/>
                <w:color w:val="auto"/>
              </w:rPr>
              <w:t>credit losses</w:t>
            </w:r>
          </w:p>
        </w:tc>
        <w:tc>
          <w:tcPr>
            <w:tcW w:w="1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2020, United used a one-year reasonable and supportable forecast period. The changes in loss rates used as the basis for the estimate of credit losses during this period were modeled using historical data from peer banks and macroeconomic forecast data obtained from a third party vendor, which were then applied to United’s recent default experience as a starting point. At March 31, 2020, the forecast indicated that the markets in which United operates will experience a decline in economic conditions and an increase in the unemployment rate over the next year, primarily as a result of the COVID-19 pandemic. The increase in the ACL compared to January 1, 2020 was primarily attributable to the worsening trends in the forecast at March 31, 2020 compared to the forecast used at adoption, with the primary economic forecast driver being the change in the unemployment rate.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Disaggregation of Incurred Loss Impairment Methodology</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The following tables represent the recorded investment in loans by portfolio segment and the balance of the allowance assigned to each segment based on the method of evaluating the loans for impairment as of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Loans Outstanding</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Allowance for Credit Losses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Ending</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8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PCI</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4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for impairment</w:t>
            </w: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2940" w:type="dxa"/>
            <w:vAlign w:val="bottom"/>
          </w:tcPr>
          <w:p>
            <w:pPr>
              <w:ind w:left="4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19,233</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1,692,448</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8,546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1,720,227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10,483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11,404</w:t>
            </w:r>
          </w:p>
        </w:tc>
        <w:tc>
          <w:tcPr>
            <w:tcW w:w="0" w:type="dxa"/>
            <w:vAlign w:val="bottom"/>
          </w:tcPr>
          <w:p>
            <w:pPr>
              <w:spacing w:after="0"/>
              <w:rPr>
                <w:sz w:val="1"/>
                <w:szCs w:val="1"/>
                <w:color w:val="auto"/>
              </w:rPr>
            </w:pP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1,962,588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2,007,950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1,218,882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1,220,657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965,678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976,215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739,532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3,985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744,544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7,240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1,092,046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1,117,616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264"/>
        </w:trPr>
        <w:tc>
          <w:tcPr>
            <w:tcW w:w="2940" w:type="dxa"/>
            <w:vAlign w:val="bottom"/>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658,273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660,675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276"/>
        </w:trPr>
        <w:tc>
          <w:tcPr>
            <w:tcW w:w="2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234,807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2,504</w:t>
            </w: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Consumer</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128,232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8,691,936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8,812,553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62,089</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4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line="20" w:lineRule="exact"/>
              <w:rPr>
                <w:sz w:val="1"/>
                <w:szCs w:val="1"/>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3,458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line="20" w:lineRule="exact"/>
              <w:rPr>
                <w:sz w:val="1"/>
                <w:szCs w:val="1"/>
                <w:color w:val="auto"/>
              </w:rPr>
            </w:pPr>
          </w:p>
        </w:tc>
      </w:tr>
      <w:tr>
        <w:trPr>
          <w:trHeight w:val="245"/>
        </w:trPr>
        <w:tc>
          <w:tcPr>
            <w:tcW w:w="2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additional detail on loans individually evaluated for impairment under Incurred Loss by class as of December 31, 2019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r>
      <w:tr>
        <w:trPr>
          <w:trHeight w:val="209"/>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Unpaid Principal</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1380"/>
              <w:spacing w:after="0"/>
              <w:rPr>
                <w:sz w:val="20"/>
                <w:szCs w:val="20"/>
                <w:color w:val="auto"/>
              </w:rPr>
            </w:pPr>
            <w:r>
              <w:rPr>
                <w:rFonts w:ascii="Arial" w:cs="Arial" w:eastAsia="Arial" w:hAnsi="Arial"/>
                <w:sz w:val="16"/>
                <w:szCs w:val="16"/>
                <w:b w:val="1"/>
                <w:bCs w:val="1"/>
                <w:color w:val="auto"/>
                <w:w w:val="93"/>
              </w:rPr>
              <w:t>Allowance for Loan</w:t>
            </w:r>
          </w:p>
        </w:tc>
      </w:tr>
      <w:tr>
        <w:trPr>
          <w:trHeight w:val="210"/>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Recorded Investment</w:t>
            </w:r>
          </w:p>
        </w:tc>
        <w:tc>
          <w:tcPr>
            <w:tcW w:w="160" w:type="dxa"/>
            <w:vAlign w:val="bottom"/>
          </w:tcPr>
          <w:p>
            <w:pPr>
              <w:spacing w:after="0"/>
              <w:rPr>
                <w:sz w:val="18"/>
                <w:szCs w:val="18"/>
                <w:color w:val="auto"/>
              </w:rPr>
            </w:pPr>
          </w:p>
        </w:tc>
        <w:tc>
          <w:tcPr>
            <w:tcW w:w="2840" w:type="dxa"/>
            <w:vAlign w:val="bottom"/>
            <w:gridSpan w:val="2"/>
          </w:tcPr>
          <w:p>
            <w:pPr>
              <w:jc w:val="center"/>
              <w:ind w:right="1380"/>
              <w:spacing w:after="0"/>
              <w:rPr>
                <w:sz w:val="20"/>
                <w:szCs w:val="20"/>
                <w:color w:val="auto"/>
              </w:rPr>
            </w:pPr>
            <w:r>
              <w:rPr>
                <w:rFonts w:ascii="Arial" w:cs="Arial" w:eastAsia="Arial" w:hAnsi="Arial"/>
                <w:sz w:val="16"/>
                <w:szCs w:val="16"/>
                <w:b w:val="1"/>
                <w:bCs w:val="1"/>
                <w:color w:val="auto"/>
                <w:w w:val="86"/>
              </w:rPr>
              <w:t>Losses Allocated</w:t>
            </w:r>
          </w:p>
        </w:tc>
      </w:tr>
      <w:tr>
        <w:trPr>
          <w:trHeight w:val="3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30"/>
        </w:trPr>
        <w:tc>
          <w:tcPr>
            <w:tcW w:w="46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With no related allowance recorded:</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9,527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8,118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840" w:type="dxa"/>
            <w:vAlign w:val="bottom"/>
            <w:gridSpan w:val="2"/>
          </w:tcPr>
          <w:p>
            <w:pPr>
              <w:jc w:val="right"/>
              <w:ind w:right="1340"/>
              <w:spacing w:after="0"/>
              <w:rPr>
                <w:sz w:val="20"/>
                <w:szCs w:val="20"/>
                <w:color w:val="auto"/>
              </w:rPr>
            </w:pPr>
            <w:r>
              <w:rPr>
                <w:rFonts w:ascii="Arial" w:cs="Arial" w:eastAsia="Arial" w:hAnsi="Arial"/>
                <w:sz w:val="16"/>
                <w:szCs w:val="16"/>
                <w:color w:val="auto"/>
              </w:rPr>
              <w:t>—</w:t>
            </w: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Commercial &amp; industrial</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2"/>
          </w:tcPr>
          <w:p>
            <w:pPr>
              <w:jc w:val="right"/>
              <w:ind w:right="1340"/>
              <w:spacing w:after="0"/>
              <w:rPr>
                <w:sz w:val="20"/>
                <w:szCs w:val="20"/>
                <w:color w:val="auto"/>
              </w:rPr>
            </w:pPr>
            <w:r>
              <w:rPr>
                <w:rFonts w:ascii="Arial" w:cs="Arial" w:eastAsia="Arial" w:hAnsi="Arial"/>
                <w:sz w:val="16"/>
                <w:szCs w:val="16"/>
                <w:color w:val="auto"/>
              </w:rPr>
              <w:t>—</w:t>
            </w: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Commercial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Equipment financing</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2"/>
          </w:tcPr>
          <w:p>
            <w:pPr>
              <w:jc w:val="right"/>
              <w:ind w:right="1340"/>
              <w:spacing w:after="0"/>
              <w:rPr>
                <w:sz w:val="20"/>
                <w:szCs w:val="20"/>
                <w:color w:val="auto"/>
              </w:rPr>
            </w:pPr>
            <w:r>
              <w:rPr>
                <w:rFonts w:ascii="Arial" w:cs="Arial" w:eastAsia="Arial" w:hAnsi="Arial"/>
                <w:sz w:val="16"/>
                <w:szCs w:val="16"/>
                <w:color w:val="auto"/>
              </w:rPr>
              <w:t>—</w:t>
            </w:r>
          </w:p>
        </w:tc>
      </w:tr>
      <w:tr>
        <w:trPr>
          <w:trHeight w:val="3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30"/>
        </w:trPr>
        <w:tc>
          <w:tcPr>
            <w:tcW w:w="46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Total commercial</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2"/>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7,362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6,436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2"/>
          </w:tcPr>
          <w:p>
            <w:pPr>
              <w:jc w:val="right"/>
              <w:ind w:right="1340"/>
              <w:spacing w:after="0"/>
              <w:rPr>
                <w:sz w:val="20"/>
                <w:szCs w:val="20"/>
                <w:color w:val="auto"/>
              </w:rPr>
            </w:pPr>
            <w:r>
              <w:rPr>
                <w:rFonts w:ascii="Arial" w:cs="Arial" w:eastAsia="Arial" w:hAnsi="Arial"/>
                <w:sz w:val="16"/>
                <w:szCs w:val="16"/>
                <w:color w:val="auto"/>
              </w:rPr>
              <w:t>—</w:t>
            </w: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Home equity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2"/>
          </w:tcPr>
          <w:p>
            <w:pPr>
              <w:jc w:val="right"/>
              <w:ind w:right="1340"/>
              <w:spacing w:after="0"/>
              <w:rPr>
                <w:sz w:val="20"/>
                <w:szCs w:val="20"/>
                <w:color w:val="auto"/>
              </w:rPr>
            </w:pPr>
            <w:r>
              <w:rPr>
                <w:rFonts w:ascii="Arial" w:cs="Arial" w:eastAsia="Arial" w:hAnsi="Arial"/>
                <w:sz w:val="16"/>
                <w:szCs w:val="16"/>
                <w:color w:val="auto"/>
              </w:rPr>
              <w:t>—</w:t>
            </w: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tcPr>
          <w:p>
            <w:pPr>
              <w:ind w:left="1400"/>
              <w:spacing w:after="0"/>
              <w:rPr>
                <w:sz w:val="20"/>
                <w:szCs w:val="20"/>
                <w:color w:val="auto"/>
              </w:rPr>
            </w:pPr>
            <w:r>
              <w:rPr>
                <w:rFonts w:ascii="Arial" w:cs="Arial" w:eastAsia="Arial" w:hAnsi="Arial"/>
                <w:sz w:val="16"/>
                <w:szCs w:val="16"/>
                <w:color w:val="auto"/>
              </w:rPr>
              <w:t>Total with no related allowance recorded</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8"/>
                <w:szCs w:val="18"/>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77"/>
        </w:trPr>
        <w:tc>
          <w:tcPr>
            <w:tcW w:w="4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600" w:type="dxa"/>
            <w:vAlign w:val="bottom"/>
          </w:tcPr>
          <w:p>
            <w:pPr>
              <w:ind w:left="1160"/>
              <w:spacing w:after="0"/>
              <w:rPr>
                <w:sz w:val="20"/>
                <w:szCs w:val="20"/>
                <w:color w:val="auto"/>
              </w:rPr>
            </w:pPr>
            <w:r>
              <w:rPr>
                <w:rFonts w:ascii="Arial" w:cs="Arial" w:eastAsia="Arial" w:hAnsi="Arial"/>
                <w:sz w:val="16"/>
                <w:szCs w:val="16"/>
                <w:color w:val="auto"/>
              </w:rPr>
              <w:t>With an allowance recorded:</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816</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13,591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770</w:t>
            </w:r>
          </w:p>
        </w:tc>
        <w:tc>
          <w:tcPr>
            <w:tcW w:w="122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Commercial &amp; 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1,535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2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jc w:val="right"/>
              <w:ind w:right="1340"/>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tcPr>
          <w:p>
            <w:pPr>
              <w:ind w:left="1400"/>
              <w:spacing w:after="0"/>
              <w:rPr>
                <w:sz w:val="20"/>
                <w:szCs w:val="20"/>
                <w:color w:val="auto"/>
              </w:rPr>
            </w:pPr>
            <w:r>
              <w:rPr>
                <w:rFonts w:ascii="Arial" w:cs="Arial" w:eastAsia="Arial" w:hAnsi="Arial"/>
                <w:sz w:val="16"/>
                <w:szCs w:val="16"/>
                <w:color w:val="auto"/>
              </w:rPr>
              <w:t>Total commercial</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1,662</w:t>
            </w:r>
          </w:p>
        </w:tc>
        <w:tc>
          <w:tcPr>
            <w:tcW w:w="122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Residential mortgage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Home equity lines of credit</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20" w:type="dxa"/>
            <w:vAlign w:val="bottom"/>
          </w:tcPr>
          <w:p>
            <w:pPr>
              <w:spacing w:after="0"/>
              <w:rPr>
                <w:sz w:val="20"/>
                <w:szCs w:val="20"/>
                <w:color w:val="auto"/>
              </w:rPr>
            </w:pPr>
          </w:p>
        </w:tc>
      </w:tr>
      <w:tr>
        <w:trPr>
          <w:trHeight w:val="33"/>
        </w:trPr>
        <w:tc>
          <w:tcPr>
            <w:tcW w:w="4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Residential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600" w:type="dxa"/>
            <w:vAlign w:val="bottom"/>
          </w:tcPr>
          <w:p>
            <w:pPr>
              <w:ind w:left="1300"/>
              <w:spacing w:after="0"/>
              <w:rPr>
                <w:sz w:val="20"/>
                <w:szCs w:val="20"/>
                <w:color w:val="auto"/>
              </w:rPr>
            </w:pPr>
            <w:r>
              <w:rPr>
                <w:rFonts w:ascii="Arial" w:cs="Arial" w:eastAsia="Arial" w:hAnsi="Arial"/>
                <w:sz w:val="16"/>
                <w:szCs w:val="16"/>
                <w:color w:val="auto"/>
              </w:rPr>
              <w:t>Consumer</w:t>
            </w:r>
          </w:p>
        </w:tc>
        <w:tc>
          <w:tcPr>
            <w:tcW w:w="18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20" w:type="dxa"/>
            <w:vAlign w:val="bottom"/>
          </w:tcPr>
          <w:p>
            <w:pPr>
              <w:spacing w:after="0"/>
              <w:rPr>
                <w:sz w:val="20"/>
                <w:szCs w:val="20"/>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Total 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2,512</w:t>
            </w:r>
          </w:p>
        </w:tc>
        <w:tc>
          <w:tcPr>
            <w:tcW w:w="1220" w:type="dxa"/>
            <w:vAlign w:val="bottom"/>
            <w:tcBorders>
              <w:bottom w:val="single" w:sz="8" w:color="CCEEFF"/>
            </w:tcBorders>
            <w:shd w:val="clear" w:color="auto" w:fill="CCEEFF"/>
          </w:tcPr>
          <w:p>
            <w:pPr>
              <w:spacing w:after="0"/>
              <w:rPr>
                <w:sz w:val="21"/>
                <w:szCs w:val="21"/>
                <w:color w:val="auto"/>
              </w:rPr>
            </w:pPr>
          </w:p>
        </w:tc>
      </w:tr>
      <w:tr>
        <w:trPr>
          <w:trHeight w:val="244"/>
        </w:trPr>
        <w:tc>
          <w:tcPr>
            <w:tcW w:w="4600" w:type="dxa"/>
            <w:vAlign w:val="bottom"/>
          </w:tcPr>
          <w:p>
            <w:pPr>
              <w:ind w:left="15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65,985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61,971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2,512</w:t>
            </w:r>
          </w:p>
        </w:tc>
        <w:tc>
          <w:tcPr>
            <w:tcW w:w="122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831"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21" w:right="339" w:bottom="831"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under Incurred Loss are presented below for the period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6"/>
          </w:tcPr>
          <w:p>
            <w:pPr>
              <w:jc w:val="center"/>
              <w:ind w:left="479"/>
              <w:spacing w:after="0"/>
              <w:rPr>
                <w:sz w:val="20"/>
                <w:szCs w:val="20"/>
                <w:color w:val="auto"/>
              </w:rPr>
            </w:pPr>
            <w:r>
              <w:rPr>
                <w:rFonts w:ascii="Arial" w:cs="Arial" w:eastAsia="Arial" w:hAnsi="Arial"/>
                <w:sz w:val="16"/>
                <w:szCs w:val="16"/>
                <w:b w:val="1"/>
                <w:bCs w:val="1"/>
                <w:color w:val="auto"/>
                <w:w w:val="93"/>
              </w:rPr>
              <w:t>Three Months Ended March 31, 2019</w:t>
            </w: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1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1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Revenue</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3"/>
        </w:trPr>
        <w:tc>
          <w:tcPr>
            <w:tcW w:w="14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Recognized During</w:t>
            </w:r>
          </w:p>
        </w:tc>
        <w:tc>
          <w:tcPr>
            <w:tcW w:w="3020" w:type="dxa"/>
            <w:vAlign w:val="bottom"/>
            <w:gridSpan w:val="3"/>
          </w:tcPr>
          <w:p>
            <w:pPr>
              <w:jc w:val="center"/>
              <w:ind w:right="1580"/>
              <w:spacing w:after="0"/>
              <w:rPr>
                <w:sz w:val="20"/>
                <w:szCs w:val="20"/>
                <w:color w:val="auto"/>
              </w:rPr>
            </w:pPr>
            <w:r>
              <w:rPr>
                <w:rFonts w:ascii="Arial" w:cs="Arial" w:eastAsia="Arial" w:hAnsi="Arial"/>
                <w:sz w:val="16"/>
                <w:szCs w:val="16"/>
                <w:b w:val="1"/>
                <w:bCs w:val="1"/>
                <w:color w:val="auto"/>
                <w:w w:val="88"/>
              </w:rPr>
              <w:t>Cash Basis Interest</w:t>
            </w:r>
          </w:p>
        </w:tc>
      </w:tr>
      <w:tr>
        <w:trPr>
          <w:trHeight w:val="210"/>
        </w:trPr>
        <w:tc>
          <w:tcPr>
            <w:tcW w:w="1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Average Balance</w:t>
            </w: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Impairment</w:t>
            </w:r>
          </w:p>
        </w:tc>
        <w:tc>
          <w:tcPr>
            <w:tcW w:w="302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89"/>
              </w:rPr>
              <w:t>Revenue Received</w:t>
            </w:r>
          </w:p>
        </w:tc>
      </w:tr>
      <w:tr>
        <w:trPr>
          <w:trHeight w:val="33"/>
        </w:trPr>
        <w:tc>
          <w:tcPr>
            <w:tcW w:w="146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30"/>
        </w:trPr>
        <w:tc>
          <w:tcPr>
            <w:tcW w:w="146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580" w:type="dxa"/>
            <w:vAlign w:val="bottom"/>
            <w:tcBorders>
              <w:bottom w:val="single" w:sz="8" w:color="CCEEFF"/>
            </w:tcBorders>
            <w:shd w:val="clear" w:color="auto" w:fill="CCEEFF"/>
          </w:tcPr>
          <w:p>
            <w:pPr>
              <w:spacing w:after="0"/>
              <w:rPr>
                <w:sz w:val="20"/>
                <w:szCs w:val="20"/>
                <w:color w:val="auto"/>
              </w:rPr>
            </w:pPr>
          </w:p>
        </w:tc>
      </w:tr>
      <w:tr>
        <w:trPr>
          <w:trHeight w:val="237"/>
        </w:trPr>
        <w:tc>
          <w:tcPr>
            <w:tcW w:w="1460" w:type="dxa"/>
            <w:vAlign w:val="bottom"/>
          </w:tcPr>
          <w:p>
            <w:pPr>
              <w:spacing w:after="0"/>
              <w:rPr>
                <w:sz w:val="20"/>
                <w:szCs w:val="20"/>
                <w:color w:val="auto"/>
              </w:rPr>
            </w:pPr>
          </w:p>
        </w:tc>
        <w:tc>
          <w:tcPr>
            <w:tcW w:w="362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14,237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580" w:type="dxa"/>
            <w:vAlign w:val="bottom"/>
          </w:tcPr>
          <w:p>
            <w:pPr>
              <w:spacing w:after="0"/>
              <w:rPr>
                <w:sz w:val="20"/>
                <w:szCs w:val="20"/>
                <w:color w:val="auto"/>
              </w:rPr>
            </w:pPr>
          </w:p>
        </w:tc>
      </w:tr>
      <w:tr>
        <w:trPr>
          <w:trHeight w:val="33"/>
        </w:trPr>
        <w:tc>
          <w:tcPr>
            <w:tcW w:w="1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1460" w:type="dxa"/>
            <w:vAlign w:val="bottom"/>
          </w:tcPr>
          <w:p>
            <w:pPr>
              <w:spacing w:after="0"/>
              <w:rPr>
                <w:sz w:val="20"/>
                <w:szCs w:val="20"/>
                <w:color w:val="auto"/>
              </w:rPr>
            </w:pPr>
          </w:p>
        </w:tc>
        <w:tc>
          <w:tcPr>
            <w:tcW w:w="362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580" w:type="dxa"/>
            <w:vAlign w:val="bottom"/>
          </w:tcPr>
          <w:p>
            <w:pPr>
              <w:spacing w:after="0"/>
              <w:rPr>
                <w:sz w:val="20"/>
                <w:szCs w:val="20"/>
                <w:color w:val="auto"/>
              </w:rPr>
            </w:pPr>
          </w:p>
        </w:tc>
      </w:tr>
      <w:tr>
        <w:trPr>
          <w:trHeight w:val="33"/>
        </w:trPr>
        <w:tc>
          <w:tcPr>
            <w:tcW w:w="1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46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gridSpan w:val="2"/>
            <w:shd w:val="clear" w:color="auto" w:fill="CCEEFF"/>
          </w:tcPr>
          <w:p>
            <w:pPr>
              <w:jc w:val="right"/>
              <w:ind w:right="1680"/>
              <w:spacing w:after="0"/>
              <w:rPr>
                <w:sz w:val="20"/>
                <w:szCs w:val="20"/>
                <w:color w:val="auto"/>
              </w:rPr>
            </w:pPr>
            <w:r>
              <w:rPr>
                <w:rFonts w:ascii="Arial" w:cs="Arial" w:eastAsia="Arial" w:hAnsi="Arial"/>
                <w:sz w:val="16"/>
                <w:szCs w:val="16"/>
                <w:color w:val="auto"/>
              </w:rPr>
              <w:t>—</w:t>
            </w:r>
          </w:p>
        </w:tc>
      </w:tr>
      <w:tr>
        <w:trPr>
          <w:trHeight w:val="217"/>
        </w:trPr>
        <w:tc>
          <w:tcPr>
            <w:tcW w:w="1460" w:type="dxa"/>
            <w:vAlign w:val="bottom"/>
          </w:tcPr>
          <w:p>
            <w:pPr>
              <w:spacing w:after="0"/>
              <w:rPr>
                <w:sz w:val="18"/>
                <w:szCs w:val="18"/>
                <w:color w:val="auto"/>
              </w:rPr>
            </w:pPr>
          </w:p>
        </w:tc>
        <w:tc>
          <w:tcPr>
            <w:tcW w:w="3620" w:type="dxa"/>
            <w:vAlign w:val="bottom"/>
            <w:gridSpan w:val="2"/>
          </w:tcPr>
          <w:p>
            <w:pPr>
              <w:ind w:left="160"/>
              <w:spacing w:after="0"/>
              <w:rPr>
                <w:sz w:val="20"/>
                <w:szCs w:val="20"/>
                <w:color w:val="auto"/>
              </w:rPr>
            </w:pPr>
            <w:r>
              <w:rPr>
                <w:rFonts w:ascii="Arial" w:cs="Arial" w:eastAsia="Arial" w:hAnsi="Arial"/>
                <w:sz w:val="16"/>
                <w:szCs w:val="16"/>
                <w:color w:val="auto"/>
              </w:rPr>
              <w:t>Total commercial</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543</w:t>
            </w:r>
          </w:p>
        </w:tc>
        <w:tc>
          <w:tcPr>
            <w:tcW w:w="1580" w:type="dxa"/>
            <w:vAlign w:val="bottom"/>
          </w:tcPr>
          <w:p>
            <w:pPr>
              <w:spacing w:after="0"/>
              <w:rPr>
                <w:sz w:val="18"/>
                <w:szCs w:val="18"/>
                <w:color w:val="auto"/>
              </w:rPr>
            </w:pPr>
          </w:p>
        </w:tc>
      </w:tr>
      <w:tr>
        <w:trPr>
          <w:trHeight w:val="33"/>
        </w:trPr>
        <w:tc>
          <w:tcPr>
            <w:tcW w:w="1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1460" w:type="dxa"/>
            <w:vAlign w:val="bottom"/>
          </w:tcPr>
          <w:p>
            <w:pPr>
              <w:spacing w:after="0"/>
              <w:rPr>
                <w:sz w:val="20"/>
                <w:szCs w:val="20"/>
                <w:color w:val="auto"/>
              </w:rPr>
            </w:pPr>
          </w:p>
        </w:tc>
        <w:tc>
          <w:tcPr>
            <w:tcW w:w="362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580" w:type="dxa"/>
            <w:vAlign w:val="bottom"/>
          </w:tcPr>
          <w:p>
            <w:pPr>
              <w:spacing w:after="0"/>
              <w:rPr>
                <w:sz w:val="20"/>
                <w:szCs w:val="20"/>
                <w:color w:val="auto"/>
              </w:rPr>
            </w:pPr>
          </w:p>
        </w:tc>
      </w:tr>
      <w:tr>
        <w:trPr>
          <w:trHeight w:val="33"/>
        </w:trPr>
        <w:tc>
          <w:tcPr>
            <w:tcW w:w="1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37"/>
        </w:trPr>
        <w:tc>
          <w:tcPr>
            <w:tcW w:w="1460" w:type="dxa"/>
            <w:vAlign w:val="bottom"/>
          </w:tcPr>
          <w:p>
            <w:pPr>
              <w:spacing w:after="0"/>
              <w:rPr>
                <w:sz w:val="20"/>
                <w:szCs w:val="20"/>
                <w:color w:val="auto"/>
              </w:rPr>
            </w:pPr>
          </w:p>
        </w:tc>
        <w:tc>
          <w:tcPr>
            <w:tcW w:w="3620" w:type="dxa"/>
            <w:vAlign w:val="bottom"/>
            <w:gridSpan w:val="2"/>
          </w:tcPr>
          <w:p>
            <w:pPr>
              <w:ind w:left="40"/>
              <w:spacing w:after="0"/>
              <w:rPr>
                <w:sz w:val="20"/>
                <w:szCs w:val="20"/>
                <w:color w:val="auto"/>
              </w:rPr>
            </w:pPr>
            <w:r>
              <w:rPr>
                <w:rFonts w:ascii="Arial" w:cs="Arial" w:eastAsia="Arial" w:hAnsi="Arial"/>
                <w:sz w:val="16"/>
                <w:szCs w:val="16"/>
                <w:color w:val="auto"/>
              </w:rPr>
              <w:t>Consumer</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580" w:type="dxa"/>
            <w:vAlign w:val="bottom"/>
          </w:tcPr>
          <w:p>
            <w:pPr>
              <w:spacing w:after="0"/>
              <w:rPr>
                <w:sz w:val="20"/>
                <w:szCs w:val="20"/>
                <w:color w:val="auto"/>
              </w:rPr>
            </w:pPr>
          </w:p>
        </w:tc>
      </w:tr>
      <w:tr>
        <w:trPr>
          <w:trHeight w:val="33"/>
        </w:trPr>
        <w:tc>
          <w:tcPr>
            <w:tcW w:w="14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46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580" w:type="dxa"/>
            <w:vAlign w:val="bottom"/>
            <w:tcBorders>
              <w:bottom w:val="single" w:sz="8" w:color="CCEEFF"/>
            </w:tcBorders>
            <w:shd w:val="clear" w:color="auto" w:fill="CCEEFF"/>
          </w:tcPr>
          <w:p>
            <w:pPr>
              <w:spacing w:after="0"/>
              <w:rPr>
                <w:sz w:val="23"/>
                <w:szCs w:val="23"/>
                <w:color w:val="auto"/>
              </w:rPr>
            </w:pPr>
          </w:p>
        </w:tc>
      </w:tr>
      <w:tr>
        <w:trPr>
          <w:trHeight w:val="243"/>
        </w:trPr>
        <w:tc>
          <w:tcPr>
            <w:tcW w:w="1460" w:type="dxa"/>
            <w:vAlign w:val="bottom"/>
          </w:tcPr>
          <w:p>
            <w:pPr>
              <w:spacing w:after="0"/>
              <w:rPr>
                <w:sz w:val="21"/>
                <w:szCs w:val="21"/>
                <w:color w:val="auto"/>
              </w:rPr>
            </w:pPr>
          </w:p>
        </w:tc>
        <w:tc>
          <w:tcPr>
            <w:tcW w:w="362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54,328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c>
          <w:tcPr>
            <w:tcW w:w="1580" w:type="dxa"/>
            <w:vAlign w:val="bottom"/>
          </w:tcPr>
          <w:p>
            <w:pPr>
              <w:spacing w:after="0"/>
              <w:rPr>
                <w:sz w:val="21"/>
                <w:szCs w:val="2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Reclassifications Out of Accumulated Other Comprehensive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Details about Accumulated Other Comprehensive Income</w:t>
            </w:r>
          </w:p>
        </w:tc>
        <w:tc>
          <w:tcPr>
            <w:tcW w:w="320" w:type="dxa"/>
            <w:vAlign w:val="bottom"/>
          </w:tcPr>
          <w:p>
            <w:pPr>
              <w:spacing w:after="0"/>
              <w:rPr>
                <w:sz w:val="18"/>
                <w:szCs w:val="18"/>
                <w:color w:val="auto"/>
              </w:rPr>
            </w:pPr>
          </w:p>
        </w:tc>
        <w:tc>
          <w:tcPr>
            <w:tcW w:w="15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40" w:type="dxa"/>
            <w:vAlign w:val="bottom"/>
          </w:tcPr>
          <w:p>
            <w:pPr>
              <w:spacing w:after="0"/>
              <w:rPr>
                <w:sz w:val="18"/>
                <w:szCs w:val="18"/>
                <w:color w:val="auto"/>
              </w:rPr>
            </w:pPr>
          </w:p>
        </w:tc>
        <w:tc>
          <w:tcPr>
            <w:tcW w:w="3360" w:type="dxa"/>
            <w:vAlign w:val="bottom"/>
            <w:vMerge w:val="restart"/>
          </w:tcPr>
          <w:p>
            <w:pPr>
              <w:ind w:left="240"/>
              <w:spacing w:after="0"/>
              <w:rPr>
                <w:sz w:val="20"/>
                <w:szCs w:val="20"/>
                <w:color w:val="auto"/>
              </w:rPr>
            </w:pPr>
            <w:r>
              <w:rPr>
                <w:rFonts w:ascii="Arial" w:cs="Arial" w:eastAsia="Arial" w:hAnsi="Arial"/>
                <w:sz w:val="16"/>
                <w:szCs w:val="16"/>
                <w:b w:val="1"/>
                <w:bCs w:val="1"/>
                <w:color w:val="auto"/>
                <w:w w:val="96"/>
              </w:rPr>
              <w:t>Affected Line Item in the Statement Where</w:t>
            </w:r>
          </w:p>
        </w:tc>
        <w:tc>
          <w:tcPr>
            <w:tcW w:w="0" w:type="dxa"/>
            <w:vAlign w:val="bottom"/>
          </w:tcPr>
          <w:p>
            <w:pPr>
              <w:spacing w:after="0"/>
              <w:rPr>
                <w:sz w:val="1"/>
                <w:szCs w:val="1"/>
                <w:color w:val="auto"/>
              </w:rPr>
            </w:pPr>
          </w:p>
        </w:tc>
      </w:tr>
      <w:tr>
        <w:trPr>
          <w:trHeight w:val="33"/>
        </w:trPr>
        <w:tc>
          <w:tcPr>
            <w:tcW w:w="5080" w:type="dxa"/>
            <w:vAlign w:val="bottom"/>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40"/>
              <w:spacing w:after="0"/>
              <w:rPr>
                <w:sz w:val="20"/>
                <w:szCs w:val="20"/>
                <w:color w:val="auto"/>
              </w:rPr>
            </w:pPr>
            <w:r>
              <w:rPr>
                <w:rFonts w:ascii="Arial" w:cs="Arial" w:eastAsia="Arial" w:hAnsi="Arial"/>
                <w:sz w:val="16"/>
                <w:szCs w:val="16"/>
                <w:b w:val="1"/>
                <w:bCs w:val="1"/>
                <w:color w:val="auto"/>
              </w:rPr>
              <w:t>Components</w:t>
            </w: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3360" w:type="dxa"/>
            <w:vAlign w:val="bottom"/>
          </w:tcPr>
          <w:p>
            <w:pPr>
              <w:ind w:left="900"/>
              <w:spacing w:after="0"/>
              <w:rPr>
                <w:sz w:val="20"/>
                <w:szCs w:val="20"/>
                <w:color w:val="auto"/>
              </w:rPr>
            </w:pPr>
            <w:r>
              <w:rPr>
                <w:rFonts w:ascii="Arial" w:cs="Arial" w:eastAsia="Arial" w:hAnsi="Arial"/>
                <w:sz w:val="16"/>
                <w:szCs w:val="16"/>
                <w:b w:val="1"/>
                <w:bCs w:val="1"/>
                <w:color w:val="auto"/>
              </w:rPr>
              <w:t>Net Income is Presented</w:t>
            </w:r>
          </w:p>
        </w:tc>
        <w:tc>
          <w:tcPr>
            <w:tcW w:w="0" w:type="dxa"/>
            <w:vAlign w:val="bottom"/>
          </w:tcPr>
          <w:p>
            <w:pPr>
              <w:spacing w:after="0"/>
              <w:rPr>
                <w:sz w:val="1"/>
                <w:szCs w:val="1"/>
                <w:color w:val="auto"/>
              </w:rPr>
            </w:pPr>
          </w:p>
        </w:tc>
      </w:tr>
      <w:tr>
        <w:trPr>
          <w:trHeight w:val="33"/>
        </w:trPr>
        <w:tc>
          <w:tcPr>
            <w:tcW w:w="5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80" w:type="dxa"/>
            <w:vAlign w:val="bottom"/>
          </w:tcPr>
          <w:p>
            <w:pPr>
              <w:ind w:left="40"/>
              <w:spacing w:after="0"/>
              <w:rPr>
                <w:sz w:val="20"/>
                <w:szCs w:val="20"/>
                <w:color w:val="auto"/>
              </w:rPr>
            </w:pPr>
            <w:r>
              <w:rPr>
                <w:rFonts w:ascii="Arial" w:cs="Arial" w:eastAsia="Arial" w:hAnsi="Arial"/>
                <w:sz w:val="16"/>
                <w:szCs w:val="16"/>
                <w:color w:val="auto"/>
              </w:rPr>
              <w:t>Realized losses on available-for-sale securities: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Securities losses, net</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3360" w:type="dxa"/>
            <w:vAlign w:val="bottom"/>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644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Amortization of losses included in net income on available-for-sale securities transferred to held-to-maturity:</w:t>
            </w:r>
          </w:p>
        </w:tc>
        <w:tc>
          <w:tcPr>
            <w:tcW w:w="3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w:t>
            </w:r>
          </w:p>
        </w:tc>
        <w:tc>
          <w:tcPr>
            <w:tcW w:w="3360" w:type="dxa"/>
            <w:vAlign w:val="bottom"/>
          </w:tcPr>
          <w:p>
            <w:pPr>
              <w:ind w:left="14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83"/>
        </w:trPr>
        <w:tc>
          <w:tcPr>
            <w:tcW w:w="50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7880" w:type="dxa"/>
            <w:vAlign w:val="bottom"/>
            <w:gridSpan w:val="6"/>
          </w:tcPr>
          <w:p>
            <w:pPr>
              <w:ind w:left="40"/>
              <w:spacing w:after="0"/>
              <w:rPr>
                <w:sz w:val="20"/>
                <w:szCs w:val="20"/>
                <w:color w:val="auto"/>
              </w:rPr>
            </w:pPr>
            <w:r>
              <w:rPr>
                <w:rFonts w:ascii="Arial" w:cs="Arial" w:eastAsia="Arial" w:hAnsi="Arial"/>
                <w:sz w:val="16"/>
                <w:szCs w:val="16"/>
                <w:color w:val="auto"/>
                <w:w w:val="95"/>
              </w:rPr>
              <w:t>Amortization of losses included in net income on derivative financial instruments accounted for as cash flow hedges:</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losses on de-designated positions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Deposit interest expense</w:t>
            </w: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3360" w:type="dxa"/>
            <w:vAlign w:val="bottom"/>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Reclassifications related to defined benefit pension plan activity: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3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280"/>
              <w:spacing w:after="0"/>
              <w:rPr>
                <w:sz w:val="20"/>
                <w:szCs w:val="20"/>
                <w:color w:val="auto"/>
              </w:rPr>
            </w:pPr>
            <w:r>
              <w:rPr>
                <w:rFonts w:ascii="Arial" w:cs="Arial" w:eastAsia="Arial" w:hAnsi="Arial"/>
                <w:sz w:val="16"/>
                <w:szCs w:val="16"/>
                <w:color w:val="auto"/>
              </w:rPr>
              <w:t>Prior service cost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(159)</w:t>
            </w:r>
          </w:p>
        </w:tc>
        <w:tc>
          <w:tcPr>
            <w:tcW w:w="3360" w:type="dxa"/>
            <w:vAlign w:val="bottom"/>
          </w:tcPr>
          <w:p>
            <w:pPr>
              <w:ind w:left="14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Actuarial losses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3360" w:type="dxa"/>
            <w:vAlign w:val="bottom"/>
          </w:tcPr>
          <w:p>
            <w:pPr>
              <w:ind w:left="14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3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83"/>
        </w:trPr>
        <w:tc>
          <w:tcPr>
            <w:tcW w:w="50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71"/>
        </w:trPr>
        <w:tc>
          <w:tcPr>
            <w:tcW w:w="5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3360" w:type="dxa"/>
            <w:vAlign w:val="bottom"/>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ectPr>
          <w:pgSz w:w="11900" w:h="16838" w:orient="portrait"/>
          <w:cols w:equalWidth="0" w:num="1">
            <w:col w:w="11240"/>
          </w:cols>
          <w:pgMar w:left="320" w:top="121" w:right="339" w:bottom="52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21" w:right="339" w:bottom="52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83" w:lineRule="exact"/>
        <w:rPr>
          <w:sz w:val="20"/>
          <w:szCs w:val="20"/>
          <w:color w:val="auto"/>
        </w:rPr>
      </w:pPr>
    </w:p>
    <w:p>
      <w:pPr>
        <w:jc w:val="center"/>
        <w:ind w:left="53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53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33020</wp:posOffset>
            </wp:positionV>
            <wp:extent cx="1774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560" w:type="dxa"/>
            <w:vAlign w:val="bottom"/>
          </w:tcPr>
          <w:p>
            <w:pPr>
              <w:spacing w:after="0"/>
              <w:rPr>
                <w:sz w:val="18"/>
                <w:szCs w:val="18"/>
                <w:color w:val="auto"/>
              </w:rPr>
            </w:pPr>
          </w:p>
        </w:tc>
      </w:tr>
      <w:tr>
        <w:trPr>
          <w:trHeight w:val="33"/>
        </w:trPr>
        <w:tc>
          <w:tcPr>
            <w:tcW w:w="6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30"/>
        </w:trPr>
        <w:tc>
          <w:tcPr>
            <w:tcW w:w="68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44,262</w:t>
            </w:r>
          </w:p>
        </w:tc>
        <w:tc>
          <w:tcPr>
            <w:tcW w:w="1560" w:type="dxa"/>
            <w:vAlign w:val="bottom"/>
            <w:tcBorders>
              <w:bottom w:val="single" w:sz="8" w:color="CCEEFF"/>
            </w:tcBorders>
            <w:shd w:val="clear" w:color="auto" w:fill="CCEEFF"/>
          </w:tcPr>
          <w:p>
            <w:pPr>
              <w:spacing w:after="0"/>
              <w:rPr>
                <w:sz w:val="20"/>
                <w:szCs w:val="20"/>
                <w:color w:val="auto"/>
              </w:rPr>
            </w:pPr>
          </w:p>
        </w:tc>
      </w:tr>
      <w:tr>
        <w:trPr>
          <w:trHeight w:val="237"/>
        </w:trPr>
        <w:tc>
          <w:tcPr>
            <w:tcW w:w="6880" w:type="dxa"/>
            <w:vAlign w:val="bottom"/>
          </w:tcPr>
          <w:p>
            <w:pPr>
              <w:ind w:left="1620"/>
              <w:spacing w:after="0"/>
              <w:rPr>
                <w:sz w:val="20"/>
                <w:szCs w:val="20"/>
                <w:color w:val="auto"/>
              </w:rPr>
            </w:pPr>
            <w:r>
              <w:rPr>
                <w:rFonts w:ascii="Arial" w:cs="Arial" w:eastAsia="Arial" w:hAnsi="Arial"/>
                <w:sz w:val="16"/>
                <w:szCs w:val="16"/>
                <w:color w:val="auto"/>
              </w:rPr>
              <w:t>Dividends and undistributed earnings allocated to unvested shares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w:t>
            </w:r>
          </w:p>
        </w:tc>
        <w:tc>
          <w:tcPr>
            <w:tcW w:w="1560" w:type="dxa"/>
            <w:vAlign w:val="bottom"/>
          </w:tcPr>
          <w:p>
            <w:pPr>
              <w:spacing w:after="0"/>
              <w:rPr>
                <w:sz w:val="20"/>
                <w:szCs w:val="20"/>
                <w:color w:val="auto"/>
              </w:rPr>
            </w:pPr>
          </w:p>
        </w:tc>
      </w:tr>
      <w:tr>
        <w:trPr>
          <w:trHeight w:val="33"/>
        </w:trPr>
        <w:tc>
          <w:tcPr>
            <w:tcW w:w="6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68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Net income available to common shareholders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31,641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43,947</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71"/>
        </w:trPr>
        <w:tc>
          <w:tcPr>
            <w:tcW w:w="6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68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6880" w:type="dxa"/>
            <w:vAlign w:val="bottom"/>
          </w:tcPr>
          <w:p>
            <w:pPr>
              <w:ind w:left="174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79,340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79,807</w:t>
            </w:r>
          </w:p>
        </w:tc>
        <w:tc>
          <w:tcPr>
            <w:tcW w:w="1560" w:type="dxa"/>
            <w:vAlign w:val="bottom"/>
          </w:tcPr>
          <w:p>
            <w:pPr>
              <w:spacing w:after="0"/>
              <w:rPr>
                <w:sz w:val="20"/>
                <w:szCs w:val="20"/>
                <w:color w:val="auto"/>
              </w:rPr>
            </w:pPr>
          </w:p>
        </w:tc>
      </w:tr>
      <w:tr>
        <w:trPr>
          <w:trHeight w:val="33"/>
        </w:trPr>
        <w:tc>
          <w:tcPr>
            <w:tcW w:w="6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6880" w:type="dxa"/>
            <w:vAlign w:val="bottom"/>
          </w:tcPr>
          <w:p>
            <w:pPr>
              <w:ind w:left="1860"/>
              <w:spacing w:after="0"/>
              <w:rPr>
                <w:sz w:val="20"/>
                <w:szCs w:val="20"/>
                <w:color w:val="auto"/>
              </w:rPr>
            </w:pPr>
            <w:r>
              <w:rPr>
                <w:rFonts w:ascii="Arial" w:cs="Arial" w:eastAsia="Arial" w:hAnsi="Arial"/>
                <w:sz w:val="16"/>
                <w:szCs w:val="16"/>
                <w:color w:val="auto"/>
              </w:rPr>
              <w:t>Stock options</w:t>
            </w: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560" w:type="dxa"/>
            <w:vAlign w:val="bottom"/>
          </w:tcPr>
          <w:p>
            <w:pPr>
              <w:spacing w:after="0"/>
              <w:rPr>
                <w:sz w:val="20"/>
                <w:szCs w:val="20"/>
                <w:color w:val="auto"/>
              </w:rPr>
            </w:pPr>
          </w:p>
        </w:tc>
      </w:tr>
      <w:tr>
        <w:trPr>
          <w:trHeight w:val="33"/>
        </w:trPr>
        <w:tc>
          <w:tcPr>
            <w:tcW w:w="6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560" w:type="dxa"/>
            <w:vAlign w:val="bottom"/>
            <w:tcBorders>
              <w:bottom w:val="single" w:sz="8" w:color="CCEEFF"/>
            </w:tcBorders>
            <w:shd w:val="clear" w:color="auto" w:fill="CCEEFF"/>
          </w:tcPr>
          <w:p>
            <w:pPr>
              <w:spacing w:after="0"/>
              <w:rPr>
                <w:sz w:val="23"/>
                <w:szCs w:val="23"/>
                <w:color w:val="auto"/>
              </w:rPr>
            </w:pPr>
          </w:p>
        </w:tc>
      </w:tr>
      <w:tr>
        <w:trPr>
          <w:trHeight w:val="283"/>
        </w:trPr>
        <w:tc>
          <w:tcPr>
            <w:tcW w:w="6880" w:type="dxa"/>
            <w:vAlign w:val="bottom"/>
            <w:tcBorders>
              <w:bottom w:val="single" w:sz="8" w:color="CCEEFF"/>
            </w:tcBorders>
          </w:tcPr>
          <w:p>
            <w:pPr>
              <w:ind w:left="1740"/>
              <w:spacing w:after="0"/>
              <w:rPr>
                <w:sz w:val="20"/>
                <w:szCs w:val="20"/>
                <w:color w:val="auto"/>
              </w:rPr>
            </w:pPr>
            <w:r>
              <w:rPr>
                <w:rFonts w:ascii="Arial" w:cs="Arial" w:eastAsia="Arial" w:hAnsi="Arial"/>
                <w:sz w:val="16"/>
                <w:szCs w:val="16"/>
                <w:color w:val="auto"/>
              </w:rPr>
              <w:t>Diluted</w:t>
            </w: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79,446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79,813</w:t>
            </w:r>
          </w:p>
        </w:tc>
        <w:tc>
          <w:tcPr>
            <w:tcW w:w="1560" w:type="dxa"/>
            <w:vAlign w:val="bottom"/>
            <w:tcBorders>
              <w:bottom w:val="single" w:sz="8" w:color="CCEEFF"/>
            </w:tcBorders>
          </w:tcPr>
          <w:p>
            <w:pPr>
              <w:spacing w:after="0"/>
              <w:rPr>
                <w:sz w:val="24"/>
                <w:szCs w:val="24"/>
                <w:color w:val="auto"/>
              </w:rPr>
            </w:pPr>
          </w:p>
        </w:tc>
      </w:tr>
      <w:tr>
        <w:trPr>
          <w:trHeight w:val="271"/>
        </w:trPr>
        <w:tc>
          <w:tcPr>
            <w:tcW w:w="6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7"/>
        </w:trPr>
        <w:tc>
          <w:tcPr>
            <w:tcW w:w="6880" w:type="dxa"/>
            <w:vAlign w:val="bottom"/>
          </w:tcPr>
          <w:p>
            <w:pPr>
              <w:ind w:left="1620"/>
              <w:spacing w:after="0"/>
              <w:rPr>
                <w:sz w:val="20"/>
                <w:szCs w:val="20"/>
                <w:color w:val="auto"/>
              </w:rPr>
            </w:pPr>
            <w:r>
              <w:rPr>
                <w:rFonts w:ascii="Arial" w:cs="Arial" w:eastAsia="Arial" w:hAnsi="Arial"/>
                <w:sz w:val="16"/>
                <w:szCs w:val="16"/>
                <w:b w:val="1"/>
                <w:bCs w:val="1"/>
                <w:color w:val="auto"/>
              </w:rPr>
              <w:t>Net income per common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6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7"/>
        </w:trPr>
        <w:tc>
          <w:tcPr>
            <w:tcW w:w="6880" w:type="dxa"/>
            <w:vAlign w:val="bottom"/>
          </w:tcPr>
          <w:p>
            <w:pPr>
              <w:ind w:left="17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0.55</w:t>
            </w:r>
          </w:p>
        </w:tc>
        <w:tc>
          <w:tcPr>
            <w:tcW w:w="156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United excluded 1,000 potentially dilutive shares of common stock issuable upon exercise of stock options with a weighted average exercise price of $30.45 from the computation of diluted earnings per share because of their antidilutive effect.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United excluded 31,812 potentially dilutive shares of common stock issuable upon exercise of stock options with a weighted average exercise price of $31.47 from the computation of diluted earnings per share because of their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through a combination of pricing and term structure of deposit product offerings, the amount and duration of its investment securities portfolio and wholesale funding and, to a lesser degree, through the use of derivative financial instruments. From time to time,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has master netting agreements with the derivatives dealers with which it does business, but has elected to reflect gross assets and liabilities on the consolidated balance sheets.</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ind w:left="52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21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Derivative</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Asset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Liability</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Liability</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Fair value hedge of brokered time deposits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Derivatives not designated as hedging instruments: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derivative positions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Dealer offsets to customer derivative positions</w:t>
            </w: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20,318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6,425</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Risk participations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Mortgage banking - loan commitment</w:t>
            </w: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Mortgage banking - forward sales commitment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7"/>
        </w:trPr>
        <w:tc>
          <w:tcPr>
            <w:tcW w:w="6420" w:type="dxa"/>
            <w:vAlign w:val="bottom"/>
          </w:tcPr>
          <w:p>
            <w:pPr>
              <w:ind w:left="280"/>
              <w:spacing w:after="0"/>
              <w:rPr>
                <w:sz w:val="20"/>
                <w:szCs w:val="20"/>
                <w:color w:val="auto"/>
              </w:rPr>
            </w:pPr>
            <w:r>
              <w:rPr>
                <w:rFonts w:ascii="Arial" w:cs="Arial" w:eastAsia="Arial" w:hAnsi="Arial"/>
                <w:sz w:val="16"/>
                <w:szCs w:val="16"/>
                <w:color w:val="auto"/>
              </w:rPr>
              <w:t>Bifurcated embedded derivatives</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Dealer offsets to bifurcated embedded derivatives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7,667</w:t>
            </w:r>
          </w:p>
        </w:tc>
        <w:tc>
          <w:tcPr>
            <w:tcW w:w="0" w:type="dxa"/>
            <w:vAlign w:val="bottom"/>
          </w:tcPr>
          <w:p>
            <w:pPr>
              <w:spacing w:after="0"/>
              <w:rPr>
                <w:sz w:val="1"/>
                <w:szCs w:val="1"/>
                <w:color w:val="auto"/>
              </w:rPr>
            </w:pPr>
          </w:p>
        </w:tc>
      </w:tr>
      <w:tr>
        <w:trPr>
          <w:trHeight w:val="283"/>
        </w:trPr>
        <w:tc>
          <w:tcPr>
            <w:tcW w:w="64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82,668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27,205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35,007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14,636</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derivatives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82,668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27,349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35,007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71"/>
        </w:trPr>
        <w:tc>
          <w:tcPr>
            <w:tcW w:w="6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Total gross derivative instruments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82,668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27,349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35,007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Amounts subject to master netting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6"/>
                <w:szCs w:val="16"/>
                <w:color w:val="auto"/>
              </w:rPr>
              <w:t>Less: Cash collateral received/pledged</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(14,933)</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82,618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derivative positions include swaps, caps, and corridors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London Interbank Offered Rate (“LIBOR”) and therefore provide an economic hedge.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gains and other related fee income in the consolidated statements of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March 31, 2020 and December 31, 2019 United did not have any active cash flow hedges. The loss remaining in other comprehensive income from prior hedges that had previously been de-designated was being amortized into earnings over the original term of the swaps as the forecasted transactions that the swaps were originally designated to hedge were still expected to occur. During the second quarter of 2019, United amortized the remaining balance of losses on terminated hedging positions from other comprehensive income, which was the only effect of cash flow hedges on the consolidated statements of income for the three months ended March 31, 2020 and 2019. See Note 5 for further detail.</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2020 and December 31, 2019, United had three and four, respectively, interest rate swaps with an aggregate notional amount of $27.9 million and $37.9 million, respectively, that were designated as fair value hedges of fixed-rate brokered time deposits. The swaps involved the receipt of fixed-rate amounts from a counterparty in exchange for United making variable rate payments over the life of the agreements.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w w:val="88"/>
              </w:rPr>
              <w:t>Interest expense - deposits</w:t>
            </w:r>
          </w:p>
        </w:tc>
        <w:tc>
          <w:tcPr>
            <w:tcW w:w="720" w:type="dxa"/>
            <w:vAlign w:val="bottom"/>
          </w:tcPr>
          <w:p>
            <w:pPr>
              <w:spacing w:after="0"/>
              <w:rPr>
                <w:sz w:val="18"/>
                <w:szCs w:val="18"/>
                <w:color w:val="auto"/>
              </w:rPr>
            </w:pPr>
          </w:p>
        </w:tc>
      </w:tr>
      <w:tr>
        <w:trPr>
          <w:trHeight w:val="33"/>
        </w:trPr>
        <w:tc>
          <w:tcPr>
            <w:tcW w:w="6880" w:type="dxa"/>
            <w:vAlign w:val="bottom"/>
          </w:tcPr>
          <w:p>
            <w:pPr>
              <w:spacing w:after="0"/>
              <w:rPr>
                <w:sz w:val="2"/>
                <w:szCs w:val="2"/>
                <w:color w:val="auto"/>
              </w:rPr>
            </w:pPr>
          </w:p>
        </w:tc>
        <w:tc>
          <w:tcPr>
            <w:tcW w:w="3640" w:type="dxa"/>
            <w:vAlign w:val="bottom"/>
            <w:tcBorders>
              <w:bottom w:val="single" w:sz="8" w:color="auto"/>
            </w:tcBorders>
            <w:gridSpan w:val="4"/>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880" w:type="dxa"/>
            <w:vAlign w:val="bottom"/>
          </w:tcPr>
          <w:p>
            <w:pPr>
              <w:spacing w:after="0"/>
              <w:rPr>
                <w:sz w:val="18"/>
                <w:szCs w:val="18"/>
                <w:color w:val="auto"/>
              </w:rPr>
            </w:pPr>
          </w:p>
        </w:tc>
        <w:tc>
          <w:tcPr>
            <w:tcW w:w="364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8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8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720" w:type="dxa"/>
            <w:vAlign w:val="bottom"/>
          </w:tcPr>
          <w:p>
            <w:pPr>
              <w:spacing w:after="0"/>
              <w:rPr>
                <w:sz w:val="20"/>
                <w:szCs w:val="20"/>
                <w:color w:val="auto"/>
              </w:rPr>
            </w:pPr>
          </w:p>
        </w:tc>
      </w:tr>
      <w:tr>
        <w:trPr>
          <w:trHeight w:val="33"/>
        </w:trPr>
        <w:tc>
          <w:tcPr>
            <w:tcW w:w="68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880" w:type="dxa"/>
            <w:vAlign w:val="bottom"/>
          </w:tcPr>
          <w:p>
            <w:pPr>
              <w:ind w:left="40"/>
              <w:spacing w:after="0"/>
              <w:rPr>
                <w:sz w:val="20"/>
                <w:szCs w:val="20"/>
                <w:color w:val="auto"/>
              </w:rPr>
            </w:pPr>
            <w:r>
              <w:rPr>
                <w:rFonts w:ascii="Arial" w:cs="Arial" w:eastAsia="Arial" w:hAnsi="Arial"/>
                <w:sz w:val="16"/>
                <w:szCs w:val="16"/>
                <w:color w:val="auto"/>
              </w:rPr>
              <w:t>Total amounts presented in the consolidated statements of income</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15,075</w:t>
            </w:r>
          </w:p>
        </w:tc>
        <w:tc>
          <w:tcPr>
            <w:tcW w:w="100" w:type="dxa"/>
            <w:vAlign w:val="bottom"/>
          </w:tcPr>
          <w:p>
            <w:pPr>
              <w:spacing w:after="0"/>
              <w:rPr>
                <w:sz w:val="18"/>
                <w:szCs w:val="18"/>
                <w:color w:val="auto"/>
              </w:rPr>
            </w:pPr>
          </w:p>
        </w:tc>
        <w:tc>
          <w:tcPr>
            <w:tcW w:w="1400" w:type="dxa"/>
            <w:vAlign w:val="bottom"/>
          </w:tcPr>
          <w:p>
            <w:pPr>
              <w:jc w:val="right"/>
              <w:ind w:right="1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15,957</w:t>
            </w:r>
          </w:p>
        </w:tc>
      </w:tr>
      <w:tr>
        <w:trPr>
          <w:trHeight w:val="33"/>
        </w:trPr>
        <w:tc>
          <w:tcPr>
            <w:tcW w:w="6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3"/>
        </w:trPr>
        <w:tc>
          <w:tcPr>
            <w:tcW w:w="68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37"/>
        </w:trPr>
        <w:tc>
          <w:tcPr>
            <w:tcW w:w="6880" w:type="dxa"/>
            <w:vAlign w:val="bottom"/>
          </w:tcPr>
          <w:p>
            <w:pPr>
              <w:ind w:left="40"/>
              <w:spacing w:after="0"/>
              <w:rPr>
                <w:sz w:val="20"/>
                <w:szCs w:val="20"/>
                <w:color w:val="auto"/>
              </w:rPr>
            </w:pPr>
            <w:r>
              <w:rPr>
                <w:rFonts w:ascii="Arial" w:cs="Arial" w:eastAsia="Arial" w:hAnsi="Arial"/>
                <w:sz w:val="16"/>
                <w:szCs w:val="16"/>
                <w:color w:val="auto"/>
              </w:rPr>
              <w:t>Gains (losses) on fair value hedging relationships:</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6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contracts: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6880" w:type="dxa"/>
            <w:vAlign w:val="bottom"/>
          </w:tcPr>
          <w:p>
            <w:pPr>
              <w:ind w:left="180"/>
              <w:spacing w:after="0"/>
              <w:rPr>
                <w:sz w:val="20"/>
                <w:szCs w:val="20"/>
                <w:color w:val="auto"/>
              </w:rPr>
            </w:pPr>
            <w:r>
              <w:rPr>
                <w:rFonts w:ascii="Arial" w:cs="Arial" w:eastAsia="Arial" w:hAnsi="Arial"/>
                <w:sz w:val="16"/>
                <w:szCs w:val="16"/>
                <w:color w:val="auto"/>
              </w:rPr>
              <w:t>Amounts related to interest settlements on derivatives</w:t>
            </w:r>
          </w:p>
        </w:tc>
        <w:tc>
          <w:tcPr>
            <w:tcW w:w="1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6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Recognized on derivatives</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w:t>
            </w:r>
          </w:p>
        </w:tc>
      </w:tr>
      <w:tr>
        <w:trPr>
          <w:trHeight w:val="237"/>
        </w:trPr>
        <w:tc>
          <w:tcPr>
            <w:tcW w:w="6880" w:type="dxa"/>
            <w:vAlign w:val="bottom"/>
          </w:tcPr>
          <w:p>
            <w:pPr>
              <w:ind w:left="180"/>
              <w:spacing w:after="0"/>
              <w:rPr>
                <w:sz w:val="20"/>
                <w:szCs w:val="20"/>
                <w:color w:val="auto"/>
              </w:rPr>
            </w:pPr>
            <w:r>
              <w:rPr>
                <w:rFonts w:ascii="Arial" w:cs="Arial" w:eastAsia="Arial" w:hAnsi="Arial"/>
                <w:sz w:val="16"/>
                <w:szCs w:val="16"/>
                <w:color w:val="auto"/>
              </w:rPr>
              <w:t>Recognized on hedged items</w:t>
            </w:r>
          </w:p>
        </w:tc>
        <w:tc>
          <w:tcPr>
            <w:tcW w:w="1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33"/>
        </w:trPr>
        <w:tc>
          <w:tcPr>
            <w:tcW w:w="6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(expense) recognized on fair value hedges</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6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gridSpan w:val="5"/>
          </w:tcPr>
          <w:p>
            <w:pPr>
              <w:ind w:left="1540"/>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8"/>
                <w:szCs w:val="18"/>
                <w:color w:val="auto"/>
              </w:rPr>
            </w:pPr>
          </w:p>
        </w:tc>
        <w:tc>
          <w:tcPr>
            <w:tcW w:w="4220" w:type="dxa"/>
            <w:vAlign w:val="bottom"/>
            <w:gridSpan w:val="4"/>
          </w:tcPr>
          <w:p>
            <w:pPr>
              <w:ind w:left="140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Carrying amount of Assets</w:t>
            </w:r>
          </w:p>
        </w:tc>
        <w:tc>
          <w:tcPr>
            <w:tcW w:w="18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Hedge Accounting Basis</w:t>
            </w:r>
          </w:p>
        </w:tc>
        <w:tc>
          <w:tcPr>
            <w:tcW w:w="1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Pr>
          <w:p>
            <w:pPr>
              <w:spacing w:after="0"/>
              <w:rPr>
                <w:sz w:val="18"/>
                <w:szCs w:val="18"/>
                <w:color w:val="auto"/>
              </w:rPr>
            </w:pPr>
          </w:p>
        </w:tc>
        <w:tc>
          <w:tcPr>
            <w:tcW w:w="196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Hedge Accounting Basis</w:t>
            </w:r>
          </w:p>
        </w:tc>
      </w:tr>
      <w:tr>
        <w:trPr>
          <w:trHeight w:val="210"/>
        </w:trPr>
        <w:tc>
          <w:tcPr>
            <w:tcW w:w="2380" w:type="dxa"/>
            <w:vAlign w:val="bottom"/>
            <w:gridSpan w:val="2"/>
          </w:tcPr>
          <w:p>
            <w:pPr>
              <w:ind w:left="320"/>
              <w:spacing w:after="0"/>
              <w:rPr>
                <w:sz w:val="20"/>
                <w:szCs w:val="20"/>
                <w:color w:val="auto"/>
              </w:rPr>
            </w:pPr>
            <w:r>
              <w:rPr>
                <w:rFonts w:ascii="Arial" w:cs="Arial" w:eastAsia="Arial" w:hAnsi="Arial"/>
                <w:sz w:val="16"/>
                <w:szCs w:val="16"/>
                <w:b w:val="1"/>
                <w:bCs w:val="1"/>
                <w:color w:val="auto"/>
              </w:rPr>
              <w:t>Balance Sheet Location</w:t>
            </w:r>
          </w:p>
        </w:tc>
        <w:tc>
          <w:tcPr>
            <w:tcW w:w="14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(Liabilities)</w:t>
            </w:r>
          </w:p>
        </w:tc>
        <w:tc>
          <w:tcPr>
            <w:tcW w:w="180" w:type="dxa"/>
            <w:vAlign w:val="bottom"/>
          </w:tcPr>
          <w:p>
            <w:pPr>
              <w:spacing w:after="0"/>
              <w:rPr>
                <w:sz w:val="18"/>
                <w:szCs w:val="18"/>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Adjustment</w:t>
            </w:r>
          </w:p>
        </w:tc>
        <w:tc>
          <w:tcPr>
            <w:tcW w:w="1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19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Adjustment</w:t>
            </w:r>
          </w:p>
        </w:tc>
      </w:tr>
      <w:tr>
        <w:trPr>
          <w:trHeight w:val="33"/>
        </w:trPr>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(35,880)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w:t>
            </w:r>
          </w:p>
        </w:tc>
      </w:tr>
      <w:tr>
        <w:trPr>
          <w:trHeight w:val="33"/>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600" w:type="dxa"/>
            <w:vAlign w:val="bottom"/>
          </w:tcPr>
          <w:p>
            <w:pPr>
              <w:jc w:val="center"/>
              <w:ind w:left="39"/>
              <w:spacing w:after="0"/>
              <w:rPr>
                <w:sz w:val="20"/>
                <w:szCs w:val="20"/>
                <w:color w:val="auto"/>
              </w:rPr>
            </w:pPr>
            <w:r>
              <w:rPr>
                <w:rFonts w:ascii="Arial" w:cs="Arial" w:eastAsia="Arial" w:hAnsi="Arial"/>
                <w:sz w:val="16"/>
                <w:szCs w:val="16"/>
                <w:b w:val="1"/>
                <w:bCs w:val="1"/>
                <w:color w:val="auto"/>
                <w:w w:val="91"/>
              </w:rPr>
              <w:t>Location of Gain (Loss)</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600" w:type="dxa"/>
            <w:vAlign w:val="bottom"/>
          </w:tcPr>
          <w:p>
            <w:pPr>
              <w:jc w:val="center"/>
              <w:ind w:left="39"/>
              <w:spacing w:after="0"/>
              <w:rPr>
                <w:sz w:val="20"/>
                <w:szCs w:val="20"/>
                <w:color w:val="auto"/>
              </w:rPr>
            </w:pPr>
            <w:r>
              <w:rPr>
                <w:rFonts w:ascii="Arial" w:cs="Arial" w:eastAsia="Arial" w:hAnsi="Arial"/>
                <w:sz w:val="16"/>
                <w:szCs w:val="16"/>
                <w:b w:val="1"/>
                <w:bCs w:val="1"/>
                <w:color w:val="auto"/>
                <w:w w:val="89"/>
              </w:rPr>
              <w:t>Recognized in Income on</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600" w:type="dxa"/>
            <w:vAlign w:val="bottom"/>
          </w:tcPr>
          <w:p>
            <w:pPr>
              <w:jc w:val="center"/>
              <w:ind w:left="39"/>
              <w:spacing w:after="0"/>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33"/>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Three Months Ended March 31,</w:t>
            </w: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80" w:type="dxa"/>
            <w:vAlign w:val="bottom"/>
            <w:vMerge w:val="continue"/>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Customer derivatives and dealer offsets</w:t>
            </w:r>
          </w:p>
        </w:tc>
        <w:tc>
          <w:tcPr>
            <w:tcW w:w="2600" w:type="dxa"/>
            <w:vAlign w:val="bottom"/>
          </w:tcPr>
          <w:p>
            <w:pPr>
              <w:ind w:left="140"/>
              <w:spacing w:after="0"/>
              <w:rPr>
                <w:sz w:val="20"/>
                <w:szCs w:val="20"/>
                <w:color w:val="auto"/>
              </w:rPr>
            </w:pPr>
            <w:r>
              <w:rPr>
                <w:rFonts w:ascii="Arial" w:cs="Arial" w:eastAsia="Arial" w:hAnsi="Arial"/>
                <w:sz w:val="16"/>
                <w:szCs w:val="16"/>
                <w:color w:val="auto"/>
              </w:rPr>
              <w:t>Other noninterest income</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Bifurcated embedded derivatives and dealer offsets</w:t>
            </w:r>
          </w:p>
        </w:tc>
        <w:tc>
          <w:tcPr>
            <w:tcW w:w="2600" w:type="dxa"/>
            <w:vAlign w:val="bottom"/>
          </w:tcPr>
          <w:p>
            <w:pPr>
              <w:ind w:left="140"/>
              <w:spacing w:after="0"/>
              <w:rPr>
                <w:sz w:val="20"/>
                <w:szCs w:val="20"/>
                <w:color w:val="auto"/>
              </w:rPr>
            </w:pPr>
            <w:r>
              <w:rPr>
                <w:rFonts w:ascii="Arial" w:cs="Arial" w:eastAsia="Arial" w:hAnsi="Arial"/>
                <w:sz w:val="16"/>
                <w:szCs w:val="16"/>
                <w:color w:val="auto"/>
              </w:rPr>
              <w:t>Other noninterest income</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De-designated hedges</w:t>
            </w:r>
          </w:p>
        </w:tc>
        <w:tc>
          <w:tcPr>
            <w:tcW w:w="2600" w:type="dxa"/>
            <w:vAlign w:val="bottom"/>
          </w:tcPr>
          <w:p>
            <w:pPr>
              <w:ind w:left="140"/>
              <w:spacing w:after="0"/>
              <w:rPr>
                <w:sz w:val="20"/>
                <w:szCs w:val="20"/>
                <w:color w:val="auto"/>
              </w:rPr>
            </w:pPr>
            <w:r>
              <w:rPr>
                <w:rFonts w:ascii="Arial" w:cs="Arial" w:eastAsia="Arial" w:hAnsi="Arial"/>
                <w:sz w:val="16"/>
                <w:szCs w:val="16"/>
                <w:color w:val="auto"/>
              </w:rPr>
              <w:t>Other noninterest income</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Mortgage banking derivatives</w:t>
            </w:r>
          </w:p>
        </w:tc>
        <w:tc>
          <w:tcPr>
            <w:tcW w:w="2600" w:type="dxa"/>
            <w:vAlign w:val="bottom"/>
          </w:tcPr>
          <w:p>
            <w:pPr>
              <w:ind w:left="140"/>
              <w:spacing w:after="0"/>
              <w:rPr>
                <w:sz w:val="20"/>
                <w:szCs w:val="20"/>
                <w:color w:val="auto"/>
              </w:rPr>
            </w:pPr>
            <w:r>
              <w:rPr>
                <w:rFonts w:ascii="Arial" w:cs="Arial" w:eastAsia="Arial" w:hAnsi="Arial"/>
                <w:sz w:val="16"/>
                <w:szCs w:val="16"/>
                <w:color w:val="auto"/>
              </w:rPr>
              <w:t>Mortgage loan revenue</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Risk participations</w:t>
            </w:r>
          </w:p>
        </w:tc>
        <w:tc>
          <w:tcPr>
            <w:tcW w:w="2600" w:type="dxa"/>
            <w:vAlign w:val="bottom"/>
          </w:tcPr>
          <w:p>
            <w:pPr>
              <w:ind w:left="140"/>
              <w:spacing w:after="0"/>
              <w:rPr>
                <w:sz w:val="20"/>
                <w:szCs w:val="20"/>
                <w:color w:val="auto"/>
              </w:rPr>
            </w:pPr>
            <w:r>
              <w:rPr>
                <w:rFonts w:ascii="Arial" w:cs="Arial" w:eastAsia="Arial" w:hAnsi="Arial"/>
                <w:sz w:val="16"/>
                <w:szCs w:val="16"/>
                <w:color w:val="auto"/>
              </w:rPr>
              <w:t>Other noninterest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-664210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-1015365</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left="-59" w:right="120"/>
        <w:spacing w:after="0" w:line="334" w:lineRule="auto"/>
        <w:rPr>
          <w:sz w:val="20"/>
          <w:szCs w:val="20"/>
          <w:color w:val="auto"/>
        </w:rPr>
      </w:pPr>
      <w:r>
        <w:rPr>
          <w:rFonts w:ascii="Arial" w:cs="Arial" w:eastAsia="Arial" w:hAnsi="Arial"/>
          <w:sz w:val="15"/>
          <w:szCs w:val="15"/>
          <w:b w:val="1"/>
          <w:bCs w:val="1"/>
          <w:color w:val="auto"/>
        </w:rPr>
        <w:t>Amount of Gain (Loss) Recognized in Income on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-20955</wp:posOffset>
            </wp:positionV>
            <wp:extent cx="1903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520"/>
        <w:spacing w:after="0"/>
        <w:tabs>
          <w:tab w:leader="none" w:pos="20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374" w:lineRule="exact"/>
        <w:rPr>
          <w:sz w:val="20"/>
          <w:szCs w:val="20"/>
          <w:color w:val="auto"/>
        </w:rPr>
      </w:pPr>
    </w:p>
    <w:p>
      <w:pPr>
        <w:spacing w:after="0"/>
        <w:tabs>
          <w:tab w:leader="none" w:pos="920" w:val="left"/>
          <w:tab w:leader="none" w:pos="1520" w:val="left"/>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1,424</w:t>
        <w:tab/>
        <w:t>$</w:t>
      </w:r>
      <w:r>
        <w:rPr>
          <w:sz w:val="20"/>
          <w:szCs w:val="20"/>
          <w:color w:val="auto"/>
        </w:rPr>
        <w:tab/>
      </w:r>
      <w:r>
        <w:rPr>
          <w:rFonts w:ascii="Arial" w:cs="Arial" w:eastAsia="Arial" w:hAnsi="Arial"/>
          <w:sz w:val="15"/>
          <w:szCs w:val="15"/>
          <w:color w:val="auto"/>
        </w:rPr>
        <w:t>503</w:t>
      </w:r>
    </w:p>
    <w:p>
      <w:pPr>
        <w:spacing w:after="0" w:line="86" w:lineRule="exact"/>
        <w:rPr>
          <w:sz w:val="20"/>
          <w:szCs w:val="20"/>
          <w:color w:val="auto"/>
        </w:rPr>
      </w:pPr>
    </w:p>
    <w:p>
      <w:pPr>
        <w:ind w:left="2600" w:hanging="1597"/>
        <w:spacing w:after="0"/>
        <w:tabs>
          <w:tab w:leader="none" w:pos="2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218</w:t>
      </w:r>
    </w:p>
    <w:p>
      <w:pPr>
        <w:spacing w:after="0" w:line="8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(193)</w:t>
      </w:r>
    </w:p>
    <w:p>
      <w:pPr>
        <w:spacing w:after="0" w:line="86" w:lineRule="exact"/>
        <w:rPr>
          <w:sz w:val="20"/>
          <w:szCs w:val="20"/>
          <w:color w:val="auto"/>
        </w:rPr>
      </w:pPr>
    </w:p>
    <w:p>
      <w:pPr>
        <w:ind w:left="2560" w:hanging="1557"/>
        <w:spacing w:after="0"/>
        <w:tabs>
          <w:tab w:leader="none" w:pos="2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(190)</w:t>
      </w:r>
    </w:p>
    <w:p>
      <w:pPr>
        <w:spacing w:after="0" w:line="109" w:lineRule="exact"/>
        <w:rPr>
          <w:sz w:val="20"/>
          <w:szCs w:val="20"/>
          <w:color w:val="auto"/>
        </w:rPr>
      </w:pPr>
    </w:p>
    <w:p>
      <w:pPr>
        <w:ind w:left="1080"/>
        <w:spacing w:after="0"/>
        <w:tabs>
          <w:tab w:leader="none" w:pos="276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6"/>
          <w:szCs w:val="16"/>
          <w:color w:val="auto"/>
        </w:rPr>
        <w:t>2</w:t>
      </w:r>
    </w:p>
    <w:p>
      <w:pPr>
        <w:spacing w:after="0" w:line="86" w:lineRule="exact"/>
        <w:rPr>
          <w:sz w:val="20"/>
          <w:szCs w:val="20"/>
          <w:color w:val="auto"/>
        </w:rPr>
      </w:pPr>
    </w:p>
    <w:p>
      <w:pPr>
        <w:spacing w:after="0"/>
        <w:tabs>
          <w:tab w:leader="none" w:pos="1040" w:val="left"/>
          <w:tab w:leader="none" w:pos="1520" w:val="left"/>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383</w:t>
        <w:tab/>
        <w:t>$</w:t>
      </w:r>
      <w:r>
        <w:rPr>
          <w:sz w:val="20"/>
          <w:szCs w:val="20"/>
          <w:color w:val="auto"/>
        </w:rPr>
        <w:tab/>
      </w:r>
      <w:r>
        <w:rPr>
          <w:rFonts w:ascii="Arial" w:cs="Arial" w:eastAsia="Arial" w:hAnsi="Arial"/>
          <w:sz w:val="15"/>
          <w:szCs w:val="15"/>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52070</wp:posOffset>
            </wp:positionV>
            <wp:extent cx="19030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20" w:space="160"/>
            <w:col w:w="2960"/>
          </w:cols>
          <w:pgMar w:left="320" w:top="121" w:right="33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United has an equity compensation plan that allows for grants of various share-based compensation. Options granted under the plan have an exercise price no less than the fair market value of the underlying stock at the date of grant. The general terms of the plan include a vesting period (usually four years) with an exercisable period not to exceed ten years. Certain options and restricted stock unit awards provide for accelerated vesting if there is a change in control (as defined in the plan document). As of March 31, 2020, 1.30 million additional awards could be granted under the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three months of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080" w:type="dxa"/>
            <w:vAlign w:val="bottom"/>
            <w:gridSpan w:val="2"/>
          </w:tcPr>
          <w:p>
            <w:pPr>
              <w:ind w:left="2220"/>
              <w:spacing w:after="0"/>
              <w:rPr>
                <w:sz w:val="20"/>
                <w:szCs w:val="20"/>
                <w:color w:val="auto"/>
              </w:rPr>
            </w:pPr>
            <w:r>
              <w:rPr>
                <w:rFonts w:ascii="Arial" w:cs="Arial" w:eastAsia="Arial" w:hAnsi="Arial"/>
                <w:sz w:val="16"/>
                <w:szCs w:val="16"/>
                <w:b w:val="1"/>
                <w:bCs w:val="1"/>
                <w:color w:val="auto"/>
              </w:rPr>
              <w:t>Options</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Term (Years)</w:t>
            </w:r>
          </w:p>
        </w:tc>
        <w:tc>
          <w:tcPr>
            <w:tcW w:w="200" w:type="dxa"/>
            <w:vAlign w:val="bottom"/>
          </w:tcPr>
          <w:p>
            <w:pPr>
              <w:spacing w:after="0"/>
              <w:rPr>
                <w:sz w:val="18"/>
                <w:szCs w:val="18"/>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Value ($000)</w:t>
            </w:r>
          </w:p>
        </w:tc>
      </w:tr>
      <w:tr>
        <w:trPr>
          <w:trHeight w:val="33"/>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Expired</w:t>
            </w:r>
          </w:p>
        </w:tc>
        <w:tc>
          <w:tcPr>
            <w:tcW w:w="14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22.95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March 31, 2020</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0"/>
        </w:trPr>
        <w:tc>
          <w:tcPr>
            <w:tcW w:w="4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Exercisable at March 31, 2020</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fair value of each option is estimated on the date of grant using the Black-Scholes model. No stock options were granted during the three months ended March 31, 2020 and 2019. United recognized no compensation expense related to stock options during the three months ended March 31,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activity for the first three months of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2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24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Remaining</w:t>
            </w: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Average Grant-</w:t>
            </w: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Contractual</w:t>
            </w: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080" w:type="dxa"/>
            <w:vAlign w:val="bottom"/>
            <w:gridSpan w:val="2"/>
          </w:tcPr>
          <w:p>
            <w:pPr>
              <w:ind w:left="1460"/>
              <w:spacing w:after="0"/>
              <w:rPr>
                <w:sz w:val="20"/>
                <w:szCs w:val="20"/>
                <w:color w:val="auto"/>
              </w:rPr>
            </w:pPr>
            <w:r>
              <w:rPr>
                <w:rFonts w:ascii="Arial" w:cs="Arial" w:eastAsia="Arial" w:hAnsi="Arial"/>
                <w:sz w:val="16"/>
                <w:szCs w:val="16"/>
                <w:b w:val="1"/>
                <w:bCs w:val="1"/>
                <w:color w:val="auto"/>
              </w:rPr>
              <w:t>Restricted Stock Unit Awards</w:t>
            </w:r>
          </w:p>
        </w:tc>
        <w:tc>
          <w:tcPr>
            <w:tcW w:w="1480" w:type="dxa"/>
            <w:vAlign w:val="bottom"/>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Date Fair Value</w:t>
            </w: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Term (Years)</w:t>
            </w:r>
          </w:p>
        </w:tc>
        <w:tc>
          <w:tcPr>
            <w:tcW w:w="124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Value ($000)</w:t>
            </w:r>
          </w:p>
        </w:tc>
      </w:tr>
      <w:tr>
        <w:trPr>
          <w:trHeight w:val="33"/>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808,424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38,988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w:t>
            </w: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Cancelled</w:t>
            </w:r>
          </w:p>
        </w:tc>
        <w:tc>
          <w:tcPr>
            <w:tcW w:w="1480" w:type="dxa"/>
            <w:vAlign w:val="bottom"/>
          </w:tcPr>
          <w:p>
            <w:pPr>
              <w:jc w:val="right"/>
              <w:spacing w:after="0"/>
              <w:rPr>
                <w:sz w:val="20"/>
                <w:szCs w:val="20"/>
                <w:color w:val="auto"/>
              </w:rPr>
            </w:pPr>
            <w:r>
              <w:rPr>
                <w:rFonts w:ascii="Arial" w:cs="Arial" w:eastAsia="Arial" w:hAnsi="Arial"/>
                <w:sz w:val="16"/>
                <w:szCs w:val="16"/>
                <w:color w:val="auto"/>
              </w:rPr>
              <w:t>(17,672)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26.44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BFE4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March 31, 2020</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764,828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14,004</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 the impact of forfeitures as they occur. The value of restricted stock unit and performance stock unit awards is amortized into expense over the service period. For the three months ended March 31, 2020 and 2019, expense of $2.40 million and $1.91 million, respectively, was recognized related to restricted stock unit and performance stock unit awards granted to United employees in salaries and employee benefits expense. In addition, for the three months ended March 31, 2020 and 2019, $93,000 and $72,000, respectively, was recognized in other operating expense for restricted stock unit awards granted to members of United’s Board of Directors.</w:t>
      </w:r>
    </w:p>
    <w:p>
      <w:pPr>
        <w:sectPr>
          <w:pgSz w:w="11900" w:h="16838" w:orient="portrait"/>
          <w:cols w:equalWidth="0" w:num="1">
            <w:col w:w="11240"/>
          </w:cols>
          <w:pgMar w:left="320" w:top="121"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deferred income tax benefit related to stock-based compensation expense of $637,000 and $507,000 was included in the determination of income tax expense for the three months ended March 31, 2020 and 2019, respectively. As of March 31, 2020, there was $12.8 million of unrecognized expense related to non-vested restricted stock unit and performance stock unit awards granted under the plan. That cost is expected to be recognized over a weighted-average period of 2.3 years. As of March 31, 2020, there was no unrecognized expense related to non-vested stock options granted under the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of 2019, United’s Board of Directors authorized an expansion of the existing common stock repurchase plan to authorize the repurchase of its common stock up to $50 million. The program is scheduled to expire on the earlier of United’s repurchase of its common stock having an aggregate purchase price of $50 million or December 31, 2020. Under the program, shares may be repurchased in the open market or in privately negotiated transactions, from time to time, subject to market conditions. During the three months ended March 31, 2020 and 2019, 826,482 and 305,052 shares, respectively, were repurchased under the program. As of March 31, 2020, United had remaining authorization to repurchase up to $29.2 million of outstanding common stock under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Assets and Liabilities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3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incorporates credit valuation adjustments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56"/>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Debt securities available-for-sale:</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158,964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158,964</w:t>
            </w:r>
          </w:p>
        </w:tc>
      </w:tr>
      <w:tr>
        <w:trPr>
          <w:trHeight w:val="264"/>
        </w:trPr>
        <w:tc>
          <w:tcPr>
            <w:tcW w:w="5080" w:type="dxa"/>
            <w:vAlign w:val="bottom"/>
            <w:gridSpan w:val="2"/>
          </w:tcPr>
          <w:p>
            <w:pPr>
              <w:ind w:left="280"/>
              <w:spacing w:after="0"/>
              <w:rPr>
                <w:sz w:val="20"/>
                <w:szCs w:val="20"/>
                <w:color w:val="auto"/>
              </w:rPr>
            </w:pPr>
            <w:r>
              <w:rPr>
                <w:rFonts w:ascii="Arial" w:cs="Arial" w:eastAsia="Arial" w:hAnsi="Arial"/>
                <w:sz w:val="14"/>
                <w:szCs w:val="14"/>
                <w:color w:val="auto"/>
              </w:rPr>
              <w:t>U.S. Government agencies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2,967</w:t>
            </w: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227,681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227,681</w:t>
            </w:r>
          </w:p>
        </w:tc>
      </w:tr>
      <w:tr>
        <w:trPr>
          <w:trHeight w:val="264"/>
        </w:trPr>
        <w:tc>
          <w:tcPr>
            <w:tcW w:w="5080" w:type="dxa"/>
            <w:vAlign w:val="bottom"/>
            <w:gridSpan w:val="2"/>
          </w:tcPr>
          <w:p>
            <w:pPr>
              <w:ind w:left="280"/>
              <w:spacing w:after="0"/>
              <w:rPr>
                <w:sz w:val="20"/>
                <w:szCs w:val="20"/>
                <w:color w:val="auto"/>
              </w:rPr>
            </w:pPr>
            <w:r>
              <w:rPr>
                <w:rFonts w:ascii="Arial" w:cs="Arial" w:eastAsia="Arial" w:hAnsi="Arial"/>
                <w:sz w:val="14"/>
                <w:szCs w:val="14"/>
                <w:color w:val="auto"/>
              </w:rPr>
              <w:t>Residential mortgage-backed securities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1,297,591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1,297,591</w:t>
            </w: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mortgage-backed securities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267,789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267,789</w:t>
            </w:r>
          </w:p>
        </w:tc>
      </w:tr>
      <w:tr>
        <w:trPr>
          <w:trHeight w:val="264"/>
        </w:trPr>
        <w:tc>
          <w:tcPr>
            <w:tcW w:w="5080" w:type="dxa"/>
            <w:vAlign w:val="bottom"/>
            <w:gridSpan w:val="2"/>
          </w:tcPr>
          <w:p>
            <w:pPr>
              <w:ind w:left="280"/>
              <w:spacing w:after="0"/>
              <w:rPr>
                <w:sz w:val="20"/>
                <w:szCs w:val="20"/>
                <w:color w:val="auto"/>
              </w:rPr>
            </w:pPr>
            <w:r>
              <w:rPr>
                <w:rFonts w:ascii="Arial" w:cs="Arial" w:eastAsia="Arial" w:hAnsi="Arial"/>
                <w:sz w:val="14"/>
                <w:szCs w:val="14"/>
                <w:color w:val="auto"/>
              </w:rPr>
              <w:t>Corporate bonds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190,785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190,785</w:t>
            </w: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Asset-backed securities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104,099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104,099</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Equity securities with readily available fair values</w:t>
            </w:r>
          </w:p>
        </w:tc>
        <w:tc>
          <w:tcPr>
            <w:tcW w:w="3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1,338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1,338</w:t>
            </w:r>
          </w:p>
        </w:tc>
      </w:tr>
      <w:tr>
        <w:trPr>
          <w:trHeight w:val="27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loans held for sale</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89,959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89,959</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Deferred compensation plan assets</w:t>
            </w:r>
          </w:p>
        </w:tc>
        <w:tc>
          <w:tcPr>
            <w:tcW w:w="3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7,537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7,537</w:t>
            </w:r>
          </w:p>
        </w:tc>
      </w:tr>
      <w:tr>
        <w:trPr>
          <w:trHeight w:val="27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Servicing rights for SBA/USDA loans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6,290</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11,059</w:t>
            </w:r>
          </w:p>
        </w:tc>
      </w:tr>
      <w:tr>
        <w:trPr>
          <w:trHeight w:val="270"/>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Derivative financial instruments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82,668</w:t>
            </w:r>
          </w:p>
        </w:tc>
      </w:tr>
      <w:tr>
        <w:trPr>
          <w:trHeight w:val="283"/>
        </w:trPr>
        <w:tc>
          <w:tcPr>
            <w:tcW w:w="5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167,839</w:t>
            </w:r>
          </w:p>
        </w:tc>
        <w:tc>
          <w:tcPr>
            <w:tcW w:w="1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2,256,178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24,710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2,448,727</w:t>
            </w:r>
          </w:p>
        </w:tc>
      </w:tr>
      <w:tr>
        <w:trPr>
          <w:trHeight w:val="277"/>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08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7,549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7,549</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24,632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27,349</w:t>
            </w:r>
          </w:p>
        </w:tc>
      </w:tr>
      <w:tr>
        <w:trPr>
          <w:trHeight w:val="243"/>
        </w:trPr>
        <w:tc>
          <w:tcPr>
            <w:tcW w:w="508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7,549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34,898</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0"/>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56"/>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Debt securities available-for-sale</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154,618</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154,618</w:t>
            </w:r>
          </w:p>
        </w:tc>
      </w:tr>
      <w:tr>
        <w:trPr>
          <w:trHeight w:val="264"/>
        </w:trPr>
        <w:tc>
          <w:tcPr>
            <w:tcW w:w="5080" w:type="dxa"/>
            <w:vAlign w:val="bottom"/>
            <w:gridSpan w:val="2"/>
          </w:tcPr>
          <w:p>
            <w:pPr>
              <w:ind w:left="280"/>
              <w:spacing w:after="0"/>
              <w:rPr>
                <w:sz w:val="20"/>
                <w:szCs w:val="20"/>
                <w:color w:val="auto"/>
              </w:rPr>
            </w:pPr>
            <w:r>
              <w:rPr>
                <w:rFonts w:ascii="Arial" w:cs="Arial" w:eastAsia="Arial" w:hAnsi="Arial"/>
                <w:sz w:val="14"/>
                <w:szCs w:val="14"/>
                <w:color w:val="auto"/>
              </w:rPr>
              <w:t>U.S. Agencies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3,035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3,035</w:t>
            </w: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226,490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226,490</w:t>
            </w:r>
          </w:p>
        </w:tc>
      </w:tr>
      <w:tr>
        <w:trPr>
          <w:trHeight w:val="264"/>
        </w:trPr>
        <w:tc>
          <w:tcPr>
            <w:tcW w:w="5080" w:type="dxa"/>
            <w:vAlign w:val="bottom"/>
            <w:gridSpan w:val="2"/>
          </w:tcPr>
          <w:p>
            <w:pPr>
              <w:ind w:left="280"/>
              <w:spacing w:after="0"/>
              <w:rPr>
                <w:sz w:val="20"/>
                <w:szCs w:val="20"/>
                <w:color w:val="auto"/>
              </w:rPr>
            </w:pPr>
            <w:r>
              <w:rPr>
                <w:rFonts w:ascii="Arial" w:cs="Arial" w:eastAsia="Arial" w:hAnsi="Arial"/>
                <w:sz w:val="14"/>
                <w:szCs w:val="14"/>
                <w:color w:val="auto"/>
              </w:rPr>
              <w:t>Residential mortgage-backed securities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1,299,025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1,299,025</w:t>
            </w: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mortgage-backed securities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284,953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284,953</w:t>
            </w:r>
          </w:p>
        </w:tc>
      </w:tr>
      <w:tr>
        <w:trPr>
          <w:trHeight w:val="264"/>
        </w:trPr>
        <w:tc>
          <w:tcPr>
            <w:tcW w:w="5080" w:type="dxa"/>
            <w:vAlign w:val="bottom"/>
            <w:gridSpan w:val="2"/>
          </w:tcPr>
          <w:p>
            <w:pPr>
              <w:ind w:left="280"/>
              <w:spacing w:after="0"/>
              <w:rPr>
                <w:sz w:val="20"/>
                <w:szCs w:val="20"/>
                <w:color w:val="auto"/>
              </w:rPr>
            </w:pPr>
            <w:r>
              <w:rPr>
                <w:rFonts w:ascii="Arial" w:cs="Arial" w:eastAsia="Arial" w:hAnsi="Arial"/>
                <w:sz w:val="14"/>
                <w:szCs w:val="14"/>
                <w:color w:val="auto"/>
              </w:rPr>
              <w:t>Corporate bonds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202,093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203,091</w:t>
            </w:r>
          </w:p>
        </w:tc>
      </w:tr>
      <w:tr>
        <w:trPr>
          <w:trHeight w:val="2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Asset-backed securities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103,369</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Equity securities with readily available fair values</w:t>
            </w:r>
          </w:p>
        </w:tc>
        <w:tc>
          <w:tcPr>
            <w:tcW w:w="3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1,973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1,973</w:t>
            </w:r>
          </w:p>
        </w:tc>
      </w:tr>
      <w:tr>
        <w:trPr>
          <w:trHeight w:val="27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loans held for sale</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58,484</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Deferred compensation plan assets</w:t>
            </w:r>
          </w:p>
        </w:tc>
        <w:tc>
          <w:tcPr>
            <w:tcW w:w="3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8,133</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8,133</w:t>
            </w:r>
          </w:p>
        </w:tc>
      </w:tr>
      <w:tr>
        <w:trPr>
          <w:trHeight w:val="27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Servicing rights for SBA/USDA loans</w:t>
            </w:r>
          </w:p>
        </w:tc>
        <w:tc>
          <w:tcPr>
            <w:tcW w:w="32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6,794</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13,565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13,565</w:t>
            </w:r>
          </w:p>
        </w:tc>
      </w:tr>
      <w:tr>
        <w:trPr>
          <w:trHeight w:val="270"/>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Derivative financial instruments</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27,769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35,007</w:t>
            </w:r>
          </w:p>
        </w:tc>
      </w:tr>
      <w:tr>
        <w:trPr>
          <w:trHeight w:val="283"/>
        </w:trPr>
        <w:tc>
          <w:tcPr>
            <w:tcW w:w="5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164,724</w:t>
            </w:r>
          </w:p>
        </w:tc>
        <w:tc>
          <w:tcPr>
            <w:tcW w:w="14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2,205,218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28,595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2,398,537</w:t>
            </w:r>
          </w:p>
        </w:tc>
      </w:tr>
      <w:tr>
        <w:trPr>
          <w:trHeight w:val="277"/>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08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8,132</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8,132</w:t>
            </w:r>
          </w:p>
        </w:tc>
      </w:tr>
      <w:tr>
        <w:trPr>
          <w:trHeight w:val="264"/>
        </w:trPr>
        <w:tc>
          <w:tcPr>
            <w:tcW w:w="508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20" w:type="dxa"/>
            <w:vAlign w:val="bottom"/>
          </w:tcPr>
          <w:p>
            <w:pPr>
              <w:spacing w:after="0"/>
              <w:rPr>
                <w:sz w:val="22"/>
                <w:szCs w:val="22"/>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8,559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15,516</w:t>
            </w:r>
          </w:p>
        </w:tc>
      </w:tr>
      <w:tr>
        <w:trPr>
          <w:trHeight w:val="243"/>
        </w:trPr>
        <w:tc>
          <w:tcPr>
            <w:tcW w:w="508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23,648</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Servicing</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Residential</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Debt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Servicing</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Residential</w:t>
            </w:r>
          </w:p>
        </w:tc>
        <w:tc>
          <w:tcPr>
            <w:tcW w:w="120" w:type="dxa"/>
            <w:vAlign w:val="bottom"/>
          </w:tcPr>
          <w:p>
            <w:pPr>
              <w:spacing w:after="0"/>
              <w:rPr>
                <w:sz w:val="14"/>
                <w:szCs w:val="14"/>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w w:val="96"/>
              </w:rPr>
              <w:t>Debt</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rights for</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mortgage</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rights for</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2"/>
                <w:szCs w:val="12"/>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Securities</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14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SBA/USDA</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servicing</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Available-for-</w:t>
            </w:r>
          </w:p>
        </w:tc>
        <w:tc>
          <w:tcPr>
            <w:tcW w:w="12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12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SBA/USDA</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servicing</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Available-for-</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Asset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Liability</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8"/>
              </w:rPr>
              <w:t>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9"/>
              </w:rPr>
              <w:t>Sale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Asset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Liability</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8"/>
              </w:rPr>
              <w:t>loans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4"/>
              </w:rPr>
              <w:t>rights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9"/>
              </w:rPr>
              <w:t>Sale</w:t>
            </w:r>
          </w:p>
        </w:tc>
        <w:tc>
          <w:tcPr>
            <w:tcW w:w="0" w:type="dxa"/>
            <w:vAlign w:val="bottom"/>
          </w:tcPr>
          <w:p>
            <w:pPr>
              <w:spacing w:after="0"/>
              <w:rPr>
                <w:sz w:val="1"/>
                <w:szCs w:val="1"/>
                <w:color w:val="auto"/>
              </w:rPr>
            </w:pPr>
          </w:p>
        </w:tc>
      </w:tr>
      <w:tr>
        <w:trPr>
          <w:trHeight w:val="249"/>
        </w:trPr>
        <w:tc>
          <w:tcPr>
            <w:tcW w:w="2280" w:type="dxa"/>
            <w:vAlign w:val="bottom"/>
            <w:gridSpan w:val="4"/>
          </w:tcPr>
          <w:p>
            <w:pPr>
              <w:ind w:left="40"/>
              <w:spacing w:after="0"/>
              <w:rPr>
                <w:sz w:val="20"/>
                <w:szCs w:val="20"/>
                <w:color w:val="auto"/>
              </w:rPr>
            </w:pPr>
            <w:r>
              <w:rPr>
                <w:rFonts w:ascii="Arial" w:cs="Arial" w:eastAsia="Arial" w:hAnsi="Arial"/>
                <w:sz w:val="13"/>
                <w:szCs w:val="13"/>
                <w:b w:val="1"/>
                <w:bCs w:val="1"/>
                <w:color w:val="auto"/>
              </w:rPr>
              <w:t>Three Months Ended March 31,</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Balance at beginning</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7,238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8,559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13,565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11,841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15,732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7,510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11,877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263"/>
        </w:trPr>
        <w:tc>
          <w:tcPr>
            <w:tcW w:w="1240" w:type="dxa"/>
            <w:vAlign w:val="bottom"/>
          </w:tcPr>
          <w:p>
            <w:pPr>
              <w:ind w:left="180"/>
              <w:spacing w:after="0"/>
              <w:rPr>
                <w:sz w:val="20"/>
                <w:szCs w:val="20"/>
                <w:color w:val="auto"/>
              </w:rPr>
            </w:pPr>
            <w:r>
              <w:rPr>
                <w:rFonts w:ascii="Arial" w:cs="Arial" w:eastAsia="Arial" w:hAnsi="Arial"/>
                <w:sz w:val="13"/>
                <w:szCs w:val="13"/>
                <w:color w:val="auto"/>
              </w:rPr>
              <w:t>Additions</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2,115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863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and</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settlements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1240" w:type="dxa"/>
            <w:vAlign w:val="bottom"/>
          </w:tcPr>
          <w:p>
            <w:pPr>
              <w:ind w:left="18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80"/>
              <w:spacing w:after="0"/>
              <w:rPr>
                <w:sz w:val="20"/>
                <w:szCs w:val="20"/>
                <w:color w:val="auto"/>
              </w:rPr>
            </w:pPr>
            <w:r>
              <w:rPr>
                <w:rFonts w:ascii="Arial" w:cs="Arial" w:eastAsia="Arial" w:hAnsi="Arial"/>
                <w:sz w:val="13"/>
                <w:szCs w:val="13"/>
                <w:color w:val="auto"/>
              </w:rPr>
              <w:t>comprehensive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40" w:type="dxa"/>
            <w:vAlign w:val="bottom"/>
          </w:tcPr>
          <w:p>
            <w:pPr>
              <w:ind w:left="180"/>
              <w:spacing w:after="0"/>
              <w:rPr>
                <w:sz w:val="20"/>
                <w:szCs w:val="20"/>
                <w:color w:val="auto"/>
              </w:rPr>
            </w:pPr>
            <w:r>
              <w:rPr>
                <w:rFonts w:ascii="Arial" w:cs="Arial" w:eastAsia="Arial" w:hAnsi="Arial"/>
                <w:sz w:val="13"/>
                <w:szCs w:val="13"/>
                <w:color w:val="auto"/>
              </w:rPr>
              <w:t>income</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Amounts included</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 earnings - fair</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value adjustments</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(1,958)</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240" w:type="dxa"/>
            <w:vAlign w:val="bottom"/>
          </w:tcPr>
          <w:p>
            <w:pPr>
              <w:ind w:left="40"/>
              <w:spacing w:after="0" w:line="145" w:lineRule="exact"/>
              <w:rPr>
                <w:sz w:val="20"/>
                <w:szCs w:val="20"/>
                <w:color w:val="auto"/>
              </w:rPr>
            </w:pPr>
            <w:r>
              <w:rPr>
                <w:rFonts w:ascii="Arial" w:cs="Arial" w:eastAsia="Arial" w:hAnsi="Arial"/>
                <w:sz w:val="13"/>
                <w:szCs w:val="13"/>
                <w:color w:val="auto"/>
              </w:rPr>
              <w:t>Balance at end of</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color w:val="auto"/>
              </w:rPr>
              <w:t>7,361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color w:val="auto"/>
              </w:rPr>
              <w:t>2,717</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6,290</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11,059</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9,561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11,444</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7,401</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53"/>
              <w:spacing w:after="0"/>
              <w:rPr>
                <w:sz w:val="20"/>
                <w:szCs w:val="20"/>
                <w:color w:val="auto"/>
              </w:rPr>
            </w:pPr>
            <w:r>
              <w:rPr>
                <w:rFonts w:ascii="Arial" w:cs="Arial" w:eastAsia="Arial" w:hAnsi="Arial"/>
                <w:sz w:val="13"/>
                <w:szCs w:val="13"/>
                <w:color w:val="auto"/>
              </w:rPr>
              <w:t>11,447</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73"/>
        </w:trPr>
        <w:tc>
          <w:tcPr>
            <w:tcW w:w="1240" w:type="dxa"/>
            <w:vAlign w:val="bottom"/>
          </w:tcPr>
          <w:p>
            <w:pPr>
              <w:ind w:left="40"/>
              <w:spacing w:after="0"/>
              <w:rPr>
                <w:sz w:val="20"/>
                <w:szCs w:val="20"/>
                <w:color w:val="auto"/>
              </w:rPr>
            </w:pPr>
            <w:r>
              <w:rPr>
                <w:rFonts w:ascii="Arial" w:cs="Arial" w:eastAsia="Arial" w:hAnsi="Arial"/>
                <w:sz w:val="13"/>
                <w:szCs w:val="13"/>
                <w:color w:val="auto"/>
              </w:rPr>
              <w:t>period</w:t>
            </w:r>
          </w:p>
        </w:tc>
        <w:tc>
          <w:tcPr>
            <w:tcW w:w="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3"/>
                <w:szCs w:val="13"/>
                <w:b w:val="1"/>
                <w:bCs w:val="1"/>
                <w:color w:val="auto"/>
              </w:rPr>
              <w:t>Weighted Average</w:t>
            </w:r>
          </w:p>
        </w:tc>
      </w:tr>
      <w:tr>
        <w:trPr>
          <w:trHeight w:val="35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March 31,</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December 31,</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80"/>
              <w:spacing w:after="0"/>
              <w:rPr>
                <w:sz w:val="20"/>
                <w:szCs w:val="20"/>
                <w:color w:val="auto"/>
              </w:rPr>
            </w:pPr>
            <w:r>
              <w:rPr>
                <w:rFonts w:ascii="Arial" w:cs="Arial" w:eastAsia="Arial" w:hAnsi="Arial"/>
                <w:sz w:val="13"/>
                <w:szCs w:val="13"/>
                <w:b w:val="1"/>
                <w:bCs w:val="1"/>
                <w:color w:val="auto"/>
              </w:rPr>
              <w:t>March 31,</w:t>
            </w:r>
          </w:p>
        </w:tc>
        <w:tc>
          <w:tcPr>
            <w:tcW w:w="1040" w:type="dxa"/>
            <w:vAlign w:val="bottom"/>
          </w:tcPr>
          <w:p>
            <w:pPr>
              <w:jc w:val="right"/>
              <w:ind w:right="53"/>
              <w:spacing w:after="0"/>
              <w:rPr>
                <w:sz w:val="20"/>
                <w:szCs w:val="20"/>
                <w:color w:val="auto"/>
              </w:rPr>
            </w:pPr>
            <w:r>
              <w:rPr>
                <w:rFonts w:ascii="Arial" w:cs="Arial" w:eastAsia="Arial" w:hAnsi="Arial"/>
                <w:sz w:val="13"/>
                <w:szCs w:val="13"/>
                <w:b w:val="1"/>
                <w:bCs w:val="1"/>
                <w:color w:val="auto"/>
              </w:rPr>
              <w:t>December 31,</w:t>
            </w:r>
          </w:p>
        </w:tc>
      </w:tr>
      <w:tr>
        <w:trPr>
          <w:trHeight w:val="182"/>
        </w:trPr>
        <w:tc>
          <w:tcPr>
            <w:tcW w:w="226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Level 3 Assets and Liabilities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Valuation Technique</w:t>
            </w:r>
          </w:p>
        </w:tc>
        <w:tc>
          <w:tcPr>
            <w:tcW w:w="100" w:type="dxa"/>
            <w:vAlign w:val="bottom"/>
            <w:tcBorders>
              <w:bottom w:val="single" w:sz="8" w:color="CCEEFF"/>
            </w:tcBorders>
          </w:tcPr>
          <w:p>
            <w:pPr>
              <w:spacing w:after="0"/>
              <w:rPr>
                <w:sz w:val="15"/>
                <w:szCs w:val="15"/>
                <w:color w:val="auto"/>
              </w:rPr>
            </w:pPr>
          </w:p>
        </w:tc>
        <w:tc>
          <w:tcPr>
            <w:tcW w:w="248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Unobservable Inputs</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2019</w:t>
            </w:r>
          </w:p>
        </w:tc>
      </w:tr>
      <w:tr>
        <w:trPr>
          <w:trHeight w:val="237"/>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Servicing rights for SBA/USDA loans</w:t>
            </w: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6,290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auto"/>
              </w:rPr>
              <w:t>6,794</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Discount rate</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215"/>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3"/>
                <w:szCs w:val="13"/>
                <w:color w:val="auto"/>
              </w:rPr>
              <w:t>Prepayment rate</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8" w:lineRule="exact"/>
        <w:rPr>
          <w:sz w:val="20"/>
          <w:szCs w:val="20"/>
          <w:color w:val="auto"/>
        </w:rPr>
      </w:pPr>
    </w:p>
    <w:p>
      <w:pPr>
        <w:ind w:left="40"/>
        <w:spacing w:after="0"/>
        <w:tabs>
          <w:tab w:leader="none" w:pos="2980" w:val="left"/>
        </w:tabs>
        <w:rPr>
          <w:sz w:val="20"/>
          <w:szCs w:val="20"/>
          <w:color w:val="auto"/>
        </w:rPr>
      </w:pPr>
      <w:r>
        <w:rPr>
          <w:rFonts w:ascii="Arial" w:cs="Arial" w:eastAsia="Arial" w:hAnsi="Arial"/>
          <w:sz w:val="13"/>
          <w:szCs w:val="13"/>
          <w:color w:val="auto"/>
        </w:rPr>
        <w:t>Residential mortgage servicing rights</w:t>
      </w:r>
      <w:r>
        <w:rPr>
          <w:sz w:val="20"/>
          <w:szCs w:val="20"/>
          <w:color w:val="auto"/>
        </w:rPr>
        <w:tab/>
      </w:r>
      <w:r>
        <w:rPr>
          <w:rFonts w:ascii="Arial" w:cs="Arial" w:eastAsia="Arial" w:hAnsi="Arial"/>
          <w:sz w:val="11"/>
          <w:szCs w:val="11"/>
          <w:color w:val="auto"/>
        </w:rPr>
        <w:t>11,059</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3"/>
          <w:szCs w:val="13"/>
          <w:color w:val="auto"/>
        </w:rPr>
        <w:t>Corporate bonds</w:t>
      </w:r>
      <w:r>
        <w:rPr>
          <w:sz w:val="20"/>
          <w:szCs w:val="20"/>
          <w:color w:val="auto"/>
        </w:rPr>
        <w:tab/>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jc w:val="right"/>
              <w:ind w:right="53"/>
              <w:spacing w:after="0"/>
              <w:rPr>
                <w:sz w:val="20"/>
                <w:szCs w:val="20"/>
                <w:color w:val="auto"/>
              </w:rPr>
            </w:pPr>
            <w:r>
              <w:rPr>
                <w:rFonts w:ascii="Arial" w:cs="Arial" w:eastAsia="Arial" w:hAnsi="Arial"/>
                <w:sz w:val="13"/>
                <w:szCs w:val="13"/>
                <w:color w:val="auto"/>
                <w:w w:val="90"/>
              </w:rPr>
              <w:t>13,565</w:t>
            </w:r>
          </w:p>
        </w:tc>
        <w:tc>
          <w:tcPr>
            <w:tcW w:w="1680" w:type="dxa"/>
            <w:vAlign w:val="bottom"/>
          </w:tcPr>
          <w:p>
            <w:pPr>
              <w:ind w:left="120"/>
              <w:spacing w:after="0"/>
              <w:rPr>
                <w:sz w:val="20"/>
                <w:szCs w:val="20"/>
                <w:color w:val="auto"/>
              </w:rPr>
            </w:pPr>
            <w:r>
              <w:rPr>
                <w:rFonts w:ascii="Arial" w:cs="Arial" w:eastAsia="Arial" w:hAnsi="Arial"/>
                <w:sz w:val="13"/>
                <w:szCs w:val="13"/>
                <w:color w:val="auto"/>
              </w:rPr>
              <w:t>Discounted cash flow</w:t>
            </w:r>
          </w:p>
        </w:tc>
        <w:tc>
          <w:tcPr>
            <w:tcW w:w="2480" w:type="dxa"/>
            <w:vAlign w:val="bottom"/>
          </w:tcPr>
          <w:p>
            <w:pPr>
              <w:ind w:left="120"/>
              <w:spacing w:after="0"/>
              <w:rPr>
                <w:sz w:val="20"/>
                <w:szCs w:val="20"/>
                <w:color w:val="auto"/>
              </w:rPr>
            </w:pPr>
            <w:r>
              <w:rPr>
                <w:rFonts w:ascii="Arial" w:cs="Arial" w:eastAsia="Arial" w:hAnsi="Arial"/>
                <w:sz w:val="13"/>
                <w:szCs w:val="13"/>
                <w:color w:val="auto"/>
              </w:rPr>
              <w:t>Discount rate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480" w:type="dxa"/>
            <w:vAlign w:val="bottom"/>
          </w:tcPr>
          <w:p>
            <w:pPr>
              <w:ind w:left="120"/>
              <w:spacing w:after="0"/>
              <w:rPr>
                <w:sz w:val="20"/>
                <w:szCs w:val="20"/>
                <w:color w:val="auto"/>
              </w:rPr>
            </w:pPr>
            <w:r>
              <w:rPr>
                <w:rFonts w:ascii="Arial" w:cs="Arial" w:eastAsia="Arial" w:hAnsi="Arial"/>
                <w:sz w:val="13"/>
                <w:szCs w:val="13"/>
                <w:color w:val="auto"/>
              </w:rPr>
              <w:t>Prepayment rate</w:t>
            </w:r>
          </w:p>
        </w:tc>
        <w:tc>
          <w:tcPr>
            <w:tcW w:w="0" w:type="dxa"/>
            <w:vAlign w:val="bottom"/>
          </w:tcPr>
          <w:p>
            <w:pPr>
              <w:spacing w:after="0"/>
              <w:rPr>
                <w:sz w:val="1"/>
                <w:szCs w:val="1"/>
                <w:color w:val="auto"/>
              </w:rPr>
            </w:pPr>
          </w:p>
        </w:tc>
      </w:tr>
      <w:tr>
        <w:trPr>
          <w:trHeight w:val="219"/>
        </w:trPr>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80" w:type="dxa"/>
            <w:vAlign w:val="bottom"/>
          </w:tcPr>
          <w:p>
            <w:pPr>
              <w:ind w:left="120"/>
              <w:spacing w:after="0"/>
              <w:rPr>
                <w:sz w:val="20"/>
                <w:szCs w:val="20"/>
                <w:color w:val="auto"/>
              </w:rPr>
            </w:pPr>
            <w:r>
              <w:rPr>
                <w:rFonts w:ascii="Arial" w:cs="Arial" w:eastAsia="Arial" w:hAnsi="Arial"/>
                <w:sz w:val="13"/>
                <w:szCs w:val="13"/>
                <w:color w:val="auto"/>
              </w:rPr>
              <w:t>Multiple factors, including but not limited</w:t>
            </w:r>
          </w:p>
        </w:tc>
        <w:tc>
          <w:tcPr>
            <w:tcW w:w="0" w:type="dxa"/>
            <w:vAlign w:val="bottom"/>
          </w:tcPr>
          <w:p>
            <w:pPr>
              <w:spacing w:after="0"/>
              <w:rPr>
                <w:sz w:val="1"/>
                <w:szCs w:val="1"/>
                <w:color w:val="auto"/>
              </w:rPr>
            </w:pPr>
          </w:p>
        </w:tc>
      </w:tr>
      <w:tr>
        <w:trPr>
          <w:trHeight w:val="149"/>
        </w:trPr>
        <w:tc>
          <w:tcPr>
            <w:tcW w:w="500" w:type="dxa"/>
            <w:vAlign w:val="bottom"/>
            <w:vMerge w:val="restart"/>
          </w:tcPr>
          <w:p>
            <w:pPr>
              <w:jc w:val="right"/>
              <w:ind w:right="53"/>
              <w:spacing w:after="0"/>
              <w:rPr>
                <w:sz w:val="20"/>
                <w:szCs w:val="20"/>
                <w:color w:val="auto"/>
              </w:rPr>
            </w:pPr>
            <w:r>
              <w:rPr>
                <w:rFonts w:ascii="Arial" w:cs="Arial" w:eastAsia="Arial" w:hAnsi="Arial"/>
                <w:sz w:val="13"/>
                <w:szCs w:val="13"/>
                <w:color w:val="auto"/>
              </w:rPr>
              <w:t>998</w:t>
            </w:r>
          </w:p>
        </w:tc>
        <w:tc>
          <w:tcPr>
            <w:tcW w:w="1680" w:type="dxa"/>
            <w:vAlign w:val="bottom"/>
          </w:tcPr>
          <w:p>
            <w:pPr>
              <w:ind w:left="120"/>
              <w:spacing w:after="0"/>
              <w:rPr>
                <w:sz w:val="20"/>
                <w:szCs w:val="20"/>
                <w:color w:val="auto"/>
              </w:rPr>
            </w:pPr>
            <w:r>
              <w:rPr>
                <w:rFonts w:ascii="Arial" w:cs="Arial" w:eastAsia="Arial" w:hAnsi="Arial"/>
                <w:sz w:val="13"/>
                <w:szCs w:val="13"/>
                <w:color w:val="auto"/>
              </w:rPr>
              <w:t>Indicative bid provided by</w:t>
            </w:r>
          </w:p>
        </w:tc>
        <w:tc>
          <w:tcPr>
            <w:tcW w:w="2480" w:type="dxa"/>
            <w:vAlign w:val="bottom"/>
          </w:tcPr>
          <w:p>
            <w:pPr>
              <w:ind w:left="120"/>
              <w:spacing w:after="0"/>
              <w:rPr>
                <w:sz w:val="20"/>
                <w:szCs w:val="20"/>
                <w:color w:val="auto"/>
              </w:rPr>
            </w:pPr>
            <w:r>
              <w:rPr>
                <w:rFonts w:ascii="Arial" w:cs="Arial" w:eastAsia="Arial" w:hAnsi="Arial"/>
                <w:sz w:val="13"/>
                <w:szCs w:val="13"/>
                <w:color w:val="auto"/>
                <w:w w:val="98"/>
              </w:rPr>
              <w:t>to, current operations, financial condition,</w:t>
            </w:r>
          </w:p>
        </w:tc>
        <w:tc>
          <w:tcPr>
            <w:tcW w:w="0" w:type="dxa"/>
            <w:vAlign w:val="bottom"/>
          </w:tcPr>
          <w:p>
            <w:pPr>
              <w:spacing w:after="0"/>
              <w:rPr>
                <w:sz w:val="1"/>
                <w:szCs w:val="1"/>
                <w:color w:val="auto"/>
              </w:rPr>
            </w:pPr>
          </w:p>
        </w:tc>
      </w:tr>
      <w:tr>
        <w:trPr>
          <w:trHeight w:val="91"/>
        </w:trPr>
        <w:tc>
          <w:tcPr>
            <w:tcW w:w="500" w:type="dxa"/>
            <w:vAlign w:val="bottom"/>
            <w:vMerge w:val="continue"/>
          </w:tcPr>
          <w:p>
            <w:pPr>
              <w:spacing w:after="0"/>
              <w:rPr>
                <w:sz w:val="7"/>
                <w:szCs w:val="7"/>
                <w:color w:val="auto"/>
              </w:rPr>
            </w:pPr>
          </w:p>
        </w:tc>
        <w:tc>
          <w:tcPr>
            <w:tcW w:w="1680" w:type="dxa"/>
            <w:vAlign w:val="bottom"/>
            <w:vMerge w:val="restart"/>
          </w:tcPr>
          <w:p>
            <w:pPr>
              <w:ind w:left="120"/>
              <w:spacing w:after="0"/>
              <w:rPr>
                <w:sz w:val="20"/>
                <w:szCs w:val="20"/>
                <w:color w:val="auto"/>
              </w:rPr>
            </w:pPr>
            <w:r>
              <w:rPr>
                <w:rFonts w:ascii="Arial" w:cs="Arial" w:eastAsia="Arial" w:hAnsi="Arial"/>
                <w:sz w:val="13"/>
                <w:szCs w:val="13"/>
                <w:color w:val="auto"/>
              </w:rPr>
              <w:t>a broker</w:t>
            </w:r>
          </w:p>
        </w:tc>
        <w:tc>
          <w:tcPr>
            <w:tcW w:w="2480" w:type="dxa"/>
            <w:vAlign w:val="bottom"/>
            <w:vMerge w:val="restart"/>
          </w:tcPr>
          <w:p>
            <w:pPr>
              <w:ind w:left="120"/>
              <w:spacing w:after="0"/>
              <w:rPr>
                <w:sz w:val="20"/>
                <w:szCs w:val="20"/>
                <w:color w:val="auto"/>
              </w:rPr>
            </w:pPr>
            <w:r>
              <w:rPr>
                <w:rFonts w:ascii="Arial" w:cs="Arial" w:eastAsia="Arial" w:hAnsi="Arial"/>
                <w:sz w:val="13"/>
                <w:szCs w:val="13"/>
                <w:color w:val="auto"/>
                <w:w w:val="93"/>
              </w:rPr>
              <w:t>cash flows, and recently executed financing</w:t>
            </w:r>
          </w:p>
        </w:tc>
        <w:tc>
          <w:tcPr>
            <w:tcW w:w="0" w:type="dxa"/>
            <w:vAlign w:val="bottom"/>
          </w:tcPr>
          <w:p>
            <w:pPr>
              <w:spacing w:after="0"/>
              <w:rPr>
                <w:sz w:val="1"/>
                <w:szCs w:val="1"/>
                <w:color w:val="auto"/>
              </w:rPr>
            </w:pPr>
          </w:p>
        </w:tc>
      </w:tr>
      <w:tr>
        <w:trPr>
          <w:trHeight w:val="69"/>
        </w:trPr>
        <w:tc>
          <w:tcPr>
            <w:tcW w:w="5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-300355</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3"/>
          <w:szCs w:val="13"/>
          <w:color w:val="auto"/>
        </w:rPr>
        <w:t>transactions related to the company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1140" w:val="left"/>
        </w:tabs>
        <w:rPr>
          <w:sz w:val="20"/>
          <w:szCs w:val="20"/>
          <w:color w:val="auto"/>
        </w:rPr>
      </w:pPr>
      <w:r>
        <w:rPr>
          <w:rFonts w:ascii="Arial" w:cs="Arial" w:eastAsia="Arial" w:hAnsi="Arial"/>
          <w:sz w:val="13"/>
          <w:szCs w:val="13"/>
          <w:color w:val="auto"/>
        </w:rPr>
        <w:t>10.0%</w:t>
      </w:r>
      <w:r>
        <w:rPr>
          <w:sz w:val="20"/>
          <w:szCs w:val="20"/>
          <w:color w:val="auto"/>
        </w:rPr>
        <w:tab/>
      </w:r>
      <w:r>
        <w:rPr>
          <w:rFonts w:ascii="Arial" w:cs="Arial" w:eastAsia="Arial" w:hAnsi="Arial"/>
          <w:sz w:val="11"/>
          <w:szCs w:val="11"/>
          <w:color w:val="auto"/>
        </w:rPr>
        <w:t>10.0%</w:t>
      </w:r>
    </w:p>
    <w:p>
      <w:pPr>
        <w:spacing w:after="0" w:line="121" w:lineRule="exact"/>
        <w:rPr>
          <w:sz w:val="20"/>
          <w:szCs w:val="20"/>
          <w:color w:val="auto"/>
        </w:rPr>
      </w:pPr>
    </w:p>
    <w:p>
      <w:pPr>
        <w:spacing w:after="0"/>
        <w:tabs>
          <w:tab w:leader="none" w:pos="1140" w:val="left"/>
        </w:tabs>
        <w:rPr>
          <w:sz w:val="20"/>
          <w:szCs w:val="20"/>
          <w:color w:val="auto"/>
        </w:rPr>
      </w:pPr>
      <w:r>
        <w:rPr>
          <w:rFonts w:ascii="Arial" w:cs="Arial" w:eastAsia="Arial" w:hAnsi="Arial"/>
          <w:sz w:val="13"/>
          <w:szCs w:val="13"/>
          <w:color w:val="auto"/>
        </w:rPr>
        <w:t>19.3%</w:t>
      </w:r>
      <w:r>
        <w:rPr>
          <w:sz w:val="20"/>
          <w:szCs w:val="20"/>
          <w:color w:val="auto"/>
        </w:rPr>
        <w:tab/>
      </w:r>
      <w:r>
        <w:rPr>
          <w:rFonts w:ascii="Arial" w:cs="Arial" w:eastAsia="Arial" w:hAnsi="Arial"/>
          <w:sz w:val="11"/>
          <w:szCs w:val="11"/>
          <w:color w:val="auto"/>
        </w:rPr>
        <w:t>14.1%</w:t>
      </w:r>
    </w:p>
    <w:p>
      <w:pPr>
        <w:spacing w:after="0" w:line="31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3"/>
          <w:szCs w:val="13"/>
          <w:color w:val="auto"/>
        </w:rPr>
        <w:t>N/A</w:t>
      </w:r>
      <w:r>
        <w:rPr>
          <w:sz w:val="20"/>
          <w:szCs w:val="20"/>
          <w:color w:val="auto"/>
        </w:rPr>
        <w:tab/>
      </w:r>
      <w:r>
        <w:rPr>
          <w:rFonts w:ascii="Arial" w:cs="Arial" w:eastAsia="Arial" w:hAnsi="Arial"/>
          <w:sz w:val="13"/>
          <w:szCs w:val="13"/>
          <w:color w:val="auto"/>
        </w:rPr>
        <w:t>N/A</w:t>
      </w:r>
    </w:p>
    <w:p>
      <w:pPr>
        <w:spacing w:after="0" w:line="309" w:lineRule="exact"/>
        <w:rPr>
          <w:sz w:val="20"/>
          <w:szCs w:val="20"/>
          <w:color w:val="auto"/>
        </w:rPr>
      </w:pPr>
    </w:p>
    <w:p>
      <w:pPr>
        <w:sectPr>
          <w:pgSz w:w="11900" w:h="16838" w:orient="portrait"/>
          <w:cols w:equalWidth="0" w:num="3">
            <w:col w:w="3380" w:space="720"/>
            <w:col w:w="4880" w:space="720"/>
            <w:col w:w="15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640" w:type="dxa"/>
            <w:vAlign w:val="bottom"/>
          </w:tcPr>
          <w:p>
            <w:pPr>
              <w:ind w:left="40"/>
              <w:spacing w:after="0"/>
              <w:rPr>
                <w:sz w:val="20"/>
                <w:szCs w:val="20"/>
                <w:color w:val="auto"/>
              </w:rPr>
            </w:pPr>
            <w:r>
              <w:rPr>
                <w:rFonts w:ascii="Arial" w:cs="Arial" w:eastAsia="Arial" w:hAnsi="Arial"/>
                <w:sz w:val="13"/>
                <w:szCs w:val="13"/>
                <w:color w:val="auto"/>
              </w:rPr>
              <w:t>Derivative assets - mortgage</w:t>
            </w:r>
          </w:p>
        </w:tc>
        <w:tc>
          <w:tcPr>
            <w:tcW w:w="1140" w:type="dxa"/>
            <w:vAlign w:val="bottom"/>
          </w:tcPr>
          <w:p>
            <w:pPr>
              <w:jc w:val="right"/>
              <w:ind w:right="353"/>
              <w:spacing w:after="0"/>
              <w:rPr>
                <w:sz w:val="20"/>
                <w:szCs w:val="20"/>
                <w:color w:val="auto"/>
              </w:rPr>
            </w:pPr>
            <w:r>
              <w:rPr>
                <w:rFonts w:ascii="Arial" w:cs="Arial" w:eastAsia="Arial" w:hAnsi="Arial"/>
                <w:sz w:val="13"/>
                <w:szCs w:val="13"/>
                <w:color w:val="auto"/>
              </w:rPr>
              <w:t>7,361</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1,970</w:t>
            </w:r>
          </w:p>
        </w:tc>
        <w:tc>
          <w:tcPr>
            <w:tcW w:w="1360" w:type="dxa"/>
            <w:vAlign w:val="bottom"/>
          </w:tcPr>
          <w:p>
            <w:pPr>
              <w:ind w:left="120"/>
              <w:spacing w:after="0"/>
              <w:rPr>
                <w:sz w:val="20"/>
                <w:szCs w:val="20"/>
                <w:color w:val="auto"/>
              </w:rPr>
            </w:pPr>
            <w:r>
              <w:rPr>
                <w:rFonts w:ascii="Arial" w:cs="Arial" w:eastAsia="Arial" w:hAnsi="Arial"/>
                <w:sz w:val="13"/>
                <w:szCs w:val="13"/>
                <w:color w:val="auto"/>
              </w:rPr>
              <w:t>Internal model</w:t>
            </w:r>
          </w:p>
        </w:tc>
        <w:tc>
          <w:tcPr>
            <w:tcW w:w="2780" w:type="dxa"/>
            <w:vAlign w:val="bottom"/>
          </w:tcPr>
          <w:p>
            <w:pPr>
              <w:ind w:left="440"/>
              <w:spacing w:after="0"/>
              <w:rPr>
                <w:sz w:val="20"/>
                <w:szCs w:val="20"/>
                <w:color w:val="auto"/>
              </w:rPr>
            </w:pPr>
            <w:r>
              <w:rPr>
                <w:rFonts w:ascii="Arial" w:cs="Arial" w:eastAsia="Arial" w:hAnsi="Arial"/>
                <w:sz w:val="13"/>
                <w:szCs w:val="13"/>
                <w:color w:val="auto"/>
              </w:rPr>
              <w:t>Pull through rate</w:t>
            </w:r>
          </w:p>
        </w:tc>
        <w:tc>
          <w:tcPr>
            <w:tcW w:w="1720" w:type="dxa"/>
            <w:vAlign w:val="bottom"/>
          </w:tcPr>
          <w:p>
            <w:pPr>
              <w:ind w:left="960"/>
              <w:spacing w:after="0"/>
              <w:rPr>
                <w:sz w:val="20"/>
                <w:szCs w:val="20"/>
                <w:color w:val="auto"/>
              </w:rPr>
            </w:pPr>
            <w:r>
              <w:rPr>
                <w:rFonts w:ascii="Arial" w:cs="Arial" w:eastAsia="Arial" w:hAnsi="Arial"/>
                <w:sz w:val="13"/>
                <w:szCs w:val="13"/>
                <w:color w:val="auto"/>
              </w:rPr>
              <w:t>80.5%</w:t>
            </w:r>
          </w:p>
        </w:tc>
        <w:tc>
          <w:tcPr>
            <w:tcW w:w="780" w:type="dxa"/>
            <w:vAlign w:val="bottom"/>
          </w:tcPr>
          <w:p>
            <w:pPr>
              <w:ind w:left="400"/>
              <w:spacing w:after="0"/>
              <w:rPr>
                <w:sz w:val="20"/>
                <w:szCs w:val="20"/>
                <w:color w:val="auto"/>
              </w:rPr>
            </w:pPr>
            <w:r>
              <w:rPr>
                <w:rFonts w:ascii="Arial" w:cs="Arial" w:eastAsia="Arial" w:hAnsi="Arial"/>
                <w:sz w:val="13"/>
                <w:szCs w:val="13"/>
                <w:color w:val="auto"/>
                <w:w w:val="97"/>
              </w:rPr>
              <w:t>83.6%</w:t>
            </w:r>
          </w:p>
        </w:tc>
      </w:tr>
      <w:tr>
        <w:trPr>
          <w:trHeight w:val="55"/>
        </w:trPr>
        <w:tc>
          <w:tcPr>
            <w:tcW w:w="2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Derivative assets - other</w:t>
            </w:r>
          </w:p>
        </w:tc>
        <w:tc>
          <w:tcPr>
            <w:tcW w:w="11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5,268</w:t>
            </w:r>
          </w:p>
        </w:tc>
        <w:tc>
          <w:tcPr>
            <w:tcW w:w="1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Dealer priced</w:t>
            </w:r>
          </w:p>
        </w:tc>
        <w:tc>
          <w:tcPr>
            <w:tcW w:w="2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Dealer priced</w:t>
            </w:r>
          </w:p>
        </w:tc>
        <w:tc>
          <w:tcPr>
            <w:tcW w:w="17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3"/>
                <w:szCs w:val="13"/>
                <w:color w:val="auto"/>
              </w:rPr>
              <w:t>N/A</w:t>
            </w:r>
          </w:p>
        </w:tc>
        <w:tc>
          <w:tcPr>
            <w:tcW w:w="7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rPr>
              <w:t>N/A</w:t>
            </w:r>
          </w:p>
        </w:tc>
      </w:tr>
      <w:tr>
        <w:trPr>
          <w:trHeight w:val="216"/>
        </w:trPr>
        <w:tc>
          <w:tcPr>
            <w:tcW w:w="2640" w:type="dxa"/>
            <w:vAlign w:val="bottom"/>
          </w:tcPr>
          <w:p>
            <w:pPr>
              <w:ind w:left="40"/>
              <w:spacing w:after="0"/>
              <w:rPr>
                <w:sz w:val="20"/>
                <w:szCs w:val="20"/>
                <w:color w:val="auto"/>
              </w:rPr>
            </w:pPr>
            <w:r>
              <w:rPr>
                <w:rFonts w:ascii="Arial" w:cs="Arial" w:eastAsia="Arial" w:hAnsi="Arial"/>
                <w:sz w:val="13"/>
                <w:szCs w:val="13"/>
                <w:color w:val="auto"/>
              </w:rPr>
              <w:t>Derivative liabilities - risk participations</w:t>
            </w:r>
          </w:p>
        </w:tc>
        <w:tc>
          <w:tcPr>
            <w:tcW w:w="1140" w:type="dxa"/>
            <w:vAlign w:val="bottom"/>
          </w:tcPr>
          <w:p>
            <w:pPr>
              <w:jc w:val="right"/>
              <w:ind w:right="353"/>
              <w:spacing w:after="0"/>
              <w:rPr>
                <w:sz w:val="20"/>
                <w:szCs w:val="20"/>
                <w:color w:val="auto"/>
              </w:rPr>
            </w:pPr>
            <w:r>
              <w:rPr>
                <w:rFonts w:ascii="Arial" w:cs="Arial" w:eastAsia="Arial" w:hAnsi="Arial"/>
                <w:sz w:val="13"/>
                <w:szCs w:val="13"/>
                <w:color w:val="auto"/>
              </w:rPr>
              <w:t>28</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12</w:t>
            </w:r>
          </w:p>
        </w:tc>
        <w:tc>
          <w:tcPr>
            <w:tcW w:w="1360" w:type="dxa"/>
            <w:vAlign w:val="bottom"/>
          </w:tcPr>
          <w:p>
            <w:pPr>
              <w:ind w:left="120"/>
              <w:spacing w:after="0"/>
              <w:rPr>
                <w:sz w:val="20"/>
                <w:szCs w:val="20"/>
                <w:color w:val="auto"/>
              </w:rPr>
            </w:pPr>
            <w:r>
              <w:rPr>
                <w:rFonts w:ascii="Arial" w:cs="Arial" w:eastAsia="Arial" w:hAnsi="Arial"/>
                <w:sz w:val="13"/>
                <w:szCs w:val="13"/>
                <w:color w:val="auto"/>
              </w:rPr>
              <w:t>Internal model</w:t>
            </w:r>
          </w:p>
        </w:tc>
        <w:tc>
          <w:tcPr>
            <w:tcW w:w="2780" w:type="dxa"/>
            <w:vAlign w:val="bottom"/>
          </w:tcPr>
          <w:p>
            <w:pPr>
              <w:ind w:left="440"/>
              <w:spacing w:after="0"/>
              <w:rPr>
                <w:sz w:val="20"/>
                <w:szCs w:val="20"/>
                <w:color w:val="auto"/>
              </w:rPr>
            </w:pPr>
            <w:r>
              <w:rPr>
                <w:rFonts w:ascii="Arial" w:cs="Arial" w:eastAsia="Arial" w:hAnsi="Arial"/>
                <w:sz w:val="13"/>
                <w:szCs w:val="13"/>
                <w:color w:val="auto"/>
              </w:rPr>
              <w:t>Probable exposure rate</w:t>
            </w:r>
          </w:p>
        </w:tc>
        <w:tc>
          <w:tcPr>
            <w:tcW w:w="1720" w:type="dxa"/>
            <w:vAlign w:val="bottom"/>
          </w:tcPr>
          <w:p>
            <w:pPr>
              <w:ind w:left="960"/>
              <w:spacing w:after="0"/>
              <w:rPr>
                <w:sz w:val="20"/>
                <w:szCs w:val="20"/>
                <w:color w:val="auto"/>
              </w:rPr>
            </w:pPr>
            <w:r>
              <w:rPr>
                <w:rFonts w:ascii="Arial" w:cs="Arial" w:eastAsia="Arial" w:hAnsi="Arial"/>
                <w:sz w:val="13"/>
                <w:szCs w:val="13"/>
                <w:color w:val="auto"/>
              </w:rPr>
              <w:t>0.15%</w:t>
            </w:r>
          </w:p>
        </w:tc>
        <w:tc>
          <w:tcPr>
            <w:tcW w:w="780" w:type="dxa"/>
            <w:vAlign w:val="bottom"/>
          </w:tcPr>
          <w:p>
            <w:pPr>
              <w:ind w:left="400"/>
              <w:spacing w:after="0"/>
              <w:rPr>
                <w:sz w:val="20"/>
                <w:szCs w:val="20"/>
                <w:color w:val="auto"/>
              </w:rPr>
            </w:pPr>
            <w:r>
              <w:rPr>
                <w:rFonts w:ascii="Arial" w:cs="Arial" w:eastAsia="Arial" w:hAnsi="Arial"/>
                <w:sz w:val="13"/>
                <w:szCs w:val="13"/>
                <w:color w:val="auto"/>
                <w:w w:val="97"/>
              </w:rPr>
              <w:t>0.36%</w:t>
            </w:r>
          </w:p>
        </w:tc>
      </w:tr>
      <w:tr>
        <w:trPr>
          <w:trHeight w:val="54"/>
        </w:trPr>
        <w:tc>
          <w:tcPr>
            <w:tcW w:w="2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Probability of default rate</w:t>
            </w:r>
          </w:p>
        </w:tc>
        <w:tc>
          <w:tcPr>
            <w:tcW w:w="17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3"/>
                <w:szCs w:val="13"/>
                <w:color w:val="auto"/>
              </w:rPr>
              <w:t>1.80%</w:t>
            </w:r>
          </w:p>
        </w:tc>
        <w:tc>
          <w:tcPr>
            <w:tcW w:w="7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97"/>
              </w:rPr>
              <w:t>1.80%</w:t>
            </w:r>
          </w:p>
        </w:tc>
      </w:tr>
      <w:tr>
        <w:trPr>
          <w:trHeight w:val="216"/>
        </w:trPr>
        <w:tc>
          <w:tcPr>
            <w:tcW w:w="2640" w:type="dxa"/>
            <w:vAlign w:val="bottom"/>
          </w:tcPr>
          <w:p>
            <w:pPr>
              <w:ind w:left="40"/>
              <w:spacing w:after="0"/>
              <w:rPr>
                <w:sz w:val="20"/>
                <w:szCs w:val="20"/>
                <w:color w:val="auto"/>
              </w:rPr>
            </w:pPr>
            <w:r>
              <w:rPr>
                <w:rFonts w:ascii="Arial" w:cs="Arial" w:eastAsia="Arial" w:hAnsi="Arial"/>
                <w:sz w:val="13"/>
                <w:szCs w:val="13"/>
                <w:color w:val="auto"/>
              </w:rPr>
              <w:t>Derivative liabilities - other</w:t>
            </w:r>
          </w:p>
        </w:tc>
        <w:tc>
          <w:tcPr>
            <w:tcW w:w="1140" w:type="dxa"/>
            <w:vAlign w:val="bottom"/>
          </w:tcPr>
          <w:p>
            <w:pPr>
              <w:jc w:val="right"/>
              <w:ind w:right="353"/>
              <w:spacing w:after="0"/>
              <w:rPr>
                <w:sz w:val="20"/>
                <w:szCs w:val="20"/>
                <w:color w:val="auto"/>
              </w:rPr>
            </w:pPr>
            <w:r>
              <w:rPr>
                <w:rFonts w:ascii="Arial" w:cs="Arial" w:eastAsia="Arial" w:hAnsi="Arial"/>
                <w:sz w:val="13"/>
                <w:szCs w:val="13"/>
                <w:color w:val="auto"/>
              </w:rPr>
              <w:t>2,689</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8,547</w:t>
            </w:r>
          </w:p>
        </w:tc>
        <w:tc>
          <w:tcPr>
            <w:tcW w:w="1360" w:type="dxa"/>
            <w:vAlign w:val="bottom"/>
          </w:tcPr>
          <w:p>
            <w:pPr>
              <w:ind w:left="120"/>
              <w:spacing w:after="0"/>
              <w:rPr>
                <w:sz w:val="20"/>
                <w:szCs w:val="20"/>
                <w:color w:val="auto"/>
              </w:rPr>
            </w:pPr>
            <w:r>
              <w:rPr>
                <w:rFonts w:ascii="Arial" w:cs="Arial" w:eastAsia="Arial" w:hAnsi="Arial"/>
                <w:sz w:val="13"/>
                <w:szCs w:val="13"/>
                <w:color w:val="auto"/>
              </w:rPr>
              <w:t>Dealer priced</w:t>
            </w:r>
          </w:p>
        </w:tc>
        <w:tc>
          <w:tcPr>
            <w:tcW w:w="2780" w:type="dxa"/>
            <w:vAlign w:val="bottom"/>
          </w:tcPr>
          <w:p>
            <w:pPr>
              <w:ind w:left="440"/>
              <w:spacing w:after="0"/>
              <w:rPr>
                <w:sz w:val="20"/>
                <w:szCs w:val="20"/>
                <w:color w:val="auto"/>
              </w:rPr>
            </w:pPr>
            <w:r>
              <w:rPr>
                <w:rFonts w:ascii="Arial" w:cs="Arial" w:eastAsia="Arial" w:hAnsi="Arial"/>
                <w:sz w:val="13"/>
                <w:szCs w:val="13"/>
                <w:color w:val="auto"/>
              </w:rPr>
              <w:t>Dealer priced</w:t>
            </w:r>
          </w:p>
        </w:tc>
        <w:tc>
          <w:tcPr>
            <w:tcW w:w="1720" w:type="dxa"/>
            <w:vAlign w:val="bottom"/>
          </w:tcPr>
          <w:p>
            <w:pPr>
              <w:ind w:left="980"/>
              <w:spacing w:after="0"/>
              <w:rPr>
                <w:sz w:val="20"/>
                <w:szCs w:val="20"/>
                <w:color w:val="auto"/>
              </w:rPr>
            </w:pPr>
            <w:r>
              <w:rPr>
                <w:rFonts w:ascii="Arial" w:cs="Arial" w:eastAsia="Arial" w:hAnsi="Arial"/>
                <w:sz w:val="13"/>
                <w:szCs w:val="13"/>
                <w:color w:val="auto"/>
              </w:rPr>
              <w:t>N/A</w:t>
            </w:r>
          </w:p>
        </w:tc>
        <w:tc>
          <w:tcPr>
            <w:tcW w:w="780" w:type="dxa"/>
            <w:vAlign w:val="bottom"/>
          </w:tcPr>
          <w:p>
            <w:pPr>
              <w:ind w:left="400"/>
              <w:spacing w:after="0"/>
              <w:rPr>
                <w:sz w:val="20"/>
                <w:szCs w:val="20"/>
                <w:color w:val="auto"/>
              </w:rPr>
            </w:pPr>
            <w:r>
              <w:rPr>
                <w:rFonts w:ascii="Arial" w:cs="Arial" w:eastAsia="Arial" w:hAnsi="Arial"/>
                <w:sz w:val="13"/>
                <w:szCs w:val="13"/>
                <w:color w:val="auto"/>
              </w:rPr>
              <w:t>N/A</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March 31, 2020, mortgage loans held for sale for which the fair value option was elected had an aggregate fair value and outstanding principal balance of $90.0 million and $86.4 million, respectively. At December 31, 2019, mortgage loans held for sale for which the fair value option was elected had an aggregate fair value and outstanding principal balance of $58.5 million and $56.6 million, respectively. Interest income on these loans is calculated based on the note rate of the loan and is recorded in interest revenue. During the three months ended March 31, 2020 and 2019, changes in fair value of these loans resulted in net gains of $1.73 million and $306,000, respectively. Gains and losses resulting from the change in fair value of these loans are recorded in mortgage loan and other related fees. These changes in fair value were mostly offset by hedging activities. An immaterial portion of these amounts was attributable to changes in instrument-specific credit risk.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March 31, 2020 and December 31, 2019,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r>
      <w:tr>
        <w:trPr>
          <w:trHeight w:val="33"/>
        </w:trPr>
        <w:tc>
          <w:tcPr>
            <w:tcW w:w="158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0"/>
        </w:trPr>
        <w:tc>
          <w:tcPr>
            <w:tcW w:w="15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17"/>
        </w:trPr>
        <w:tc>
          <w:tcPr>
            <w:tcW w:w="1580" w:type="dxa"/>
            <w:vAlign w:val="bottom"/>
          </w:tcPr>
          <w:p>
            <w:pPr>
              <w:spacing w:after="0"/>
              <w:rPr>
                <w:sz w:val="18"/>
                <w:szCs w:val="18"/>
                <w:color w:val="auto"/>
              </w:rPr>
            </w:pPr>
          </w:p>
        </w:tc>
        <w:tc>
          <w:tcPr>
            <w:tcW w:w="35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Loans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3,909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3,909</w:t>
            </w:r>
          </w:p>
        </w:tc>
        <w:tc>
          <w:tcPr>
            <w:tcW w:w="1680" w:type="dxa"/>
            <w:vAlign w:val="bottom"/>
          </w:tcPr>
          <w:p>
            <w:pPr>
              <w:spacing w:after="0"/>
              <w:rPr>
                <w:sz w:val="18"/>
                <w:szCs w:val="18"/>
                <w:color w:val="auto"/>
              </w:rPr>
            </w:pPr>
          </w:p>
        </w:tc>
      </w:tr>
      <w:tr>
        <w:trPr>
          <w:trHeight w:val="33"/>
        </w:trPr>
        <w:tc>
          <w:tcPr>
            <w:tcW w:w="1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3"/>
        </w:trPr>
        <w:tc>
          <w:tcPr>
            <w:tcW w:w="15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37"/>
        </w:trPr>
        <w:tc>
          <w:tcPr>
            <w:tcW w:w="1580" w:type="dxa"/>
            <w:vAlign w:val="bottom"/>
          </w:tcPr>
          <w:p>
            <w:pPr>
              <w:spacing w:after="0"/>
              <w:rPr>
                <w:sz w:val="20"/>
                <w:szCs w:val="20"/>
                <w:color w:val="auto"/>
              </w:rPr>
            </w:pPr>
          </w:p>
        </w:tc>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3"/>
        </w:trPr>
        <w:tc>
          <w:tcPr>
            <w:tcW w:w="1580" w:type="dxa"/>
            <w:vAlign w:val="bottom"/>
            <w:tcBorders>
              <w:bottom w:val="single" w:sz="8" w:color="CCEEFF"/>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17"/>
        </w:trPr>
        <w:tc>
          <w:tcPr>
            <w:tcW w:w="1580" w:type="dxa"/>
            <w:vAlign w:val="bottom"/>
            <w:shd w:val="clear" w:color="auto" w:fill="CCEEFF"/>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20,977</w:t>
            </w:r>
          </w:p>
        </w:tc>
        <w:tc>
          <w:tcPr>
            <w:tcW w:w="1680" w:type="dxa"/>
            <w:vAlign w:val="bottom"/>
            <w:shd w:val="clear" w:color="auto" w:fill="CCEEFF"/>
          </w:tcPr>
          <w:p>
            <w:pPr>
              <w:spacing w:after="0"/>
              <w:rPr>
                <w:sz w:val="18"/>
                <w:szCs w:val="18"/>
                <w:color w:val="auto"/>
              </w:rPr>
            </w:pPr>
          </w:p>
        </w:tc>
      </w:tr>
      <w:tr>
        <w:trPr>
          <w:trHeight w:val="33"/>
        </w:trPr>
        <w:tc>
          <w:tcPr>
            <w:tcW w:w="15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Fair Value Level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2"/>
                <w:szCs w:val="22"/>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50"/>
        </w:trPr>
        <w:tc>
          <w:tcPr>
            <w:tcW w:w="382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50"/>
        </w:trPr>
        <w:tc>
          <w:tcPr>
            <w:tcW w:w="382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held-to-maturity</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290,404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301,595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301,595</w:t>
            </w:r>
          </w:p>
        </w:tc>
      </w:tr>
      <w:tr>
        <w:trPr>
          <w:trHeight w:val="264"/>
        </w:trPr>
        <w:tc>
          <w:tcPr>
            <w:tcW w:w="3820" w:type="dxa"/>
            <w:vAlign w:val="bottom"/>
          </w:tcPr>
          <w:p>
            <w:pPr>
              <w:ind w:left="180"/>
              <w:spacing w:after="0"/>
              <w:rPr>
                <w:sz w:val="20"/>
                <w:szCs w:val="20"/>
                <w:color w:val="auto"/>
              </w:rPr>
            </w:pPr>
            <w:r>
              <w:rPr>
                <w:rFonts w:ascii="Arial" w:cs="Arial" w:eastAsia="Arial" w:hAnsi="Arial"/>
                <w:sz w:val="14"/>
                <w:szCs w:val="14"/>
                <w:color w:val="auto"/>
              </w:rPr>
              <w:t>Loans and leases, net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8,853,519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8,690,538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8,690,538</w:t>
            </w:r>
          </w:p>
        </w:tc>
      </w:tr>
      <w:tr>
        <w:trPr>
          <w:trHeight w:val="290"/>
        </w:trPr>
        <w:tc>
          <w:tcPr>
            <w:tcW w:w="3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8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11,034,926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11,037,183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11,037,183</w:t>
            </w:r>
          </w:p>
        </w:tc>
      </w:tr>
      <w:tr>
        <w:trPr>
          <w:trHeight w:val="264"/>
        </w:trPr>
        <w:tc>
          <w:tcPr>
            <w:tcW w:w="382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212,849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213,940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213,940</w:t>
            </w:r>
          </w:p>
        </w:tc>
      </w:tr>
      <w:tr>
        <w:trPr>
          <w:trHeight w:val="290"/>
        </w:trPr>
        <w:tc>
          <w:tcPr>
            <w:tcW w:w="3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r>
      <w:tr>
        <w:trPr>
          <w:trHeight w:val="256"/>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4"/>
        </w:trPr>
        <w:tc>
          <w:tcPr>
            <w:tcW w:w="3820" w:type="dxa"/>
            <w:vAlign w:val="bottom"/>
          </w:tcPr>
          <w:p>
            <w:pPr>
              <w:ind w:left="180"/>
              <w:spacing w:after="0"/>
              <w:rPr>
                <w:sz w:val="20"/>
                <w:szCs w:val="20"/>
                <w:color w:val="auto"/>
              </w:rPr>
            </w:pPr>
            <w:r>
              <w:rPr>
                <w:rFonts w:ascii="Arial" w:cs="Arial" w:eastAsia="Arial" w:hAnsi="Arial"/>
                <w:sz w:val="14"/>
                <w:szCs w:val="14"/>
                <w:color w:val="auto"/>
              </w:rPr>
              <w:t>Securities held-to-maturity</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283,533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287,904</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287,904</w:t>
            </w:r>
          </w:p>
        </w:tc>
      </w:tr>
      <w:tr>
        <w:trPr>
          <w:trHeight w:val="276"/>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and leases, net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8,750,464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8,714,592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8,714,592</w:t>
            </w:r>
          </w:p>
        </w:tc>
      </w:tr>
      <w:tr>
        <w:trPr>
          <w:trHeight w:val="283"/>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3820" w:type="dxa"/>
            <w:vAlign w:val="bottom"/>
          </w:tcPr>
          <w:p>
            <w:pPr>
              <w:ind w:left="180"/>
              <w:spacing w:after="0"/>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10,897,244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10,897,465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10,897,465</w:t>
            </w:r>
          </w:p>
        </w:tc>
      </w:tr>
      <w:tr>
        <w:trPr>
          <w:trHeight w:val="276"/>
        </w:trPr>
        <w:tc>
          <w:tcPr>
            <w:tcW w:w="3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212,664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217,665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217,665</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2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Commitments to extend credit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2,079,644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2,126,275</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Letters of credit</w:t>
            </w: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22,533</w:t>
            </w:r>
          </w:p>
        </w:tc>
      </w:tr>
      <w:tr>
        <w:trPr>
          <w:trHeight w:val="33"/>
        </w:trPr>
        <w:tc>
          <w:tcPr>
            <w:tcW w:w="7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holds minor investments in certain limited partnerships for Community Reinvestment Act purposes. As of March 31, 2020, United had committed to fund an additional $10.4 million related to future capital calls that had not been reflected in the consolidated balance sheet.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Regulatory Matters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March 31, 2020, United and the Bank were categorized as well-capitalized under the regulatory framework for prompt corrective action in effect at such time. To be categorized as well-capitalized at March 31, 2020, United and the Bank must have exceeded the well-capitalized guideline ratios in effect at such time, as set forth in the table below and have met certain other requirements. Management believes that United and the Bank exceeded all well-capitalized requirements at March 31, 2020, and there have been no conditions or events since year-end that would change the status of well-capitalized.</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Through the CARES Act, federal banking regulatory agencies have provided relief, which United has adopted, for the delay of the adverse capital impact of CECL at adoption and during the subsequent two-year period after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Regulatory capital ratios at March 31, 2020 and December 31, 2019,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3"/>
              </w:rPr>
              <w:t>United Community Banks, Inc.</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2680" w:type="dxa"/>
            <w:vAlign w:val="bottom"/>
          </w:tcPr>
          <w:p>
            <w:pPr>
              <w:spacing w:after="0"/>
              <w:rPr>
                <w:sz w:val="18"/>
                <w:szCs w:val="18"/>
                <w:color w:val="auto"/>
              </w:rPr>
            </w:pPr>
          </w:p>
        </w:tc>
        <w:tc>
          <w:tcPr>
            <w:tcW w:w="2740" w:type="dxa"/>
            <w:vAlign w:val="bottom"/>
            <w:gridSpan w:val="4"/>
          </w:tcPr>
          <w:p>
            <w:pPr>
              <w:ind w:left="640"/>
              <w:spacing w:after="0"/>
              <w:rPr>
                <w:sz w:val="20"/>
                <w:szCs w:val="20"/>
                <w:color w:val="auto"/>
              </w:rPr>
            </w:pPr>
            <w:r>
              <w:rPr>
                <w:rFonts w:ascii="Arial" w:cs="Arial" w:eastAsia="Arial" w:hAnsi="Arial"/>
                <w:sz w:val="16"/>
                <w:szCs w:val="16"/>
                <w:b w:val="1"/>
                <w:bCs w:val="1"/>
                <w:color w:val="auto"/>
              </w:rPr>
              <w:t>Basel III Guidelines</w:t>
            </w:r>
          </w:p>
        </w:tc>
        <w:tc>
          <w:tcPr>
            <w:tcW w:w="120" w:type="dxa"/>
            <w:vAlign w:val="bottom"/>
          </w:tcPr>
          <w:p>
            <w:pPr>
              <w:spacing w:after="0"/>
              <w:rPr>
                <w:sz w:val="18"/>
                <w:szCs w:val="18"/>
                <w:color w:val="auto"/>
              </w:rPr>
            </w:pPr>
          </w:p>
        </w:tc>
        <w:tc>
          <w:tcPr>
            <w:tcW w:w="184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w w:val="89"/>
              </w:rPr>
              <w:t>(Consolidated)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United Community Bank</w:t>
            </w:r>
          </w:p>
        </w:tc>
      </w:tr>
      <w:tr>
        <w:trPr>
          <w:trHeight w:val="33"/>
        </w:trPr>
        <w:tc>
          <w:tcPr>
            <w:tcW w:w="26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Well</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268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Capitalized</w:t>
            </w:r>
          </w:p>
        </w:tc>
        <w:tc>
          <w:tcPr>
            <w:tcW w:w="12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2019</w:t>
            </w:r>
          </w:p>
        </w:tc>
        <w:tc>
          <w:tcPr>
            <w:tcW w:w="12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2020</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December 31, 2019</w:t>
            </w:r>
          </w:p>
        </w:tc>
      </w:tr>
      <w:tr>
        <w:trPr>
          <w:trHeight w:val="243"/>
        </w:trPr>
        <w:tc>
          <w:tcPr>
            <w:tcW w:w="2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Risk-based ratios:</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680" w:type="dxa"/>
            <w:vAlign w:val="bottom"/>
          </w:tcPr>
          <w:p>
            <w:pPr>
              <w:ind w:left="180"/>
              <w:spacing w:after="0"/>
              <w:rPr>
                <w:sz w:val="20"/>
                <w:szCs w:val="20"/>
                <w:color w:val="auto"/>
              </w:rPr>
            </w:pPr>
            <w:r>
              <w:rPr>
                <w:rFonts w:ascii="Arial" w:cs="Arial" w:eastAsia="Arial" w:hAnsi="Arial"/>
                <w:sz w:val="16"/>
                <w:szCs w:val="16"/>
                <w:color w:val="auto"/>
              </w:rPr>
              <w:t>Common equity tier 1 capital</w:t>
            </w:r>
          </w:p>
        </w:tc>
        <w:tc>
          <w:tcPr>
            <w:tcW w:w="1260" w:type="dxa"/>
            <w:vAlign w:val="bottom"/>
          </w:tcPr>
          <w:p>
            <w:pPr>
              <w:ind w:left="900"/>
              <w:spacing w:after="0"/>
              <w:rPr>
                <w:sz w:val="20"/>
                <w:szCs w:val="20"/>
                <w:color w:val="auto"/>
              </w:rPr>
            </w:pPr>
            <w:r>
              <w:rPr>
                <w:rFonts w:ascii="Arial" w:cs="Arial" w:eastAsia="Arial" w:hAnsi="Arial"/>
                <w:sz w:val="16"/>
                <w:szCs w:val="16"/>
                <w:color w:val="auto"/>
                <w:w w:val="93"/>
              </w:rPr>
              <w:t>4.5%</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33"/>
        </w:trPr>
        <w:tc>
          <w:tcPr>
            <w:tcW w:w="2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Tier 1 capital</w:t>
            </w:r>
          </w:p>
        </w:tc>
        <w:tc>
          <w:tcPr>
            <w:tcW w:w="1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14.87</w:t>
            </w:r>
          </w:p>
        </w:tc>
      </w:tr>
      <w:tr>
        <w:trPr>
          <w:trHeight w:val="237"/>
        </w:trPr>
        <w:tc>
          <w:tcPr>
            <w:tcW w:w="2680" w:type="dxa"/>
            <w:vAlign w:val="bottom"/>
          </w:tcPr>
          <w:p>
            <w:pPr>
              <w:ind w:left="180"/>
              <w:spacing w:after="0"/>
              <w:rPr>
                <w:sz w:val="20"/>
                <w:szCs w:val="20"/>
                <w:color w:val="auto"/>
              </w:rPr>
            </w:pPr>
            <w:r>
              <w:rPr>
                <w:rFonts w:ascii="Arial" w:cs="Arial" w:eastAsia="Arial" w:hAnsi="Arial"/>
                <w:sz w:val="16"/>
                <w:szCs w:val="16"/>
                <w:color w:val="auto"/>
              </w:rPr>
              <w:t>Total capital</w:t>
            </w:r>
          </w:p>
        </w:tc>
        <w:tc>
          <w:tcPr>
            <w:tcW w:w="1260" w:type="dxa"/>
            <w:vAlign w:val="bottom"/>
          </w:tcPr>
          <w:p>
            <w:pPr>
              <w:ind w:left="90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15.54</w:t>
            </w:r>
          </w:p>
        </w:tc>
      </w:tr>
      <w:tr>
        <w:trPr>
          <w:trHeight w:val="33"/>
        </w:trPr>
        <w:tc>
          <w:tcPr>
            <w:tcW w:w="2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Leverage ratio</w:t>
            </w:r>
          </w:p>
        </w:tc>
        <w:tc>
          <w:tcPr>
            <w:tcW w:w="12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11.63</w:t>
            </w:r>
          </w:p>
        </w:tc>
      </w:tr>
      <w:tr>
        <w:trPr>
          <w:trHeight w:val="283"/>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1,283,068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1,275,148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1,351,820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1,458,720</w:t>
            </w:r>
          </w:p>
        </w:tc>
      </w:tr>
      <w:tr>
        <w:trPr>
          <w:trHeight w:val="237"/>
        </w:trPr>
        <w:tc>
          <w:tcPr>
            <w:tcW w:w="2680" w:type="dxa"/>
            <w:vAlign w:val="bottom"/>
          </w:tcPr>
          <w:p>
            <w:pPr>
              <w:ind w:left="40"/>
              <w:spacing w:after="0"/>
              <w:rPr>
                <w:sz w:val="20"/>
                <w:szCs w:val="20"/>
                <w:color w:val="auto"/>
              </w:rPr>
            </w:pPr>
            <w:r>
              <w:rPr>
                <w:rFonts w:ascii="Arial" w:cs="Arial" w:eastAsia="Arial" w:hAnsi="Arial"/>
                <w:sz w:val="16"/>
                <w:szCs w:val="16"/>
                <w:color w:val="auto"/>
              </w:rPr>
              <w:t>Tier 1 capital</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1,307,318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1,299,398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1,351,820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1,458,720</w:t>
            </w:r>
          </w:p>
        </w:tc>
      </w:tr>
      <w:tr>
        <w:trPr>
          <w:trHeight w:val="33"/>
        </w:trPr>
        <w:tc>
          <w:tcPr>
            <w:tcW w:w="2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capital</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1,490,998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1,476,302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1,424,147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1,524,267</w:t>
            </w:r>
          </w:p>
        </w:tc>
      </w:tr>
      <w:tr>
        <w:trPr>
          <w:trHeight w:val="237"/>
        </w:trPr>
        <w:tc>
          <w:tcPr>
            <w:tcW w:w="2680" w:type="dxa"/>
            <w:vAlign w:val="bottom"/>
          </w:tcPr>
          <w:p>
            <w:pPr>
              <w:ind w:left="40"/>
              <w:spacing w:after="0"/>
              <w:rPr>
                <w:sz w:val="20"/>
                <w:szCs w:val="20"/>
                <w:color w:val="auto"/>
              </w:rPr>
            </w:pPr>
            <w:r>
              <w:rPr>
                <w:rFonts w:ascii="Arial" w:cs="Arial" w:eastAsia="Arial" w:hAnsi="Arial"/>
                <w:sz w:val="16"/>
                <w:szCs w:val="16"/>
                <w:color w:val="auto"/>
              </w:rPr>
              <w:t>Risk-weighted assets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9,983,839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9,834,051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9,957,388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9,810,477</w:t>
            </w:r>
          </w:p>
        </w:tc>
      </w:tr>
      <w:tr>
        <w:trPr>
          <w:trHeight w:val="33"/>
        </w:trPr>
        <w:tc>
          <w:tcPr>
            <w:tcW w:w="2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total assets for the</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6"/>
        </w:trPr>
        <w:tc>
          <w:tcPr>
            <w:tcW w:w="2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leverage ratio</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12,570,521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7"/>
              </w:rPr>
              <w:t>12,568,563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12,538,532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12,545,254</w:t>
            </w:r>
          </w:p>
        </w:tc>
      </w:tr>
      <w:tr>
        <w:trPr>
          <w:trHeight w:val="33"/>
        </w:trPr>
        <w:tc>
          <w:tcPr>
            <w:tcW w:w="26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As of </w:t>
      </w:r>
      <w:r>
        <w:rPr>
          <w:rFonts w:ascii="Arial" w:cs="Arial" w:eastAsia="Arial" w:hAnsi="Arial"/>
          <w:sz w:val="15"/>
          <w:szCs w:val="15"/>
          <w:color w:val="auto"/>
        </w:rPr>
        <w:t>March 31, 2020 and December 31, 2019</w:t>
      </w:r>
      <w:r>
        <w:rPr>
          <w:rFonts w:ascii="Arial" w:cs="Arial" w:eastAsia="Arial" w:hAnsi="Arial"/>
          <w:sz w:val="14"/>
          <w:szCs w:val="14"/>
          <w:color w:val="auto"/>
        </w:rPr>
        <w:t xml:space="preserve"> the additional capital conservation buffer in effect was 2.50%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Goodwill</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premium paid for acquired companies above the fair value of the assets acquired and liabilities assumed, including separately identifiable intangible assets. At March 31, 2020 and December 31, 2019, the net carrying value of goodwill was $327 million. Goodwill is not amortized but is assessed for impairment on an annual basis, or more often if events or circumstances indicate there may be impairment, referred to as a triggering event. Upon the occurrence of a triggering event, accounting guidance allows for an assessment of qualitative factors to determine whether it is more likely than not, or a greater than 50% likelihood, that the fair value of the entity is less than its carrying amount, including goodwill. When it is more likely than not that impairment has occurred, management is required to perform a quantitative analysis and, if necessary, adjust the carrying amount of goodwill by recording a goodwill impairment loss. During the first quarter of 2020, as a result of market concerns about the potential impact of COVID-19, United’s stock price declined such that it traded below book value for the latter part of the quarter. As a result of this triggering event, management has qualitatively assessed and concluded that there is not a greater than 50% likelihood that United’s fair value is less than its carrying amount as of March 31, 2020, given the short duration of change in macroeconomic conditions and excess of value as of the latest annual test performed as of September 30, 2019. Management will continue to monitor and assess the impact of the pandemic on the Company’s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6, 2020, United’s Board of Directors approved a regular quarterly cash dividend of $0.18 per common share. The dividend is payable July 6, 2020, to shareholders of record on June 15,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quarter-end and through May 1, 2020, United had received SBA authorization for 11,256 PPP loans totaling $1.20 billion. In addition, through April 30, 2020, United had granted short-term deferrals on loans that were otherwise performing of approximately $1.40 billion, which included those granted prior to quarter-end.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COVID-19 pandemic has disrupted and adversely affected United’s business and results of operations, and the ultimate impacts of the pandemic on United’s business, financial condition and results of operations will depend on future developments and other factors that are highly uncertain and will be impacted by the scope and duration of the pandemic and actions taken by governmental authorities in response to the pandemic.</w:t>
      </w:r>
    </w:p>
    <w:p>
      <w:pPr>
        <w:sectPr>
          <w:pgSz w:w="11900" w:h="16838" w:orient="portrait"/>
          <w:cols w:equalWidth="0" w:num="1">
            <w:col w:w="11240"/>
          </w:cols>
          <w:pgMar w:left="320" w:top="121"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discussion of our financial condition at March 31, 2020 and December 31, 2019 and our results of operations for the three months ended March 31, 2020 and March 31, 2019.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Unless the context otherwise requires, the terms “we,” “our,” “us” or “United” refer to United Community Banks, Inc. and its direct and indirect subsidiaries, including United Community Bank, which we sometimes refer to as “the Bank,” “our bank subsidiary” or “our bank.” References to the “Holding Company” refer to United Community Banks, Inc. on an unconsolidated basis. The following discussion and analysis should be read along with our consolidated financial statements and related notes included in Part I - Item 1 of this Quarterly Report on Form 10-Q, “Cautionary Note Regarding Forward-Looking Statements” and the risk factors discussed in our Annual Report on Form 10-K for the fiscal year ended December 31, 2019 (the “2019 10-K”), as supplemented by those discussed in Part II, Item 1A of this Quarterly Report on Form 10-Q, and the other reports we have filed with the SEC after we filed the 2019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offer a wide array of commercial and consumer banking services and investment advisory services through a 149-branch network throughout Georgia, South Carolina, North Carolina and Tennessee. We have grown organically as well as through strategic acquisitions. On May 1, 2019, we acquired First Madison Bank &amp; Trust (“FMBT”), which operated four branches in the Athens-Clarke County, Georgia MSA. We acquired $245 million of assets and assumed $213 million of liabilities in the acquisition. Also, on March 9, 2020, we entered into a merger agreement through which we will acquire Three Shores Bancorporation, Inc. (“Three Shores”) including its wholly-owned subsidiary, Seaside National Bank &amp; Trust (“Seaside”) headquartered in Orlando, Florida. Seaside is a premier commercial lender with a strong wealth management platform and operates a 14 branch network located in key Florida metropolitan markets. The merger is expected to be completed during the third quarter of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2020, global financial markets experienced significant volatility resulting from the spread of a novel coronavirus known as COVID-19. In March of 2020, the World Health Organization declared COVID-19 a global pandemic and the United States declared a National Public Health Emergency. The COVID-19 pandemic has restricted the level of economic activity in our markets. In response to the pandemic, the governments of the states in which we have branches and of most other states have taken preventative or protective actions, such as imposing restrictions on travel and business operations, advising or requiring individuals to limit or forego time outside of their homes, and ordering temporary closures of businesses that have been deemed to be non-essential. These measures have dramatically increased unemployment in the United States and have negatively impacted many businesses, and thereby threatened the repayment ability of some of our borrowers.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address the economic impact in the United States, the Coronavirus Aid, Relief, and Economic Security Act (“CARES Act”) was signed into law on March 27, 2020. The CARES Act included a number of provisions that affected us, including accounting relief for troubled debt restructurings (“TDRs”) and relief for the effect of current expected credit losses accounting standard (“CECL”) implementation on regulatory capital. The CARES Act also established the Paycheck Protection Program (“PPP”) through the Small Business Administration (“SBA”), which allowed us to lend money to small businesses to maintain employee payrolls through the crisis with guarantees from the SBA. Under this program, loan amounts may be forgiven if the borrower maintains employee payrolls and meet certain other requirements.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Federal Reserve took steps to bolster the economy by, among other things, reducing the federal funds rate and the discount-window borrowing rate to near zero.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pandemic, we have implemented protocols and processes to help protect our employees, customers and communities. These measures include:</w:t>
      </w:r>
    </w:p>
    <w:p>
      <w:pPr>
        <w:spacing w:after="0" w:line="170"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our branches under a drive-through model with appointment-only lobby service, leveraging our business continuity plans and capabilities that include critical operations teams being divided and dispersed to separate locations and, when possible, having employees work from home.</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Offering assistance to our customers affected by the COVID-19 pandemic, which includes payment deferrals, waiving certain fees, suspending property foreclosures, and participating in the CARES Act and lending programs for businesses, including the SBA PPP.</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Temporarily suspending common stock repurchases to maximize capital and liquidity resources.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3"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In connection with reviewing our financial condition in light of the pandemic, we evaluated certain assets, including goodwill and other intangibles, for potential impairment. Based upon our review as of March 31, 2020, no impairments have been recorded. We have also elected to delay for two years the phase-in of the capital impact from our adoption of the new accounting standard on credit losses. For more information, see Capital Resources and Dividends.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implemented various consumer and commercial loan modification programs to provide our borrowers relief from the economic impacts of COVID-19. Based on guidance in the CARES Act, COVID-19 related modifications to loans that were current as of December 31, 2019 are exempt from TDR classification under accounting principles generally accepted in the United States of America (GAAP). In addition, the bank regulatory agencies issued interagency guidance stating that COVID-19 related short-term modifications (i.e., six months or less) granted to loans that were current as of the loan modification program implementation date are not TDRs. For more information, see Note 4 - Loans and Leases and Allowance for Credit Losses to the Consolidated Financial Statements.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the unprecedented uncertainty and rapidly evolving economic effects and social impacts of the COVID-19 pandemic, the future direct and indirect impact on our business, results of operations and financial condition are highly uncertain. Should current economic conditions persist or continue to deteriorate, we expect that this macroeconomic environment will have a continued adverse effect on our business and results of operations, which could include, but not be limited to: decreased demand for our products and services, protracted periods of lower interest rates, increased noninterest expenses, including operational losses, and increased credit losses due to deterioration in the financial condition of our consumer and commercial borrowers, including declining asset and collateral values, which may continue to increase our provision for credit losses and net charge-offs. For more information on how the risks related to COVID-19 may adversely affect our business, results of operations and financial condition, see Part II, Item 1A Risk Factors on page 58.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we had total consolidated assets of $13.1 billion, total loans of $8.94 billion, total deposits of $11.0 billion, and shareholders’ equity of $1.64 billion. We reported net income of $31.9 million, or $0.40 per diluted share, for the first quarter of 2020, compared to net income of $44.3 million, or $0.55 per diluted share, for the first quarter of 2019.</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interest revenue increased to $119 million for the first quarter of 2020, compared to $116 million for the first quarter of 2019, due to several factors including higher purchased loan accretion, an improvement in the mix of interest-earning assets as growth in the loan portfolio replaced an intentionally shrinking investment portfolio, and a more favorable funding mix, which included a reduction in higher cost wholesale funding and an increase in noninterest-bearing deposits. The net interest margin decreased to 4.07% for the three months ended March 31, 2020 from 4.10% for the same period in 2019 primarily due to the effect of falling interest rates on our asset sensitive balance sheet.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credit losses was $22.2 million for the first quarter of 2020, compared to $3.30 million for the first quarter of 2019 reflecting higher expected losses resulting primarily from the COVID-19 pandemic, as well as the adoption of CECL and increased charge-offs. Net charge-offs for the first quarter of 2020 were $8.11 million compared to $3.13 million for the same period in 2019 with the increase resulting primarily from one loan that had been substandard for several quarters.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our allowance for credit losses (“ACL”) on loans was $81.9 million, or 0.92% of loans, compared to $62.1 million, or 0.70% of loans, at December 31, 2019. The higher allowance reflects the effect of adopting CECL, which increased the allowance by $6.88 million upon adoption, and a higher expectation of credit losses resulting from the COVID-19 pandemic. At March 31, 2020 and December 31, 2019, nonperforming assets of $36.7 million and $35.8 million, respectively, were 0.28% of total assets.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Noninterest income of $25.8 million for the first quarter of 2020 was up $4.85 million, or 23%, from the first quarter of 2019. The increase was primarily attributable to an increase in mortgage origination activity which resulted in a $4.56 million increase in mortgage loan gains and related fees. We closed $388 million in mortgage loans in the first quarter of 2020 compared with $180 million a year ago. This increase was partially offset by a decrease in other noninterest income, which was primarily a result of negative fair value marks on other investments during the first quarter of 2020.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first quarter of 2020, noninterest expenses of $81.5 million increased $5.45 million compared to the same period of 2019. The increase was primarily attributable to increases in salaries and employee benefits and professional fees. Increases in salaries and employee benefits were driven by several factors, including higher mortgage commissions as a result of increased mortgage production, annual merit-based salary increases awarded during the second quarter of 2019, investments in new staff for key areas of the bank, and the inclusion of FMBT employees for the first quarter of 2020. The increase in professional fees from the first quarter of 2019 was primarily a result of unusually low professional fees during the first quarter of 2019 due to the timing of projects.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(“GAAP”) and conform to general practices within the banking industry. Except as described below, there have been no significant changes to the Critical Accounting Policies as described in our 2019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the adoption of CECL on January 1, 2020, the allowance for credit losses represents management’s estimate of credit losses for the remaining estimated life of financial instruments, with particular applicability on our balance sheet to loans and unfunded loan commitments. Estimating the amount of the allowance for credit losses requires significant judgment and the use of estimates related to historical experience, current conditions, reasonable and supportable forecasts, and the value of collateral on collateral-dependent loans.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factors affecting the allowance for credit losses; some are quantitative while others require qualitative judgment. Although management believes its process for determining the allowance adequately considers all the potential factors that could potentially result in credit losses, the process includes subjective elements and is susceptible to significant change. To the extent actual outcomes differ from management estimates, additional provision for credit losses could be required that could adversely affect our earnings or financial position in future periods.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on the loan portfolio and allowance for credit losses can be found in the sections of Management’s Discussion and Analysis titled “Asset Quality and Risk Elements” and “Nonperforming Assets.” Note 1 to the consolidated financial statements includes additional information on accounting policies related to the allowance for credit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and “average tangible common equity to average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our Board of Directors each quarter. Management uses these non-GAAP measures because it believes they may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other similarly titled measures used by other companies. To the extent applicable, reconciliations of these non-GAAP measures to the most directly comparable measures as reported in accordance with GAAP are included in Table 1 of Management’s Discussion and Analysis.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reported net income and diluted earnings per common share of $31.9 million and $0.40, respectively, for the first quarter of 2020. This compared to net income and diluted earnings per common share of $44.3 million and $0.55, respectively, for the same period in 2019.</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reported net income - operating (non-GAAP) of $32.5 million for the first quarter of 2020, compared to $44.8 million for the same period in 2019. For the first quarter of 2020, net income - operating (non-GAAP) excludes merger-related, severance, and branch closure charges, which net of tax, totaled $626,000. For the first quarter of 2019, net income - operating (non-GAAP) excludes merger-related and other charges, which net of tax, totaled $567,000.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3" w:right="339" w:bottom="1440" w:gutter="0" w:footer="0" w:header="0"/>
        </w:sectPr>
      </w:pPr>
    </w:p>
    <w:bookmarkStart w:id="41" w:name="page42"/>
    <w:bookmarkEnd w:id="41"/>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60" w:type="dxa"/>
            <w:vAlign w:val="bottom"/>
            <w:gridSpan w:val="2"/>
          </w:tcPr>
          <w:p>
            <w:pPr>
              <w:ind w:left="40"/>
              <w:spacing w:after="0"/>
              <w:rPr>
                <w:sz w:val="20"/>
                <w:szCs w:val="20"/>
                <w:color w:val="auto"/>
              </w:rPr>
            </w:pPr>
            <w:r>
              <w:rPr>
                <w:rFonts w:ascii="Arial" w:cs="Arial" w:eastAsia="Arial" w:hAnsi="Arial"/>
                <w:sz w:val="12"/>
                <w:szCs w:val="12"/>
                <w:b w:val="1"/>
                <w:bCs w:val="1"/>
                <w:color w:val="auto"/>
              </w:rPr>
              <w:t>UNITED COMMUNITY BANKS, INC.</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2"/>
                <w:szCs w:val="12"/>
                <w:b w:val="1"/>
                <w:bCs w:val="1"/>
                <w:color w:val="auto"/>
              </w:rPr>
              <w:t>Table 1 - Financial Highlights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960" w:type="dxa"/>
            <w:vAlign w:val="bottom"/>
            <w:gridSpan w:val="2"/>
          </w:tcPr>
          <w:p>
            <w:pPr>
              <w:ind w:left="40"/>
              <w:spacing w:after="0"/>
              <w:rPr>
                <w:sz w:val="20"/>
                <w:szCs w:val="20"/>
                <w:color w:val="auto"/>
              </w:rPr>
            </w:pPr>
            <w:r>
              <w:rPr>
                <w:rFonts w:ascii="Arial" w:cs="Arial" w:eastAsia="Arial" w:hAnsi="Arial"/>
                <w:sz w:val="12"/>
                <w:szCs w:val="12"/>
                <w:b w:val="1"/>
                <w:bCs w:val="1"/>
                <w:color w:val="auto"/>
              </w:rPr>
              <w:t>Selected Financial Information</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2019</w:t>
            </w: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6"/>
              </w:rPr>
              <w:t>1st Quarter 2020 -</w:t>
            </w:r>
          </w:p>
        </w:tc>
        <w:tc>
          <w:tcPr>
            <w:tcW w:w="0" w:type="dxa"/>
            <w:vAlign w:val="bottom"/>
          </w:tcPr>
          <w:p>
            <w:pPr>
              <w:spacing w:after="0"/>
              <w:rPr>
                <w:sz w:val="1"/>
                <w:szCs w:val="1"/>
                <w:color w:val="auto"/>
              </w:rPr>
            </w:pPr>
          </w:p>
        </w:tc>
      </w:tr>
      <w:tr>
        <w:trPr>
          <w:trHeight w:val="95"/>
        </w:trPr>
        <w:tc>
          <w:tcPr>
            <w:tcW w:w="3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i w:val="1"/>
                <w:iCs w:val="1"/>
                <w:color w:val="auto"/>
              </w:rPr>
              <w:t>(in thousands, except per share data)</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First Quarter</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9"/>
              </w:rPr>
              <w:t>Fourth Quarter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Third Quarter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1"/>
              </w:rPr>
              <w:t>Second Quarter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First Quarter</w:t>
            </w:r>
          </w:p>
        </w:tc>
        <w:tc>
          <w:tcPr>
            <w:tcW w:w="120" w:type="dxa"/>
            <w:vAlign w:val="bottom"/>
          </w:tcPr>
          <w:p>
            <w:pPr>
              <w:spacing w:after="0"/>
              <w:rPr>
                <w:sz w:val="14"/>
                <w:szCs w:val="14"/>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2019 Change</w:t>
            </w:r>
          </w:p>
        </w:tc>
        <w:tc>
          <w:tcPr>
            <w:tcW w:w="0" w:type="dxa"/>
            <w:vAlign w:val="bottom"/>
          </w:tcPr>
          <w:p>
            <w:pPr>
              <w:spacing w:after="0"/>
              <w:rPr>
                <w:sz w:val="1"/>
                <w:szCs w:val="1"/>
                <w:color w:val="auto"/>
              </w:rPr>
            </w:pPr>
          </w:p>
        </w:tc>
      </w:tr>
      <w:tr>
        <w:trPr>
          <w:trHeight w:val="261"/>
        </w:trPr>
        <w:tc>
          <w:tcPr>
            <w:tcW w:w="3960" w:type="dxa"/>
            <w:vAlign w:val="bottom"/>
            <w:gridSpan w:val="2"/>
          </w:tcPr>
          <w:p>
            <w:pPr>
              <w:ind w:left="40"/>
              <w:spacing w:after="0"/>
              <w:rPr>
                <w:sz w:val="20"/>
                <w:szCs w:val="20"/>
                <w:color w:val="auto"/>
              </w:rPr>
            </w:pPr>
            <w:r>
              <w:rPr>
                <w:rFonts w:ascii="Arial" w:cs="Arial" w:eastAsia="Arial" w:hAnsi="Arial"/>
                <w:sz w:val="12"/>
                <w:szCs w:val="12"/>
                <w:b w:val="1"/>
                <w:bCs w:val="1"/>
                <w:color w:val="auto"/>
              </w:rPr>
              <w:t>INCOME SUMMARY</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Interest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136,547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136,419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140,615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139,156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136,516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Interest expense</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17,941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19,781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21,277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21,372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20,882</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interest revenue</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118,606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116,638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119,338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117,784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115,634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261"/>
        </w:trPr>
        <w:tc>
          <w:tcPr>
            <w:tcW w:w="3960" w:type="dxa"/>
            <w:vAlign w:val="bottom"/>
            <w:gridSpan w:val="2"/>
          </w:tcPr>
          <w:p>
            <w:pPr>
              <w:ind w:left="40"/>
              <w:spacing w:after="0"/>
              <w:rPr>
                <w:sz w:val="20"/>
                <w:szCs w:val="20"/>
                <w:color w:val="auto"/>
              </w:rPr>
            </w:pPr>
            <w:r>
              <w:rPr>
                <w:rFonts w:ascii="Arial" w:cs="Arial" w:eastAsia="Arial" w:hAnsi="Arial"/>
                <w:sz w:val="12"/>
                <w:szCs w:val="12"/>
                <w:color w:val="auto"/>
              </w:rPr>
              <w:t>Provision for credit losses</w:t>
            </w:r>
          </w:p>
        </w:tc>
        <w:tc>
          <w:tcPr>
            <w:tcW w:w="16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22,191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3,500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3,300</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Noninterest income</w:t>
            </w: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25,814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30,183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29,031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24,531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20,968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41"/>
        </w:trPr>
        <w:tc>
          <w:tcPr>
            <w:tcW w:w="396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 revenue</w:t>
            </w:r>
          </w:p>
        </w:tc>
        <w:tc>
          <w:tcPr>
            <w:tcW w:w="16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122,229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143,321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145,269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139,065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133,302</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7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Expenses</w:t>
            </w: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81,538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81,424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82,924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81,813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76,084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48"/>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Income before income tax expense</w:t>
            </w:r>
          </w:p>
        </w:tc>
        <w:tc>
          <w:tcPr>
            <w:tcW w:w="16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40,691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61,897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62,345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57,252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57,218</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Income tax expense</w:t>
            </w:r>
          </w:p>
        </w:tc>
        <w:tc>
          <w:tcPr>
            <w:tcW w:w="1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8,807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12,885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13,983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13,167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12,956</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241"/>
        </w:trPr>
        <w:tc>
          <w:tcPr>
            <w:tcW w:w="3960" w:type="dxa"/>
            <w:vAlign w:val="bottom"/>
            <w:gridSpan w:val="2"/>
          </w:tcPr>
          <w:p>
            <w:pPr>
              <w:ind w:left="180"/>
              <w:spacing w:after="0"/>
              <w:rPr>
                <w:sz w:val="20"/>
                <w:szCs w:val="20"/>
                <w:color w:val="auto"/>
              </w:rPr>
            </w:pPr>
            <w:r>
              <w:rPr>
                <w:rFonts w:ascii="Arial" w:cs="Arial" w:eastAsia="Arial" w:hAnsi="Arial"/>
                <w:sz w:val="12"/>
                <w:szCs w:val="12"/>
                <w:b w:val="1"/>
                <w:bCs w:val="1"/>
                <w:color w:val="auto"/>
              </w:rPr>
              <w:t>Net income</w:t>
            </w:r>
          </w:p>
        </w:tc>
        <w:tc>
          <w:tcPr>
            <w:tcW w:w="160" w:type="dxa"/>
            <w:vAlign w:val="bottom"/>
          </w:tcPr>
          <w:p>
            <w:pPr>
              <w:spacing w:after="0"/>
              <w:rPr>
                <w:sz w:val="20"/>
                <w:szCs w:val="20"/>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31,884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49,012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48,362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44,085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44,262</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4,087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6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(940)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20"/>
                <w:szCs w:val="20"/>
                <w:b w:val="1"/>
                <w:bCs w:val="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48,955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50,367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47,232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44,829</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PERFORMANCE MEASURES</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Per common share:</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Diluted net income - GAAP</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0.55</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70"/>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20"/>
                <w:szCs w:val="20"/>
                <w:color w:val="auto"/>
                <w:vertAlign w:val="superscript"/>
              </w:rPr>
              <w:t>(1)</w:t>
            </w:r>
          </w:p>
        </w:tc>
        <w:tc>
          <w:tcPr>
            <w:tcW w:w="16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0.56</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Cash dividends declared</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61"/>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Book value</w:t>
            </w:r>
          </w:p>
        </w:tc>
        <w:tc>
          <w:tcPr>
            <w:tcW w:w="16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20.80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20.53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19.65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18.93</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Key performance ratios: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20"/>
                <w:szCs w:val="20"/>
                <w:color w:val="auto"/>
                <w:vertAlign w:val="superscript"/>
              </w:rPr>
              <w:t>(2)(4)</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20"/>
                <w:szCs w:val="20"/>
                <w:color w:val="auto"/>
                <w:vertAlign w:val="superscript"/>
              </w:rPr>
              <w:t>(1)(2)(4)</w:t>
            </w:r>
          </w:p>
        </w:tc>
        <w:tc>
          <w:tcPr>
            <w:tcW w:w="16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8.01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12.06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12.67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12.27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Return on tangible common equity - operating </w:t>
            </w:r>
            <w:r>
              <w:rPr>
                <w:rFonts w:ascii="Arial" w:cs="Arial" w:eastAsia="Arial" w:hAnsi="Arial"/>
                <w:sz w:val="20"/>
                <w:szCs w:val="20"/>
                <w:color w:val="auto"/>
                <w:vertAlign w:val="superscript"/>
              </w:rPr>
              <w:t>(1)(2)(3)(4)</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10.57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15.46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20"/>
                <w:szCs w:val="20"/>
                <w:color w:val="auto"/>
                <w:vertAlign w:val="superscript"/>
              </w:rPr>
              <w:t>(4)</w:t>
            </w:r>
          </w:p>
        </w:tc>
        <w:tc>
          <w:tcPr>
            <w:tcW w:w="16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0.99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20"/>
                <w:szCs w:val="20"/>
                <w:color w:val="auto"/>
                <w:vertAlign w:val="superscript"/>
              </w:rPr>
              <w:t>(1)(4)</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Dividend payout ratio - GAAP</w:t>
            </w:r>
          </w:p>
        </w:tc>
        <w:tc>
          <w:tcPr>
            <w:tcW w:w="16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29.51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28.33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30.91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29.09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28.57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20"/>
                <w:szCs w:val="20"/>
                <w:color w:val="auto"/>
                <w:vertAlign w:val="superscript"/>
              </w:rPr>
              <w:t>(4)</w:t>
            </w:r>
          </w:p>
        </w:tc>
        <w:tc>
          <w:tcPr>
            <w:tcW w:w="16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4.07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3.93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Efficiency ratio - GAAP</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54.87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55.32</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20"/>
                <w:szCs w:val="20"/>
                <w:color w:val="auto"/>
                <w:vertAlign w:val="superscript"/>
              </w:rPr>
              <w:t>(1)</w:t>
            </w:r>
          </w:p>
        </w:tc>
        <w:tc>
          <w:tcPr>
            <w:tcW w:w="16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55.59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54.92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53.90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54.42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54.78</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Equity to total assets</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12.06</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280"/>
              <w:spacing w:after="0"/>
              <w:rPr>
                <w:sz w:val="20"/>
                <w:szCs w:val="20"/>
                <w:color w:val="auto"/>
              </w:rPr>
            </w:pPr>
            <w:r>
              <w:rPr>
                <w:rFonts w:ascii="Arial" w:cs="Arial" w:eastAsia="Arial" w:hAnsi="Arial"/>
                <w:sz w:val="12"/>
                <w:szCs w:val="12"/>
                <w:color w:val="auto"/>
              </w:rPr>
              <w:t xml:space="preserve">Tangible common equity to tangible assets </w:t>
            </w:r>
            <w:r>
              <w:rPr>
                <w:rFonts w:ascii="Arial" w:cs="Arial" w:eastAsia="Arial" w:hAnsi="Arial"/>
                <w:sz w:val="20"/>
                <w:szCs w:val="20"/>
                <w:color w:val="auto"/>
                <w:vertAlign w:val="superscript"/>
              </w:rPr>
              <w:t>(3)</w:t>
            </w:r>
          </w:p>
        </w:tc>
        <w:tc>
          <w:tcPr>
            <w:tcW w:w="16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10.22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10.32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10.16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9.86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9.76</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3960" w:type="dxa"/>
            <w:vAlign w:val="bottom"/>
            <w:gridSpan w:val="2"/>
          </w:tcPr>
          <w:p>
            <w:pPr>
              <w:ind w:left="40"/>
              <w:spacing w:after="0"/>
              <w:rPr>
                <w:sz w:val="20"/>
                <w:szCs w:val="20"/>
                <w:color w:val="auto"/>
              </w:rPr>
            </w:pPr>
            <w:r>
              <w:rPr>
                <w:rFonts w:ascii="Arial" w:cs="Arial" w:eastAsia="Arial" w:hAnsi="Arial"/>
                <w:sz w:val="12"/>
                <w:szCs w:val="12"/>
                <w:b w:val="1"/>
                <w:bCs w:val="1"/>
                <w:color w:val="auto"/>
              </w:rPr>
              <w:t>ASSET QUALITY</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Nonperforming loans</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36,208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35,341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30,832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26,597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23,624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Foreclosed properties</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475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476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1,127</w:t>
            </w:r>
          </w:p>
        </w:tc>
        <w:tc>
          <w:tcPr>
            <w:tcW w:w="11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256"/>
        </w:trPr>
        <w:tc>
          <w:tcPr>
            <w:tcW w:w="396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Total nonperforming assets ("NPAs")</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36,683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35,817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30,934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26,672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24,751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Allowance for credit losses - loans</w:t>
            </w:r>
          </w:p>
        </w:tc>
        <w:tc>
          <w:tcPr>
            <w:tcW w:w="16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81,905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62,089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62,514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62,204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61,642</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charge-offs</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8,114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3,925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3,130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w:t>
            </w: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Allowance for credit losses to loans</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0.92%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0.73%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20"/>
                <w:szCs w:val="20"/>
                <w:color w:val="auto"/>
                <w:vertAlign w:val="superscript"/>
              </w:rPr>
              <w:t>(4)</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NPAs to loans and foreclosed properties</w:t>
            </w:r>
          </w:p>
        </w:tc>
        <w:tc>
          <w:tcPr>
            <w:tcW w:w="16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0.29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NPAs to total assets</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i w:val="1"/>
                <w:iCs w:val="1"/>
                <w:color w:val="auto"/>
              </w:rPr>
              <w:t>($ in millions)</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Loans</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8,829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8,890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8,836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8,670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8,430</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Investment securities</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2,486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2,883</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Earning assets</w:t>
            </w:r>
          </w:p>
        </w:tc>
        <w:tc>
          <w:tcPr>
            <w:tcW w:w="16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11,798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11,832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11,568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11,534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11,498</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Total assets</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12,944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12,946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12,509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6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Deposits</w:t>
            </w:r>
          </w:p>
        </w:tc>
        <w:tc>
          <w:tcPr>
            <w:tcW w:w="16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10,915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10,924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10,531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10,493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10,361</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79"/>
        </w:trPr>
        <w:tc>
          <w:tcPr>
            <w:tcW w:w="396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Shareholders’ equity</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1,478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71"/>
        </w:trPr>
        <w:tc>
          <w:tcPr>
            <w:tcW w:w="3960" w:type="dxa"/>
            <w:vAlign w:val="bottom"/>
            <w:gridSpan w:val="2"/>
          </w:tcPr>
          <w:p>
            <w:pPr>
              <w:ind w:left="180"/>
              <w:spacing w:after="0"/>
              <w:rPr>
                <w:sz w:val="20"/>
                <w:szCs w:val="20"/>
                <w:color w:val="auto"/>
              </w:rPr>
            </w:pPr>
            <w:r>
              <w:rPr>
                <w:rFonts w:ascii="Arial" w:cs="Arial" w:eastAsia="Arial" w:hAnsi="Arial"/>
                <w:sz w:val="12"/>
                <w:szCs w:val="12"/>
                <w:color w:val="auto"/>
              </w:rPr>
              <w:t>Common shares - basic (thousands)</w:t>
            </w:r>
          </w:p>
        </w:tc>
        <w:tc>
          <w:tcPr>
            <w:tcW w:w="160" w:type="dxa"/>
            <w:vAlign w:val="bottom"/>
          </w:tcPr>
          <w:p>
            <w:pPr>
              <w:spacing w:after="0"/>
              <w:rPr>
                <w:sz w:val="14"/>
                <w:szCs w:val="14"/>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79,340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79,659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79,663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79,673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79,807</w:t>
            </w: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bl>
    <w:p>
      <w:pPr>
        <w:sectPr>
          <w:pgSz w:w="11900" w:h="16887" w:orient="portrait"/>
          <w:cols w:equalWidth="0" w:num="1">
            <w:col w:w="11220"/>
          </w:cols>
          <w:pgMar w:left="320" w:top="1017" w:right="35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shares - diluted (thousands)</w:t>
            </w:r>
          </w:p>
        </w:tc>
        <w:tc>
          <w:tcPr>
            <w:tcW w:w="1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79,446</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79,669</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79,667</w:t>
            </w: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79,678</w:t>
            </w: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79,813</w:t>
            </w:r>
          </w:p>
        </w:tc>
        <w:tc>
          <w:tcPr>
            <w:tcW w:w="7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30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70"/>
        </w:trPr>
        <w:tc>
          <w:tcPr>
            <w:tcW w:w="306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i w:val="1"/>
                <w:iCs w:val="1"/>
                <w:color w:val="auto"/>
              </w:rPr>
              <w:t>($ in millions)</w:t>
            </w:r>
          </w:p>
        </w:tc>
        <w:tc>
          <w:tcPr>
            <w:tcW w:w="1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1"/>
        </w:trPr>
        <w:tc>
          <w:tcPr>
            <w:tcW w:w="3060" w:type="dxa"/>
            <w:vAlign w:val="bottom"/>
          </w:tcPr>
          <w:p>
            <w:pPr>
              <w:ind w:left="180"/>
              <w:spacing w:after="0"/>
              <w:rPr>
                <w:sz w:val="20"/>
                <w:szCs w:val="20"/>
                <w:color w:val="auto"/>
              </w:rPr>
            </w:pPr>
            <w:r>
              <w:rPr>
                <w:rFonts w:ascii="Arial" w:cs="Arial" w:eastAsia="Arial" w:hAnsi="Arial"/>
                <w:sz w:val="12"/>
                <w:szCs w:val="12"/>
                <w:color w:val="auto"/>
              </w:rPr>
              <w:t>Loans</w:t>
            </w:r>
          </w:p>
        </w:tc>
        <w:tc>
          <w:tcPr>
            <w:tcW w:w="12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8,935</w:t>
            </w:r>
          </w:p>
        </w:tc>
        <w:tc>
          <w:tcPr>
            <w:tcW w:w="4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8,813</w:t>
            </w:r>
          </w:p>
        </w:tc>
        <w:tc>
          <w:tcPr>
            <w:tcW w:w="4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8,903</w:t>
            </w:r>
          </w:p>
        </w:tc>
        <w:tc>
          <w:tcPr>
            <w:tcW w:w="4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8,838</w:t>
            </w:r>
          </w:p>
        </w:tc>
        <w:tc>
          <w:tcPr>
            <w:tcW w:w="4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40"/>
              <w:spacing w:after="0"/>
              <w:rPr>
                <w:sz w:val="20"/>
                <w:szCs w:val="20"/>
                <w:color w:val="auto"/>
              </w:rPr>
            </w:pPr>
            <w:r>
              <w:rPr>
                <w:rFonts w:ascii="Arial" w:cs="Arial" w:eastAsia="Arial" w:hAnsi="Arial"/>
                <w:sz w:val="12"/>
                <w:szCs w:val="12"/>
                <w:color w:val="auto"/>
              </w:rPr>
              <w:t>8,493</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5</w:t>
            </w:r>
          </w:p>
        </w:tc>
      </w:tr>
      <w:tr>
        <w:trPr>
          <w:trHeight w:val="279"/>
        </w:trPr>
        <w:tc>
          <w:tcPr>
            <w:tcW w:w="3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 securities</w:t>
            </w:r>
          </w:p>
        </w:tc>
        <w:tc>
          <w:tcPr>
            <w:tcW w:w="1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2,540</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2,559</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2,515</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2,620</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2,720</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r>
      <w:tr>
        <w:trPr>
          <w:trHeight w:val="261"/>
        </w:trPr>
        <w:tc>
          <w:tcPr>
            <w:tcW w:w="306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2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13,086</w:t>
            </w:r>
          </w:p>
        </w:tc>
        <w:tc>
          <w:tcPr>
            <w:tcW w:w="4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12,916</w:t>
            </w:r>
          </w:p>
        </w:tc>
        <w:tc>
          <w:tcPr>
            <w:tcW w:w="4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12,809</w:t>
            </w:r>
          </w:p>
        </w:tc>
        <w:tc>
          <w:tcPr>
            <w:tcW w:w="4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12,779</w:t>
            </w:r>
          </w:p>
        </w:tc>
        <w:tc>
          <w:tcPr>
            <w:tcW w:w="480" w:type="dxa"/>
            <w:vAlign w:val="bottom"/>
          </w:tcPr>
          <w:p>
            <w:pPr>
              <w:spacing w:after="0"/>
              <w:rPr>
                <w:sz w:val="22"/>
                <w:szCs w:val="22"/>
                <w:color w:val="auto"/>
              </w:rPr>
            </w:pPr>
          </w:p>
        </w:tc>
        <w:tc>
          <w:tcPr>
            <w:tcW w:w="1140" w:type="dxa"/>
            <w:vAlign w:val="bottom"/>
          </w:tcPr>
          <w:p>
            <w:pPr>
              <w:jc w:val="right"/>
              <w:ind w:right="440"/>
              <w:spacing w:after="0"/>
              <w:rPr>
                <w:sz w:val="20"/>
                <w:szCs w:val="20"/>
                <w:color w:val="auto"/>
              </w:rPr>
            </w:pPr>
            <w:r>
              <w:rPr>
                <w:rFonts w:ascii="Arial" w:cs="Arial" w:eastAsia="Arial" w:hAnsi="Arial"/>
                <w:sz w:val="12"/>
                <w:szCs w:val="12"/>
                <w:color w:val="auto"/>
              </w:rPr>
              <w:t>12,506</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5</w:t>
            </w:r>
          </w:p>
        </w:tc>
      </w:tr>
      <w:tr>
        <w:trPr>
          <w:trHeight w:val="279"/>
        </w:trPr>
        <w:tc>
          <w:tcPr>
            <w:tcW w:w="3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Deposits</w:t>
            </w:r>
          </w:p>
        </w:tc>
        <w:tc>
          <w:tcPr>
            <w:tcW w:w="1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11,035</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10,897</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10,757</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10,591</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10,534</w:t>
            </w:r>
          </w:p>
        </w:tc>
        <w:tc>
          <w:tcPr>
            <w:tcW w:w="7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r>
      <w:tr>
        <w:trPr>
          <w:trHeight w:val="261"/>
        </w:trPr>
        <w:tc>
          <w:tcPr>
            <w:tcW w:w="3060" w:type="dxa"/>
            <w:vAlign w:val="bottom"/>
          </w:tcPr>
          <w:p>
            <w:pPr>
              <w:ind w:left="180"/>
              <w:spacing w:after="0"/>
              <w:rPr>
                <w:sz w:val="20"/>
                <w:szCs w:val="20"/>
                <w:color w:val="auto"/>
              </w:rPr>
            </w:pPr>
            <w:r>
              <w:rPr>
                <w:rFonts w:ascii="Arial" w:cs="Arial" w:eastAsia="Arial" w:hAnsi="Arial"/>
                <w:sz w:val="12"/>
                <w:szCs w:val="12"/>
                <w:color w:val="auto"/>
              </w:rPr>
              <w:t>Shareholders’ equity</w:t>
            </w:r>
          </w:p>
        </w:tc>
        <w:tc>
          <w:tcPr>
            <w:tcW w:w="12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1,641</w:t>
            </w:r>
          </w:p>
        </w:tc>
        <w:tc>
          <w:tcPr>
            <w:tcW w:w="4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1,636</w:t>
            </w:r>
          </w:p>
        </w:tc>
        <w:tc>
          <w:tcPr>
            <w:tcW w:w="4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1,605</w:t>
            </w:r>
          </w:p>
        </w:tc>
        <w:tc>
          <w:tcPr>
            <w:tcW w:w="48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1,566</w:t>
            </w:r>
          </w:p>
        </w:tc>
        <w:tc>
          <w:tcPr>
            <w:tcW w:w="480" w:type="dxa"/>
            <w:vAlign w:val="bottom"/>
          </w:tcPr>
          <w:p>
            <w:pPr>
              <w:spacing w:after="0"/>
              <w:rPr>
                <w:sz w:val="22"/>
                <w:szCs w:val="22"/>
                <w:color w:val="auto"/>
              </w:rPr>
            </w:pPr>
          </w:p>
        </w:tc>
        <w:tc>
          <w:tcPr>
            <w:tcW w:w="1140" w:type="dxa"/>
            <w:vAlign w:val="bottom"/>
          </w:tcPr>
          <w:p>
            <w:pPr>
              <w:jc w:val="right"/>
              <w:ind w:right="440"/>
              <w:spacing w:after="0"/>
              <w:rPr>
                <w:sz w:val="20"/>
                <w:szCs w:val="20"/>
                <w:color w:val="auto"/>
              </w:rPr>
            </w:pPr>
            <w:r>
              <w:rPr>
                <w:rFonts w:ascii="Arial" w:cs="Arial" w:eastAsia="Arial" w:hAnsi="Arial"/>
                <w:sz w:val="12"/>
                <w:szCs w:val="12"/>
                <w:color w:val="auto"/>
              </w:rPr>
              <w:t>1,508</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9</w:t>
            </w:r>
          </w:p>
        </w:tc>
      </w:tr>
      <w:tr>
        <w:trPr>
          <w:trHeight w:val="279"/>
        </w:trPr>
        <w:tc>
          <w:tcPr>
            <w:tcW w:w="3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shares outstanding (thousands)</w:t>
            </w:r>
          </w:p>
        </w:tc>
        <w:tc>
          <w:tcPr>
            <w:tcW w:w="1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78,284</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79,014</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78,974</w:t>
            </w: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79,075</w:t>
            </w: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79,035</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r>
    </w:tbl>
    <w:p>
      <w:pPr>
        <w:spacing w:after="0" w:line="26" w:lineRule="exact"/>
        <w:rPr>
          <w:sz w:val="20"/>
          <w:szCs w:val="20"/>
          <w:color w:val="auto"/>
        </w:rPr>
      </w:pPr>
    </w:p>
    <w:p>
      <w:pPr>
        <w:jc w:val="both"/>
        <w:ind w:firstLine="8"/>
        <w:spacing w:after="0" w:line="378" w:lineRule="auto"/>
        <w:tabs>
          <w:tab w:leader="none" w:pos="137" w:val="left"/>
        </w:tabs>
        <w:numPr>
          <w:ilvl w:val="0"/>
          <w:numId w:val="11"/>
        </w:numPr>
        <w:rPr>
          <w:rFonts w:ascii="Arial" w:cs="Arial" w:eastAsia="Arial" w:hAnsi="Arial"/>
          <w:sz w:val="15"/>
          <w:szCs w:val="15"/>
          <w:color w:val="auto"/>
          <w:vertAlign w:val="superscript"/>
        </w:rPr>
      </w:pPr>
      <w:r>
        <w:rPr>
          <w:rFonts w:ascii="Arial" w:cs="Arial" w:eastAsia="Arial" w:hAnsi="Arial"/>
          <w:sz w:val="11"/>
          <w:szCs w:val="11"/>
          <w:color w:val="auto"/>
        </w:rPr>
        <w:t xml:space="preserve">Excludes merger-related and other charges which includes termination of pension plan in the third quarter of 2019, executive retirement charges in the second quarter of 2019 and amortization of certain executive change of control benefits. </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Net income divided by average realized common equity, which excludes accumulated other comprehensive income (loss). </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Excludes effect of acquisition related intangibles and associated amortization. </w:t>
      </w:r>
      <w:r>
        <w:rPr>
          <w:rFonts w:ascii="Arial" w:cs="Arial" w:eastAsia="Arial" w:hAnsi="Arial"/>
          <w:sz w:val="14"/>
          <w:szCs w:val="14"/>
          <w:color w:val="auto"/>
          <w:vertAlign w:val="superscript"/>
        </w:rPr>
        <w:t>(4)</w:t>
      </w:r>
      <w:r>
        <w:rPr>
          <w:rFonts w:ascii="Arial" w:cs="Arial" w:eastAsia="Arial" w:hAnsi="Arial"/>
          <w:sz w:val="11"/>
          <w:szCs w:val="11"/>
          <w:color w:val="auto"/>
        </w:rPr>
        <w:t xml:space="preserve"> Annualized.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8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UNITED COMMUNITY BANKS, INC.</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Table 1 (Continued) - Non-GAAP Performance Measures Reconciliation</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20" w:type="dxa"/>
            <w:vAlign w:val="bottom"/>
          </w:tcPr>
          <w:p>
            <w:pPr>
              <w:spacing w:after="0"/>
              <w:rPr>
                <w:sz w:val="24"/>
                <w:szCs w:val="24"/>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Selected Financial Information</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1"/>
        </w:trPr>
        <w:tc>
          <w:tcPr>
            <w:tcW w:w="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18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Fourth</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Second</w:t>
            </w:r>
          </w:p>
        </w:tc>
        <w:tc>
          <w:tcPr>
            <w:tcW w:w="2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Expense reconciliation</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Expenses (GAAP)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81,538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81,424</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82,924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81,813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76,084</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(739)</w:t>
            </w: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2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Expenses - operating</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80,730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81,498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80,319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77,726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75,345</w:t>
            </w: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reconciliation</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2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(GAAP)</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31,884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49,012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48,362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44,085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44,262</w:t>
            </w: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240" w:type="dxa"/>
            <w:vAlign w:val="bottom"/>
          </w:tcPr>
          <w:p>
            <w:pPr>
              <w:spacing w:after="0"/>
              <w:rPr>
                <w:sz w:val="22"/>
                <w:szCs w:val="22"/>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2,605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4,087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739</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benefit of merger-related and other charges</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2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 operating</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32,510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48,955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50,367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47,232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44,829</w:t>
            </w: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2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income per common share (GAAP)</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0.55</w:t>
            </w: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Merger-related and other charges, net of tax</w:t>
            </w:r>
          </w:p>
        </w:tc>
        <w:tc>
          <w:tcPr>
            <w:tcW w:w="240" w:type="dxa"/>
            <w:vAlign w:val="bottom"/>
          </w:tcPr>
          <w:p>
            <w:pPr>
              <w:spacing w:after="0"/>
              <w:rPr>
                <w:sz w:val="22"/>
                <w:szCs w:val="22"/>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4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Diluted income per common share - operating</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0.56</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Book value per common share reconciliation</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Book value per common share (GAAP)</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20.80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18.93</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2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Tangible book value per common share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16.52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15.38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14.93</w:t>
            </w: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2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Return on common equity (GAAP)</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11.85 %</w:t>
            </w: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Merger-related and other charges, net of tax</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0.15</w:t>
            </w: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0" w:type="dxa"/>
            <w:vAlign w:val="bottom"/>
            <w:shd w:val="clear" w:color="auto" w:fill="CCEEFF"/>
          </w:tcPr>
          <w:p>
            <w:pPr>
              <w:spacing w:after="0"/>
              <w:rPr>
                <w:sz w:val="22"/>
                <w:szCs w:val="22"/>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Return on common equity - operating</w:t>
            </w: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12.00</w:t>
            </w: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3.46</w:t>
            </w: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Return on tangible common equity - operating</w:t>
            </w: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15.46 %</w:t>
            </w: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Return on assets reconciliation</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Return on assets (GAAP)</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0.99 %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1.44 %</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 net of tax</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2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Return on assets - operating</w:t>
            </w:r>
          </w:p>
        </w:tc>
        <w:tc>
          <w:tcPr>
            <w:tcW w:w="2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1.01 %</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1.45 %</w:t>
            </w: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Dividend payout ratio reconciliation</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2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 payout ratio (GAAP)</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29.09 %</w:t>
            </w: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Merger-related and other charges, net of tax</w:t>
            </w:r>
          </w:p>
        </w:tc>
        <w:tc>
          <w:tcPr>
            <w:tcW w:w="24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(0.52)</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43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Dividend payout ratio - operating</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28.57 %</w:t>
            </w: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Efficiency ratio reconciliation</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color w:val="auto"/>
              </w:rPr>
              <w:t>Efficiency ratio (GAAP)</w:t>
            </w: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56.15 %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54.87 %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55.64 %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57.28 %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55.32 %</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 w:type="dxa"/>
            <w:vAlign w:val="bottom"/>
            <w:shd w:val="clear" w:color="auto" w:fill="CCEEFF"/>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(0.54)</w:t>
            </w: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20" w:type="dxa"/>
            <w:vAlign w:val="bottom"/>
            <w:tcBorders>
              <w:bottom w:val="single" w:sz="8" w:color="CCEEFF"/>
            </w:tcBorders>
          </w:tcPr>
          <w:p>
            <w:pPr>
              <w:spacing w:after="0"/>
              <w:rPr>
                <w:sz w:val="24"/>
                <w:szCs w:val="24"/>
                <w:color w:val="auto"/>
              </w:rPr>
            </w:pPr>
          </w:p>
        </w:tc>
        <w:tc>
          <w:tcPr>
            <w:tcW w:w="4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Efficiency ratio - operating</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54.92 %</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54.78 %</w:t>
            </w: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4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20" w:type="dxa"/>
            <w:vAlign w:val="bottom"/>
          </w:tcPr>
          <w:p>
            <w:pPr>
              <w:spacing w:after="0"/>
              <w:rPr>
                <w:sz w:val="22"/>
                <w:szCs w:val="22"/>
                <w:color w:val="auto"/>
              </w:rPr>
            </w:pPr>
          </w:p>
        </w:tc>
        <w:tc>
          <w:tcPr>
            <w:tcW w:w="4320" w:type="dxa"/>
            <w:vAlign w:val="bottom"/>
            <w:gridSpan w:val="2"/>
          </w:tcPr>
          <w:p>
            <w:pPr>
              <w:ind w:left="40"/>
              <w:spacing w:after="0"/>
              <w:rPr>
                <w:sz w:val="20"/>
                <w:szCs w:val="20"/>
                <w:color w:val="auto"/>
              </w:rPr>
            </w:pPr>
            <w:r>
              <w:rPr>
                <w:rFonts w:ascii="Arial" w:cs="Arial" w:eastAsia="Arial" w:hAnsi="Arial"/>
                <w:sz w:val="14"/>
                <w:szCs w:val="14"/>
                <w:b w:val="1"/>
                <w:bCs w:val="1"/>
                <w:color w:val="auto"/>
              </w:rPr>
              <w:t>Tangible common equity to tangible assets reconciliation</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20" w:type="dxa"/>
            <w:vAlign w:val="bottom"/>
            <w:shd w:val="clear" w:color="auto" w:fill="CCEEFF"/>
          </w:tcPr>
          <w:p>
            <w:pPr>
              <w:spacing w:after="0"/>
              <w:rPr>
                <w:sz w:val="24"/>
                <w:szCs w:val="24"/>
                <w:color w:val="auto"/>
              </w:rPr>
            </w:pPr>
          </w:p>
        </w:tc>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to total assets (GAAP)</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12.06 %</w:t>
            </w: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(2.30)</w:t>
            </w: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Tangible common equity to tangible assets</w:t>
            </w: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9.76 %</w:t>
            </w: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778" w:right="359" w:bottom="551"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Net Interest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banking industry generally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for the first quarters of 2020 and 2019 was $119 million and $116 million, respectively. As set forth in the following tables, fully taxable equivalent net interest revenue for the first quarter of 2020 was $119 million, representing an increase of $3.10 million, or 3%, from the same period in 2019. The net interest spread for the first quarters of 2020 and 2019 was 3.73%. The net interest margin for the first quarters of 2020 and 2019 was 4.07% and 4.10%, respectively.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tables also indicate the relationship between interest revenue and expense and the average amounts of assets and liabilities for the periods indicated. As shown in the tables, both average assets and average liabilities for the three months ended March 31, 2020 increased compared to the same period of 2019. The increase in average assets was primarily driven by the increase in average loans of $399 million, or 5%, from the first quarter of 2019, which reflects organic growth and loans obtained through the acquisition of FMBT, the combination of which more than offset the impact of the sale of the indirect auto portfolio on December 31, 2019. The increase in average loans was offset by an intentional decrease in average taxable securities. The increase in average assets for the three months ended March 31, 2020 was funded primarily through an increase in average customer deposits since the first quarter of 2019 of $980 million, of which $333 million was noninterest-bearing.</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decrease in the net interest margin during the three months ended March 31, 2020, was primarily attributable to the impact of falling interest rates on our asset sensitive balance sheet as loan yields fell faster than we could lower deposit rates. In March of 2020, the Federal Reserve’s Federal Open Market Committee (“FOMC”) lowered interest rates twice for a total reduction of 150 basis points in response to the COVID-19 pandemic, which was the most aggressive action taken by the FOMC since the financial crisis in 2008. This followed three other federal funds rate reductions since first quarter 2019 of 25 basis points each on July 31, September 18 and October 30. The impact of falling interest rates was partially offset by other factors including higher purchased loan accretion, improvement in the earning asset mix as growth in the loan portfolio replaced an intentionally shrinking investment portfolio, and a more favorable funding mix. Purchased loan accretion in the first quarter of 2020 was $7.61 million, which added 26 basis points to the net interest margin, compared with $3.17 million in the first quarter of 2019, which added 11 basis points to the net interest margin. In the first quarter of 2020, noninterest- bearing deposits funded 30% of our interest-earning assets compared with 28% in the first quarter of 2019. Since the first quarter of 2019, we substantially reduced our use of wholesale funding sources, with nearly all of our balance sheet funded with customer deposits as of March 31, 2020.</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57" w:right="339" w:bottom="1440" w:gutter="0" w:footer="0" w:header="0"/>
        </w:sectPr>
      </w:pPr>
    </w:p>
    <w:bookmarkStart w:id="45" w:name="page46"/>
    <w:bookmarkEnd w:id="45"/>
    <w:p>
      <w:pPr>
        <w:ind w:left="4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8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8,828,880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117,796</w:t>
            </w:r>
          </w:p>
        </w:tc>
        <w:tc>
          <w:tcPr>
            <w:tcW w:w="12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w w:val="92"/>
              </w:rPr>
              <w:t>5.37%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8,429,976</w:t>
            </w:r>
          </w:p>
        </w:tc>
        <w:tc>
          <w:tcPr>
            <w:tcW w:w="1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115,347</w:t>
            </w:r>
          </w:p>
        </w:tc>
        <w:tc>
          <w:tcPr>
            <w:tcW w:w="12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w w:val="92"/>
              </w:rPr>
              <w:t>5.55%</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2,357,635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15,871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2,712,995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19,649</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70"/>
        </w:trPr>
        <w:tc>
          <w:tcPr>
            <w:tcW w:w="448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162,253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169,702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448,775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185,623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7"/>
        </w:trPr>
        <w:tc>
          <w:tcPr>
            <w:tcW w:w="44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7"/>
              </w:rPr>
              <w:t>11,797,543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137,344</w:t>
            </w:r>
          </w:p>
        </w:tc>
        <w:tc>
          <w:tcPr>
            <w:tcW w:w="1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7"/>
              </w:rPr>
              <w:t>11,498,296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137,184</w:t>
            </w:r>
          </w:p>
        </w:tc>
        <w:tc>
          <w:tcPr>
            <w:tcW w:w="1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Allowance for credit losses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18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128,254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123,801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Premises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216,611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868,452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731,628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12,943,715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12,508,552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80" w:type="dxa"/>
            <w:vAlign w:val="bottom"/>
            <w:gridSpan w:val="2"/>
          </w:tcPr>
          <w:p>
            <w:pPr>
              <w:ind w:left="280"/>
              <w:spacing w:after="0"/>
              <w:rPr>
                <w:sz w:val="20"/>
                <w:szCs w:val="20"/>
                <w:color w:val="auto"/>
              </w:rPr>
            </w:pPr>
            <w:r>
              <w:rPr>
                <w:rFonts w:ascii="Arial" w:cs="Arial" w:eastAsia="Arial" w:hAnsi="Arial"/>
                <w:sz w:val="16"/>
                <w:szCs w:val="16"/>
                <w:color w:val="auto"/>
              </w:rPr>
              <w:t xml:space="preserve">NOW and interest-bearing demand </w:t>
            </w:r>
            <w:r>
              <w:rPr>
                <w:rFonts w:ascii="Arial" w:cs="Arial" w:eastAsia="Arial" w:hAnsi="Arial"/>
                <w:sz w:val="21"/>
                <w:szCs w:val="21"/>
                <w:color w:val="auto"/>
                <w:vertAlign w:val="superscript"/>
              </w:rPr>
              <w:t>(5)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2,412,733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0.50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2,286,619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3,609</w:t>
            </w:r>
          </w:p>
        </w:tc>
        <w:tc>
          <w:tcPr>
            <w:tcW w:w="12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70"/>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Money market</w:t>
            </w:r>
            <w:r>
              <w:rPr>
                <w:rFonts w:ascii="Arial" w:cs="Arial" w:eastAsia="Arial" w:hAnsi="Arial"/>
                <w:sz w:val="21"/>
                <w:szCs w:val="21"/>
                <w:color w:val="auto"/>
                <w:vertAlign w:val="superscript"/>
              </w:rPr>
              <w:t>(5)</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2,340,723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4,531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2,098,052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4,132</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37"/>
        </w:trPr>
        <w:tc>
          <w:tcPr>
            <w:tcW w:w="4480" w:type="dxa"/>
            <w:vAlign w:val="bottom"/>
            <w:gridSpan w:val="2"/>
          </w:tcPr>
          <w:p>
            <w:pPr>
              <w:ind w:left="28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712,110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672,197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1,627,584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4480" w:type="dxa"/>
            <w:vAlign w:val="bottom"/>
            <w:gridSpan w:val="2"/>
          </w:tcPr>
          <w:p>
            <w:pPr>
              <w:ind w:left="280"/>
              <w:spacing w:after="0"/>
              <w:rPr>
                <w:sz w:val="20"/>
                <w:szCs w:val="20"/>
                <w:color w:val="auto"/>
              </w:rPr>
            </w:pPr>
            <w:r>
              <w:rPr>
                <w:rFonts w:ascii="Arial" w:cs="Arial" w:eastAsia="Arial" w:hAnsi="Arial"/>
                <w:sz w:val="16"/>
                <w:szCs w:val="16"/>
                <w:color w:val="auto"/>
              </w:rPr>
              <w:t>Brokered time deposits</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80,821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482,048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7,387,939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7,166,500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15,957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17"/>
        </w:trPr>
        <w:tc>
          <w:tcPr>
            <w:tcW w:w="4480" w:type="dxa"/>
            <w:vAlign w:val="bottom"/>
            <w:gridSpan w:val="2"/>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21,549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4480" w:type="dxa"/>
            <w:vAlign w:val="bottom"/>
            <w:gridSpan w:val="2"/>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212,762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2,864</w:t>
            </w:r>
          </w:p>
        </w:tc>
        <w:tc>
          <w:tcPr>
            <w:tcW w:w="12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261,971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7"/>
        </w:trPr>
        <w:tc>
          <w:tcPr>
            <w:tcW w:w="44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7,601,262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17,941</w:t>
            </w:r>
          </w:p>
        </w:tc>
        <w:tc>
          <w:tcPr>
            <w:tcW w:w="1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0.95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7,673,965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20,882</w:t>
            </w:r>
          </w:p>
        </w:tc>
        <w:tc>
          <w:tcPr>
            <w:tcW w:w="120" w:type="dxa"/>
            <w:vAlign w:val="bottom"/>
          </w:tcPr>
          <w:p>
            <w:pPr>
              <w:spacing w:after="0"/>
              <w:rPr>
                <w:sz w:val="18"/>
                <w:szCs w:val="18"/>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3,527,385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3,194,401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162,187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162,213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11,290,834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11,030,579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1,652,881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1,477,973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12,943,715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12,508,552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119,403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116,302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ind w:left="500"/>
              <w:spacing w:after="0"/>
              <w:rPr>
                <w:sz w:val="20"/>
                <w:szCs w:val="20"/>
                <w:color w:val="auto"/>
              </w:rPr>
            </w:pPr>
            <w:r>
              <w:rPr>
                <w:rFonts w:ascii="Arial" w:cs="Arial" w:eastAsia="Arial" w:hAnsi="Arial"/>
                <w:sz w:val="16"/>
                <w:szCs w:val="16"/>
                <w:color w:val="auto"/>
                <w:w w:val="92"/>
              </w:rPr>
              <w:t>3.73%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ind w:left="500"/>
              <w:spacing w:after="0"/>
              <w:rPr>
                <w:sz w:val="20"/>
                <w:szCs w:val="20"/>
                <w:color w:val="auto"/>
              </w:rPr>
            </w:pPr>
            <w:r>
              <w:rPr>
                <w:rFonts w:ascii="Arial" w:cs="Arial" w:eastAsia="Arial" w:hAnsi="Arial"/>
                <w:sz w:val="16"/>
                <w:szCs w:val="16"/>
                <w:color w:val="auto"/>
                <w:w w:val="92"/>
              </w:rPr>
              <w:t>3.73%</w:t>
            </w:r>
          </w:p>
        </w:tc>
        <w:tc>
          <w:tcPr>
            <w:tcW w:w="0" w:type="dxa"/>
            <w:vAlign w:val="bottom"/>
          </w:tcPr>
          <w:p>
            <w:pPr>
              <w:spacing w:after="0" w:line="20" w:lineRule="exact"/>
              <w:rPr>
                <w:sz w:val="1"/>
                <w:szCs w:val="1"/>
                <w:color w:val="auto"/>
              </w:rPr>
            </w:pPr>
          </w:p>
        </w:tc>
      </w:tr>
      <w:tr>
        <w:trPr>
          <w:trHeight w:val="277"/>
        </w:trPr>
        <w:tc>
          <w:tcPr>
            <w:tcW w:w="448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2"/>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2"/>
              </w:rPr>
              <w:t>4.10%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120" w:hanging="332"/>
        <w:spacing w:after="0" w:line="250" w:lineRule="auto"/>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40" w:hanging="332"/>
        <w:spacing w:after="0"/>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340" w:right="320" w:hanging="332"/>
        <w:spacing w:after="0" w:line="241" w:lineRule="auto"/>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Securities available-for-sale are shown at amortized cost. Pretax unrealized gains of $52.9 million in 2020 and unrealized losses of $25.9 million in 2019 are included in other assets for purposes of this presentation.</w:t>
      </w:r>
    </w:p>
    <w:p>
      <w:pPr>
        <w:ind w:left="340" w:hanging="332"/>
        <w:spacing w:after="0"/>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Reflects reclassification of certain sweep deposits from money market to NOW and interest bearing demand during the third quarter of 2019.</w:t>
      </w:r>
    </w:p>
    <w:p>
      <w:pPr>
        <w:sectPr>
          <w:pgSz w:w="11900" w:h="16838" w:orient="portrait"/>
          <w:cols w:equalWidth="0" w:num="1">
            <w:col w:w="11240"/>
          </w:cols>
          <w:pgMar w:left="320" w:top="715"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715" w:right="339" w:bottom="1440" w:gutter="0" w:footer="0" w:header="0"/>
          <w:type w:val="continuous"/>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42" w:lineRule="exact"/>
        <w:rPr>
          <w:sz w:val="20"/>
          <w:szCs w:val="20"/>
          <w:color w:val="auto"/>
        </w:rPr>
      </w:pPr>
    </w:p>
    <w:p>
      <w:pPr>
        <w:ind w:left="40" w:right="5000"/>
        <w:spacing w:after="0" w:line="344"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gridSpan w:val="8"/>
          </w:tcPr>
          <w:p>
            <w:pPr>
              <w:jc w:val="center"/>
              <w:ind w:right="1880"/>
              <w:spacing w:after="0"/>
              <w:rPr>
                <w:sz w:val="20"/>
                <w:szCs w:val="20"/>
                <w:color w:val="auto"/>
              </w:rPr>
            </w:pPr>
            <w:r>
              <w:rPr>
                <w:rFonts w:ascii="Arial" w:cs="Arial" w:eastAsia="Arial" w:hAnsi="Arial"/>
                <w:sz w:val="16"/>
                <w:szCs w:val="16"/>
                <w:b w:val="1"/>
                <w:bCs w:val="1"/>
                <w:color w:val="auto"/>
                <w:w w:val="94"/>
              </w:rPr>
              <w:t>Three Months Ended March 31, 2020</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Compared to 2019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gridSpan w:val="8"/>
          </w:tcPr>
          <w:p>
            <w:pPr>
              <w:jc w:val="center"/>
              <w:ind w:right="1880"/>
              <w:spacing w:after="0"/>
              <w:rPr>
                <w:sz w:val="20"/>
                <w:szCs w:val="20"/>
                <w:color w:val="auto"/>
              </w:rPr>
            </w:pPr>
            <w:r>
              <w:rPr>
                <w:rFonts w:ascii="Arial" w:cs="Arial" w:eastAsia="Arial" w:hAnsi="Arial"/>
                <w:sz w:val="16"/>
                <w:szCs w:val="16"/>
                <w:b w:val="1"/>
                <w:bCs w:val="1"/>
                <w:color w:val="auto"/>
                <w:w w:val="89"/>
              </w:rPr>
              <w:t>Increase (Decrease) Due to Changes in</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Volume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Rate</w:t>
            </w:r>
          </w:p>
        </w:tc>
        <w:tc>
          <w:tcPr>
            <w:tcW w:w="260" w:type="dxa"/>
            <w:vAlign w:val="bottom"/>
          </w:tcPr>
          <w:p>
            <w:pPr>
              <w:spacing w:after="0"/>
              <w:rPr>
                <w:sz w:val="20"/>
                <w:szCs w:val="20"/>
                <w:color w:val="auto"/>
              </w:rPr>
            </w:pPr>
          </w:p>
        </w:tc>
        <w:tc>
          <w:tcPr>
            <w:tcW w:w="26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660" w:type="dxa"/>
            <w:vAlign w:val="bottom"/>
            <w:vMerge w:val="restart"/>
          </w:tcPr>
          <w:p>
            <w:pPr>
              <w:ind w:left="1620"/>
              <w:spacing w:after="0"/>
              <w:rPr>
                <w:sz w:val="20"/>
                <w:szCs w:val="20"/>
                <w:color w:val="auto"/>
              </w:rPr>
            </w:pPr>
            <w:r>
              <w:rPr>
                <w:rFonts w:ascii="Arial" w:cs="Arial" w:eastAsia="Arial" w:hAnsi="Arial"/>
                <w:sz w:val="16"/>
                <w:szCs w:val="16"/>
                <w:b w:val="1"/>
                <w:bCs w:val="1"/>
                <w:color w:val="auto"/>
              </w:rPr>
              <w:t>Interest-earning assets:</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Loans (FTE)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5,369</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2,449</w:t>
            </w: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1620"/>
              <w:spacing w:after="0"/>
              <w:rPr>
                <w:sz w:val="20"/>
                <w:szCs w:val="20"/>
                <w:color w:val="auto"/>
              </w:rPr>
            </w:pPr>
            <w:r>
              <w:rPr>
                <w:rFonts w:ascii="Arial" w:cs="Arial" w:eastAsia="Arial" w:hAnsi="Arial"/>
                <w:sz w:val="16"/>
                <w:szCs w:val="16"/>
                <w:color w:val="auto"/>
              </w:rPr>
              <w:t>Taxable securities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Tax-exempt securities (FTE)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1620"/>
              <w:spacing w:after="0"/>
              <w:rPr>
                <w:sz w:val="20"/>
                <w:szCs w:val="20"/>
                <w:color w:val="auto"/>
              </w:rPr>
            </w:pPr>
            <w:r>
              <w:rPr>
                <w:rFonts w:ascii="Arial" w:cs="Arial" w:eastAsia="Arial" w:hAnsi="Arial"/>
                <w:sz w:val="16"/>
                <w:szCs w:val="16"/>
                <w:color w:val="auto"/>
              </w:rPr>
              <w:t>Federal funds sold and other interest-earning assets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1,014</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b w:val="1"/>
                <w:bCs w:val="1"/>
                <w:color w:val="auto"/>
              </w:rPr>
              <w:t>Total interest-earning assets (FTE)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b w:val="1"/>
                <w:bCs w:val="1"/>
                <w:color w:val="auto"/>
              </w:rPr>
              <w:t>Interest-bearing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60" w:type="dxa"/>
            <w:vAlign w:val="bottom"/>
          </w:tcPr>
          <w:p>
            <w:pPr>
              <w:ind w:left="1620"/>
              <w:spacing w:after="0"/>
              <w:rPr>
                <w:sz w:val="20"/>
                <w:szCs w:val="20"/>
                <w:color w:val="auto"/>
              </w:rPr>
            </w:pPr>
            <w:r>
              <w:rPr>
                <w:rFonts w:ascii="Arial" w:cs="Arial" w:eastAsia="Arial" w:hAnsi="Arial"/>
                <w:sz w:val="16"/>
                <w:szCs w:val="16"/>
                <w:color w:val="auto"/>
              </w:rPr>
              <w:t xml:space="preserve">NOW and interest-bearing demand accounts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 xml:space="preserve">Money market accounts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1620"/>
              <w:spacing w:after="0"/>
              <w:rPr>
                <w:sz w:val="20"/>
                <w:szCs w:val="20"/>
                <w:color w:val="auto"/>
              </w:rPr>
            </w:pPr>
            <w:r>
              <w:rPr>
                <w:rFonts w:ascii="Arial" w:cs="Arial" w:eastAsia="Arial" w:hAnsi="Arial"/>
                <w:sz w:val="16"/>
                <w:szCs w:val="16"/>
                <w:color w:val="auto"/>
              </w:rPr>
              <w:t>Savings deposits</w:t>
            </w:r>
          </w:p>
        </w:tc>
        <w:tc>
          <w:tcPr>
            <w:tcW w:w="2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Time deposits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1,914</w:t>
            </w: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1620"/>
              <w:spacing w:after="0"/>
              <w:rPr>
                <w:sz w:val="20"/>
                <w:szCs w:val="20"/>
                <w:color w:val="auto"/>
              </w:rPr>
            </w:pPr>
            <w:r>
              <w:rPr>
                <w:rFonts w:ascii="Arial" w:cs="Arial" w:eastAsia="Arial" w:hAnsi="Arial"/>
                <w:sz w:val="16"/>
                <w:szCs w:val="16"/>
                <w:color w:val="auto"/>
              </w:rPr>
              <w:t>Brokered deposits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660" w:type="dxa"/>
            <w:vAlign w:val="bottom"/>
          </w:tcPr>
          <w:p>
            <w:pPr>
              <w:ind w:left="1620"/>
              <w:spacing w:after="0"/>
              <w:rPr>
                <w:sz w:val="20"/>
                <w:szCs w:val="20"/>
                <w:color w:val="auto"/>
              </w:rPr>
            </w:pPr>
            <w:r>
              <w:rPr>
                <w:rFonts w:ascii="Arial" w:cs="Arial" w:eastAsia="Arial" w:hAnsi="Arial"/>
                <w:sz w:val="16"/>
                <w:szCs w:val="16"/>
                <w:color w:val="auto"/>
              </w:rPr>
              <w:t>Federal funds purchased &amp; other borrowings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Federal Home Loan Bank advances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162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(478)</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color w:val="auto"/>
              </w:rPr>
              <w:t>Total borrowed funds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660" w:type="dxa"/>
            <w:vAlign w:val="bottom"/>
          </w:tcPr>
          <w:p>
            <w:pPr>
              <w:ind w:left="1860"/>
              <w:spacing w:after="0"/>
              <w:rPr>
                <w:sz w:val="20"/>
                <w:szCs w:val="20"/>
                <w:color w:val="auto"/>
              </w:rPr>
            </w:pPr>
            <w:r>
              <w:rPr>
                <w:rFonts w:ascii="Arial" w:cs="Arial" w:eastAsia="Arial" w:hAnsi="Arial"/>
                <w:sz w:val="16"/>
                <w:szCs w:val="16"/>
                <w:b w:val="1"/>
                <w:bCs w:val="1"/>
                <w:color w:val="auto"/>
              </w:rPr>
              <w:t>Total interest-bearing liabilities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1960"/>
              <w:spacing w:after="0"/>
              <w:rPr>
                <w:sz w:val="20"/>
                <w:szCs w:val="20"/>
                <w:color w:val="auto"/>
              </w:rPr>
            </w:pPr>
            <w:r>
              <w:rPr>
                <w:rFonts w:ascii="Arial" w:cs="Arial" w:eastAsia="Arial" w:hAnsi="Arial"/>
                <w:sz w:val="16"/>
                <w:szCs w:val="16"/>
                <w:b w:val="1"/>
                <w:bCs w:val="1"/>
                <w:color w:val="auto"/>
              </w:rPr>
              <w:t>Increase in net interest revenue (FTE)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6,197</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(3,096)</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3,101</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Reflects reclassification of certain sweep deposits from money market to NOW and interest bearing demand during the third quarter of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January 1, 2020, the provision for credit losses was based on the then-applicable incurred loss model and represented an estimate of probable incurred losses in the loan portfolio and unfunded commitments at the end of each reporting period. Since the adoption of CECL on January 1, 2020, the provision for credit losses represents management’s estimate of life of loan credit losses in the loan portfolio and unfunded loan commitments. The allowance for unfunded commitments, which is included in other liabilities in the consolidated balance sheets, represents expected losses on unfunded loan commitments that are expected to result in outstanding loan balances. Management’s estimate of credit losses under CECL is determined using a complex model that relies on reasonable and supportable forecasts and historical loss information to determine the balance of the ACL and resulting provision for credit losses.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provision for credit losses was $22.2 million for the three months ended March 31, 2020, compared to $3.30 million for the same period in 2019. The amount of provision recorded in each period was the amount required such that the total ACL reflected the appropriate balance as determined under the applicable accounting standards in effect at each balance sheet date. The increase in provision expense for the three months ended March 31, 2020 compared to the same period of 2019 was primarily a result of higher expected credit losses mostly resulting from the COVID-19 pandemic. Loan growth and increased charge-offs, as well as the change from the incurred loss model to CECL, also contributed to the higher provision for credit losses.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net loan charge-offs as an annualized percentage of average outstanding loans were 0.37% compared to 0.15% for the same period in 2019.The increase in charge-offs in the first quarter of 2020 was primarily the result of one large charge-off of a loan that had been substandard for several quarters.</w:t>
      </w:r>
    </w:p>
    <w:p>
      <w:pPr>
        <w:sectPr>
          <w:pgSz w:w="11900" w:h="16838" w:orient="portrait"/>
          <w:cols w:equalWidth="0" w:num="1">
            <w:col w:w="11240"/>
          </w:cols>
          <w:pgMar w:left="320" w:top="557"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557"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color w:val="auto"/>
        </w:rPr>
        <w:t>Additional discussion on credit quality and the ACL is included in the “Asset Quality and Risk Elements” discussion elsewhere in this document.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4 - Noninterest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ind w:left="680"/>
              <w:spacing w:after="0"/>
              <w:rPr>
                <w:sz w:val="20"/>
                <w:szCs w:val="20"/>
                <w:color w:val="auto"/>
              </w:rPr>
            </w:pPr>
            <w:r>
              <w:rPr>
                <w:rFonts w:ascii="Arial" w:cs="Arial" w:eastAsia="Arial" w:hAnsi="Arial"/>
                <w:sz w:val="16"/>
                <w:szCs w:val="16"/>
                <w:b w:val="1"/>
                <w:bCs w:val="1"/>
                <w:color w:val="auto"/>
                <w:w w:val="88"/>
              </w:rPr>
              <w:t>Change</w:t>
            </w: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3"/>
        </w:trPr>
        <w:tc>
          <w:tcPr>
            <w:tcW w:w="4920" w:type="dxa"/>
            <w:vAlign w:val="bottom"/>
            <w:vMerge w:val="restart"/>
          </w:tcPr>
          <w:p>
            <w:pPr>
              <w:ind w:left="1140"/>
              <w:spacing w:after="0"/>
              <w:rPr>
                <w:sz w:val="20"/>
                <w:szCs w:val="20"/>
                <w:color w:val="auto"/>
              </w:rPr>
            </w:pPr>
            <w:r>
              <w:rPr>
                <w:rFonts w:ascii="Arial" w:cs="Arial" w:eastAsia="Arial" w:hAnsi="Arial"/>
                <w:sz w:val="16"/>
                <w:szCs w:val="16"/>
                <w:color w:val="auto"/>
              </w:rPr>
              <w:t>Service charges and fees: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Overdraft fees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280"/>
              <w:spacing w:after="0"/>
              <w:rPr>
                <w:sz w:val="20"/>
                <w:szCs w:val="20"/>
                <w:color w:val="auto"/>
              </w:rPr>
            </w:pPr>
            <w:r>
              <w:rPr>
                <w:rFonts w:ascii="Arial" w:cs="Arial" w:eastAsia="Arial" w:hAnsi="Arial"/>
                <w:sz w:val="16"/>
                <w:szCs w:val="16"/>
                <w:color w:val="auto"/>
              </w:rPr>
              <w:t>ATM and debit card fees</w:t>
            </w:r>
          </w:p>
        </w:tc>
        <w:tc>
          <w:tcPr>
            <w:tcW w:w="2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3,069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Other service charges and fees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920" w:type="dxa"/>
            <w:vAlign w:val="bottom"/>
          </w:tcPr>
          <w:p>
            <w:pPr>
              <w:ind w:left="1380"/>
              <w:spacing w:after="0"/>
              <w:rPr>
                <w:sz w:val="20"/>
                <w:szCs w:val="20"/>
                <w:color w:val="auto"/>
              </w:rPr>
            </w:pPr>
            <w:r>
              <w:rPr>
                <w:rFonts w:ascii="Arial" w:cs="Arial" w:eastAsia="Arial" w:hAnsi="Arial"/>
                <w:sz w:val="16"/>
                <w:szCs w:val="16"/>
                <w:color w:val="auto"/>
              </w:rPr>
              <w:t>Total service charges and fees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8,638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Mortgage loan gains and related fees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122</w:t>
            </w: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140"/>
              <w:spacing w:after="0"/>
              <w:rPr>
                <w:sz w:val="20"/>
                <w:szCs w:val="20"/>
                <w:color w:val="auto"/>
              </w:rPr>
            </w:pPr>
            <w:r>
              <w:rPr>
                <w:rFonts w:ascii="Arial" w:cs="Arial" w:eastAsia="Arial" w:hAnsi="Arial"/>
                <w:sz w:val="16"/>
                <w:szCs w:val="16"/>
                <w:color w:val="auto"/>
              </w:rPr>
              <w:t>Brokerage fees</w:t>
            </w:r>
          </w:p>
        </w:tc>
        <w:tc>
          <w:tcPr>
            <w:tcW w:w="2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1,640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Gains on sales of other loans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140"/>
              <w:spacing w:after="0"/>
              <w:rPr>
                <w:sz w:val="20"/>
                <w:szCs w:val="20"/>
                <w:color w:val="auto"/>
              </w:rPr>
            </w:pPr>
            <w:r>
              <w:rPr>
                <w:rFonts w:ascii="Arial" w:cs="Arial" w:eastAsia="Arial" w:hAnsi="Arial"/>
                <w:sz w:val="16"/>
                <w:szCs w:val="16"/>
                <w:color w:val="auto"/>
              </w:rPr>
              <w:t>Securities gains (losses), net</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noninterest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280"/>
              <w:spacing w:after="0"/>
              <w:rPr>
                <w:sz w:val="20"/>
                <w:szCs w:val="20"/>
                <w:color w:val="auto"/>
              </w:rPr>
            </w:pPr>
            <w:r>
              <w:rPr>
                <w:rFonts w:ascii="Arial" w:cs="Arial" w:eastAsia="Arial" w:hAnsi="Arial"/>
                <w:sz w:val="16"/>
                <w:szCs w:val="16"/>
                <w:color w:val="auto"/>
              </w:rPr>
              <w:t>Bank owned life insurance</w:t>
            </w:r>
          </w:p>
        </w:tc>
        <w:tc>
          <w:tcPr>
            <w:tcW w:w="2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Customer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179</w:t>
            </w: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2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(34)</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Total other noninterest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280"/>
              <w:spacing w:after="0"/>
              <w:rPr>
                <w:sz w:val="20"/>
                <w:szCs w:val="20"/>
                <w:color w:val="auto"/>
              </w:rPr>
            </w:pPr>
            <w:r>
              <w:rPr>
                <w:rFonts w:ascii="Arial" w:cs="Arial" w:eastAsia="Arial" w:hAnsi="Arial"/>
                <w:sz w:val="16"/>
                <w:szCs w:val="16"/>
                <w:color w:val="auto"/>
              </w:rPr>
              <w:t>Total noninterest income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25,814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20,968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4,846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2020 noninterest income increased $4.85 million compared to the same period of 2019, primarily due to increases in mortgage loan gains and related fees, income from customer derivatives, brokerage fees, and gains on sales of other loans. These increases in income were partially offset by a decrease in other noninterest income.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loan gains and related fees for the first quarter of 2020 increased $4.56 million from the same period of 2019, reflecting an increase in demand for mortgage rate locks and mortgage closings due to a historically low interest rate environment. The decrease in mortgage rates was partially attributable to the 150 basis point decrease in the national federal funds rate during the first quarter of 2020 in response to the COVID-19 pandemic. The increase in rate locks and closings was partially offset by negative fair value adjustments on the mortgage servicing rights asset due to the decrease in mortgage interest rates that resulted in an acceleration of prepayments.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rate locks during the first quarter of 2020 increased 157% to $801 million compared to $312 million in the first quarter of 2019. Mortgage production in the first quarter of 2020 also significantly increased compared to the same period of 2019. We closed 1,470 mortgage loans totaling $388 million in the first quarter of 2020 compared to 763 mortgage loans totaling $180 million in the first quarter of 2019. There were $219 million in home purchase mortgage originations in the first quarter of 2020, which accounted for 56% of mortgage production volume, compared to $116 million, or 65% of production volume for the same period a year ago.</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customer derivatives during the first quarter of 2020 increased $902,000 compared to the first quarter of 2019 due to increased demand for fixed rates during the current low rate environment.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Brokerage fees for the first quarter of 2020 increased 23% compared to the same period of 2019, which was a result of higher assets under management during the first quarter of 2020.</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2020, we realized net gains on the sale of other loans of $1.67 million, which included the sale of the guaranteed portion of SBA loans and the sale of certain equipment financing loans. During the first quarter of 2020, we sold $22.2 million of equipment financing loans, which resulted in gains of $1.26 million. Our SBA lending strategy includes selling a portion of the loan production each quarter. The amount of loans sold depends on several variables including the current lending environment and balance sheet management activities. In the first quarter of 2020 and 2019, we sold the guaranteed portion of loans in the amount of $4.03 million and $17.1 million, respectively. In the first quarter of 2020, unfavorable pricing for these loans driven by COVID-19 related market disruption led to our decision to hold more of our production in portfolio rather than sell to the secondary market.</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557" w:right="339" w:bottom="1440" w:gutter="0" w:footer="0" w:header="0"/>
          <w:type w:val="continuous"/>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Other noninterest income for the first quarter of 2020 decreased from the same period of 2019 primarily due to negative fair value adjustments on deferred compensation plan assets and other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5 - Noninterest Expenses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0"/>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700"/>
              <w:spacing w:after="0"/>
              <w:rPr>
                <w:sz w:val="20"/>
                <w:szCs w:val="20"/>
                <w:color w:val="auto"/>
              </w:rPr>
            </w:pPr>
            <w:r>
              <w:rPr>
                <w:rFonts w:ascii="Arial" w:cs="Arial" w:eastAsia="Arial" w:hAnsi="Arial"/>
                <w:sz w:val="16"/>
                <w:szCs w:val="16"/>
                <w:b w:val="1"/>
                <w:bCs w:val="1"/>
                <w:color w:val="auto"/>
                <w:w w:val="85"/>
              </w:rPr>
              <w:t>Change</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w:t>
            </w:r>
          </w:p>
        </w:tc>
      </w:tr>
      <w:tr>
        <w:trPr>
          <w:trHeight w:val="47"/>
        </w:trPr>
        <w:tc>
          <w:tcPr>
            <w:tcW w:w="50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r>
      <w:tr>
        <w:trPr>
          <w:trHeight w:val="230"/>
        </w:trPr>
        <w:tc>
          <w:tcPr>
            <w:tcW w:w="50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Salaries and employee benefits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800" w:type="dxa"/>
            <w:vAlign w:val="bottom"/>
            <w:tcBorders>
              <w:bottom w:val="single" w:sz="8" w:color="CCEEFF"/>
            </w:tcBorders>
            <w:shd w:val="clear" w:color="auto" w:fill="CCEEFF"/>
          </w:tcPr>
          <w:p>
            <w:pPr>
              <w:spacing w:after="0"/>
              <w:rPr>
                <w:sz w:val="20"/>
                <w:szCs w:val="20"/>
                <w:color w:val="auto"/>
              </w:rPr>
            </w:pPr>
          </w:p>
        </w:tc>
      </w:tr>
      <w:tr>
        <w:trPr>
          <w:trHeight w:val="237"/>
        </w:trPr>
        <w:tc>
          <w:tcPr>
            <w:tcW w:w="5020" w:type="dxa"/>
            <w:vAlign w:val="bottom"/>
          </w:tcPr>
          <w:p>
            <w:pPr>
              <w:ind w:left="1700"/>
              <w:spacing w:after="0"/>
              <w:rPr>
                <w:sz w:val="20"/>
                <w:szCs w:val="20"/>
                <w:color w:val="auto"/>
              </w:rPr>
            </w:pPr>
            <w:r>
              <w:rPr>
                <w:rFonts w:ascii="Arial" w:cs="Arial" w:eastAsia="Arial" w:hAnsi="Arial"/>
                <w:sz w:val="16"/>
                <w:szCs w:val="16"/>
                <w:color w:val="auto"/>
              </w:rPr>
              <w:t>Communications and equipment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5,946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5,788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8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1700"/>
              <w:spacing w:after="0"/>
              <w:rPr>
                <w:sz w:val="20"/>
                <w:szCs w:val="20"/>
                <w:color w:val="auto"/>
              </w:rPr>
            </w:pPr>
            <w:r>
              <w:rPr>
                <w:rFonts w:ascii="Arial" w:cs="Arial" w:eastAsia="Arial" w:hAnsi="Arial"/>
                <w:sz w:val="16"/>
                <w:szCs w:val="16"/>
                <w:color w:val="auto"/>
              </w:rPr>
              <w:t>Advertising and public relations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8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Postage, printing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170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8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Lending and loan servicing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1700"/>
              <w:spacing w:after="0"/>
              <w:rPr>
                <w:sz w:val="20"/>
                <w:szCs w:val="20"/>
                <w:color w:val="auto"/>
              </w:rPr>
            </w:pPr>
            <w:r>
              <w:rPr>
                <w:rFonts w:ascii="Arial" w:cs="Arial" w:eastAsia="Arial" w:hAnsi="Arial"/>
                <w:sz w:val="16"/>
                <w:szCs w:val="16"/>
                <w:color w:val="auto"/>
              </w:rPr>
              <w:t>Outside services - electronic banking</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8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w w:val="95"/>
              </w:rPr>
              <w:t>FDIC assessments and other regulatory charges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1700"/>
              <w:spacing w:after="0"/>
              <w:rPr>
                <w:sz w:val="20"/>
                <w:szCs w:val="20"/>
                <w:color w:val="auto"/>
              </w:rPr>
            </w:pPr>
            <w:r>
              <w:rPr>
                <w:rFonts w:ascii="Arial" w:cs="Arial" w:eastAsia="Arial" w:hAnsi="Arial"/>
                <w:sz w:val="16"/>
                <w:szCs w:val="16"/>
                <w:color w:val="auto"/>
              </w:rPr>
              <w:t>Amortization of core deposit intangibles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1800" w:type="dxa"/>
            <w:vAlign w:val="bottom"/>
          </w:tcPr>
          <w:p>
            <w:pPr>
              <w:spacing w:after="0"/>
              <w:rPr>
                <w:sz w:val="20"/>
                <w:szCs w:val="20"/>
                <w:color w:val="auto"/>
              </w:rPr>
            </w:pPr>
          </w:p>
        </w:tc>
      </w:tr>
      <w:tr>
        <w:trPr>
          <w:trHeight w:val="3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1800" w:type="dxa"/>
            <w:vAlign w:val="bottom"/>
            <w:tcBorders>
              <w:bottom w:val="single" w:sz="8" w:color="CCEEFF"/>
            </w:tcBorders>
            <w:shd w:val="clear" w:color="auto" w:fill="CCEEFF"/>
          </w:tcPr>
          <w:p>
            <w:pPr>
              <w:spacing w:after="0"/>
              <w:rPr>
                <w:sz w:val="23"/>
                <w:szCs w:val="23"/>
                <w:color w:val="auto"/>
              </w:rPr>
            </w:pPr>
          </w:p>
        </w:tc>
      </w:tr>
      <w:tr>
        <w:trPr>
          <w:trHeight w:val="200"/>
        </w:trPr>
        <w:tc>
          <w:tcPr>
            <w:tcW w:w="5020" w:type="dxa"/>
            <w:vAlign w:val="bottom"/>
          </w:tcPr>
          <w:p>
            <w:pPr>
              <w:ind w:left="1840"/>
              <w:spacing w:after="0"/>
              <w:rPr>
                <w:sz w:val="20"/>
                <w:szCs w:val="20"/>
                <w:color w:val="auto"/>
              </w:rPr>
            </w:pPr>
            <w:r>
              <w:rPr>
                <w:rFonts w:ascii="Arial" w:cs="Arial" w:eastAsia="Arial" w:hAnsi="Arial"/>
                <w:sz w:val="16"/>
                <w:szCs w:val="16"/>
                <w:color w:val="auto"/>
              </w:rPr>
              <w:t>Total excluding merger-related and other</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6"/>
        </w:trPr>
        <w:tc>
          <w:tcPr>
            <w:tcW w:w="5020" w:type="dxa"/>
            <w:vAlign w:val="bottom"/>
          </w:tcPr>
          <w:p>
            <w:pPr>
              <w:ind w:left="1840"/>
              <w:spacing w:after="0"/>
              <w:rPr>
                <w:sz w:val="20"/>
                <w:szCs w:val="20"/>
                <w:color w:val="auto"/>
              </w:rPr>
            </w:pPr>
            <w:r>
              <w:rPr>
                <w:rFonts w:ascii="Arial" w:cs="Arial" w:eastAsia="Arial" w:hAnsi="Arial"/>
                <w:sz w:val="16"/>
                <w:szCs w:val="16"/>
                <w:color w:val="auto"/>
              </w:rPr>
              <w:t>charges</w:t>
            </w: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80,730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75,345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800" w:type="dxa"/>
            <w:vAlign w:val="bottom"/>
          </w:tcPr>
          <w:p>
            <w:pPr>
              <w:spacing w:after="0"/>
              <w:rPr>
                <w:sz w:val="17"/>
                <w:szCs w:val="17"/>
                <w:color w:val="auto"/>
              </w:rPr>
            </w:pPr>
          </w:p>
        </w:tc>
      </w:tr>
      <w:tr>
        <w:trPr>
          <w:trHeight w:val="3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Merger-related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5020" w:type="dxa"/>
            <w:vAlign w:val="bottom"/>
          </w:tcPr>
          <w:p>
            <w:pPr>
              <w:ind w:left="1700"/>
              <w:spacing w:after="0"/>
              <w:rPr>
                <w:sz w:val="20"/>
                <w:szCs w:val="20"/>
                <w:color w:val="auto"/>
              </w:rPr>
            </w:pPr>
            <w:r>
              <w:rPr>
                <w:rFonts w:ascii="Arial" w:cs="Arial" w:eastAsia="Arial" w:hAnsi="Arial"/>
                <w:sz w:val="16"/>
                <w:szCs w:val="16"/>
                <w:color w:val="auto"/>
              </w:rPr>
              <w:t>Amortization of noncompete agreements</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6"/>
                <w:szCs w:val="16"/>
                <w:color w:val="auto"/>
              </w:rPr>
              <w:t>Total noninterest expenses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Noninterest expenses for the first quarter of 2020 totaled $81.5 million, up 7% from the same period of 2019. Increases in salaries and employee benefits, professional fees, outside services-electronic banking and merger-related and other charges, partially offset by lower FDIC assessments and other regulatory charges and amortization of noncompete agreements, accounted for much of the change in noninterest expense.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employee benefits for the first quarter of 2020 increased 8% from same period of 2019. The increase was primarily attributable to higher mortgage commissions resulting from increased production, the inclusion of FMBT employees for the first quarter of 2020, investments in new staff for key areas of the bank, and annual merit-based salary increases awarded during the second quarter of 2019. Full time equivalent headcount totaled 2,332 at March 31, 2020, up from 2,291 at March 31, 2019.</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fees are up compared to the first quarter of 2019 mostly due to timing of projects, which made first quarter 2019 expenses unusually low. Outside services - electronic banking increased from the first quarter of 2019 as a result of a steady increase in the use of our ATM network and online banking platform over the past year. The decrease in FDIC assessments and other regulatory charges is mostly attributable to a reduction in our FDIC assessment rate compared to the first quarter of 2019.</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Merger-related and other charges for the three months ended March 31, 2020 consisted primarily of merger-related expenses associated with the acquisition of FMBT and the announced acquisition of Three Shores, which was announced in March of 2020, severance, and branch closure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reduction of amortization of noncompete agreements was a result of the expiration of these agreements since the first quarter of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March 31, 2020 and December 31, 2019 were $13.1 billion and $12.9 billion, respectively. Average total assets for the first three months of 2020 were $12.9 billion, up from $12.5 billion for the same period of 2019.</w:t>
      </w:r>
    </w:p>
    <w:p>
      <w:pPr>
        <w:sectPr>
          <w:pgSz w:w="11900" w:h="16838" w:orient="portrait"/>
          <w:cols w:equalWidth="0" w:num="1">
            <w:col w:w="11240"/>
          </w:cols>
          <w:pgMar w:left="320" w:top="557"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557"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color w:val="auto"/>
        </w:rPr>
        <w:t>As of March 31, 2020, approximately 75% of our loans are secured by real estate. The following table presents a summary of the loan portfolio.</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6 - Loans Outstanding</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35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b w:val="1"/>
                <w:bCs w:val="1"/>
                <w:color w:val="auto"/>
              </w:rPr>
              <w:t>By Loan Type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1,702,984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1,720,227</w:t>
            </w: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2,064,502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2,007,950</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Commercial &amp; industrial</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1,310,112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1,220,657</w:t>
            </w: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Commercial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959,318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976,215</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Equipment financing</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760,952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744,544</w:t>
            </w:r>
          </w:p>
        </w:tc>
        <w:tc>
          <w:tcPr>
            <w:tcW w:w="1900" w:type="dxa"/>
            <w:vAlign w:val="bottom"/>
          </w:tcPr>
          <w:p>
            <w:pPr>
              <w:spacing w:after="0"/>
              <w:rPr>
                <w:sz w:val="20"/>
                <w:szCs w:val="20"/>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30"/>
        </w:trPr>
        <w:tc>
          <w:tcPr>
            <w:tcW w:w="556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6"/>
                <w:szCs w:val="16"/>
                <w:color w:val="auto"/>
              </w:rPr>
              <w:t>Total commercial</w:t>
            </w:r>
          </w:p>
        </w:tc>
        <w:tc>
          <w:tcPr>
            <w:tcW w:w="2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6,797,868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6,669,593</w:t>
            </w:r>
          </w:p>
        </w:tc>
        <w:tc>
          <w:tcPr>
            <w:tcW w:w="1900" w:type="dxa"/>
            <w:vAlign w:val="bottom"/>
            <w:tcBorders>
              <w:bottom w:val="single" w:sz="8" w:color="CCEEFF"/>
            </w:tcBorders>
            <w:shd w:val="clear" w:color="auto" w:fill="CCEEFF"/>
          </w:tcPr>
          <w:p>
            <w:pPr>
              <w:spacing w:after="0"/>
              <w:rPr>
                <w:sz w:val="20"/>
                <w:szCs w:val="20"/>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1,127,988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1,117,616</w:t>
            </w: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Home equity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668,382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660,675</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215,996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236,437</w:t>
            </w: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128,232</w:t>
            </w:r>
          </w:p>
        </w:tc>
        <w:tc>
          <w:tcPr>
            <w:tcW w:w="1900" w:type="dxa"/>
            <w:vAlign w:val="bottom"/>
            <w:tcBorders>
              <w:bottom w:val="single" w:sz="8" w:color="CCEEFF"/>
            </w:tcBorders>
            <w:shd w:val="clear" w:color="auto" w:fill="CCEEFF"/>
          </w:tcPr>
          <w:p>
            <w:pPr>
              <w:spacing w:after="0"/>
              <w:rPr>
                <w:sz w:val="23"/>
                <w:szCs w:val="23"/>
                <w:color w:val="auto"/>
              </w:rPr>
            </w:pPr>
          </w:p>
        </w:tc>
      </w:tr>
      <w:tr>
        <w:trPr>
          <w:trHeight w:val="283"/>
        </w:trPr>
        <w:tc>
          <w:tcPr>
            <w:tcW w:w="5560" w:type="dxa"/>
            <w:vAlign w:val="bottom"/>
            <w:tcBorders>
              <w:bottom w:val="single" w:sz="8" w:color="CCEEFF"/>
            </w:tcBorders>
          </w:tcPr>
          <w:p>
            <w:pPr>
              <w:ind w:left="2160"/>
              <w:spacing w:after="0"/>
              <w:rPr>
                <w:sz w:val="20"/>
                <w:szCs w:val="20"/>
                <w:color w:val="auto"/>
              </w:rPr>
            </w:pPr>
            <w:r>
              <w:rPr>
                <w:rFonts w:ascii="Arial" w:cs="Arial" w:eastAsia="Arial" w:hAnsi="Arial"/>
                <w:sz w:val="16"/>
                <w:szCs w:val="16"/>
                <w:color w:val="auto"/>
              </w:rPr>
              <w:t>Total loans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8,935,424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8,812,553</w:t>
            </w:r>
          </w:p>
        </w:tc>
        <w:tc>
          <w:tcPr>
            <w:tcW w:w="1900" w:type="dxa"/>
            <w:vAlign w:val="bottom"/>
            <w:tcBorders>
              <w:bottom w:val="single" w:sz="8" w:color="CCEEFF"/>
            </w:tcBorders>
          </w:tcPr>
          <w:p>
            <w:pPr>
              <w:spacing w:after="0"/>
              <w:rPr>
                <w:sz w:val="24"/>
                <w:szCs w:val="24"/>
                <w:color w:val="auto"/>
              </w:rPr>
            </w:pPr>
          </w:p>
        </w:tc>
      </w:tr>
      <w:tr>
        <w:trPr>
          <w:trHeight w:val="271"/>
        </w:trPr>
        <w:tc>
          <w:tcPr>
            <w:tcW w:w="5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As a percentage of total loans: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Commercial &amp;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Equipment financing</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900" w:type="dxa"/>
            <w:vAlign w:val="bottom"/>
            <w:tcBorders>
              <w:bottom w:val="single" w:sz="8" w:color="CCEEFF"/>
            </w:tcBorders>
            <w:shd w:val="clear" w:color="auto" w:fill="CCEEFF"/>
          </w:tcPr>
          <w:p>
            <w:pPr>
              <w:spacing w:after="0"/>
              <w:rPr>
                <w:sz w:val="23"/>
                <w:szCs w:val="23"/>
                <w:color w:val="auto"/>
              </w:rPr>
            </w:pPr>
          </w:p>
        </w:tc>
      </w:tr>
      <w:tr>
        <w:trPr>
          <w:trHeight w:val="217"/>
        </w:trPr>
        <w:tc>
          <w:tcPr>
            <w:tcW w:w="5560" w:type="dxa"/>
            <w:vAlign w:val="bottom"/>
          </w:tcPr>
          <w:p>
            <w:pPr>
              <w:ind w:left="216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190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Residential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9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Residential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192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20"/>
                <w:szCs w:val="20"/>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900" w:type="dxa"/>
            <w:vAlign w:val="bottom"/>
          </w:tcPr>
          <w:p>
            <w:pPr>
              <w:spacing w:after="0"/>
              <w:rPr>
                <w:sz w:val="20"/>
                <w:szCs w:val="20"/>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16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900" w:type="dxa"/>
            <w:vAlign w:val="bottom"/>
            <w:tcBorders>
              <w:bottom w:val="single" w:sz="8" w:color="CCEEFF"/>
            </w:tcBorders>
            <w:shd w:val="clear" w:color="auto" w:fill="CCEEFF"/>
          </w:tcPr>
          <w:p>
            <w:pPr>
              <w:spacing w:after="0"/>
              <w:rPr>
                <w:sz w:val="21"/>
                <w:szCs w:val="2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of Directors approved portfolio concentration limits, establishing credit policies and procedures and enforcing the consistent application of these policies and procedures. Additional information on our credit administration function is included in Part I, Item 1 under the heading </w:t>
      </w:r>
      <w:r>
        <w:rPr>
          <w:rFonts w:ascii="Arial" w:cs="Arial" w:eastAsia="Arial" w:hAnsi="Arial"/>
          <w:sz w:val="18"/>
          <w:szCs w:val="18"/>
          <w:i w:val="1"/>
          <w:iCs w:val="1"/>
          <w:color w:val="auto"/>
        </w:rPr>
        <w:t>Lending Activities</w:t>
      </w:r>
      <w:r>
        <w:rPr>
          <w:rFonts w:ascii="Arial" w:cs="Arial" w:eastAsia="Arial" w:hAnsi="Arial"/>
          <w:sz w:val="18"/>
          <w:szCs w:val="18"/>
          <w:color w:val="auto"/>
        </w:rPr>
        <w:t xml:space="preserve"> in our 2019 10-K.</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classify loans as “substandard” when there is a well-defined weakness or weaknesses that jeopardizes the repayment by the borrower and there is a distinct possibility that we could sustain some loss if the deficiency is not corrected. Performing substandard loans, which are substandard loans that are still accruing interest, totaled $113 million and $125 million at March 31, 2020 and December 31, 2019, respectively.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at March 31, 2020 reflects management’s assessment of the life of loan expected credit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The allocation of the ACL is based on reasonable and supportable forecasts, historical data,</w:t>
      </w:r>
    </w:p>
    <w:p>
      <w:pPr>
        <w:sectPr>
          <w:pgSz w:w="11900" w:h="16838" w:orient="portrait"/>
          <w:cols w:equalWidth="0" w:num="1">
            <w:col w:w="11240"/>
          </w:cols>
          <w:pgMar w:left="320" w:top="55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557" w:right="339" w:bottom="1440" w:gutter="0" w:footer="0" w:header="0"/>
          <w:type w:val="continuous"/>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subjective judgment and estimates and, therefore, is not necessarily indicative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credit losses.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ACL, which includes a portion related to unfunded commitments, totaled $88.4 million at March 31, 2020, compared with $65.5 million at December 31, 2019. At March 31, 2020, the ACL for loans was $81.9 million, or 0.92% of loans, compared with $62.1 million, or 0.70% of total loans, at December 31, 2019. The adoption of CECL on January 1, 2020 added $6.88 million to the ACL for loans and $1.87 million to the reserve for unfunded commitments resulting in a total ACL of $74.3 million at the time of adoption. The increase since adoption primarily reflects higher expected credit losses resulting from the COVID-19 pandemic as well as the impact of first quarter loan growth.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55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following table presents a summary of the changes in the ACL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7 - ACL</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jc w:val="center"/>
        <w:ind w:left="68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33020</wp:posOffset>
            </wp:positionV>
            <wp:extent cx="1543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spacing w:after="0"/>
              <w:rPr>
                <w:sz w:val="18"/>
                <w:szCs w:val="18"/>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ACL - loans, beginning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61,203</w:t>
            </w: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tcPr>
          <w:p>
            <w:pPr>
              <w:ind w:left="1140"/>
              <w:spacing w:after="0"/>
              <w:rPr>
                <w:sz w:val="20"/>
                <w:szCs w:val="20"/>
                <w:color w:val="auto"/>
              </w:rPr>
            </w:pPr>
            <w:r>
              <w:rPr>
                <w:rFonts w:ascii="Arial" w:cs="Arial" w:eastAsia="Arial" w:hAnsi="Arial"/>
                <w:sz w:val="16"/>
                <w:szCs w:val="16"/>
                <w:color w:val="auto"/>
              </w:rPr>
              <w:t>Adoption of CECL</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ACL - loans, adjusted beginning balance</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68,969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61,203</w:t>
            </w: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tcPr>
          <w:p>
            <w:pPr>
              <w:ind w:left="1140"/>
              <w:spacing w:after="0"/>
              <w:rPr>
                <w:sz w:val="20"/>
                <w:szCs w:val="20"/>
                <w:color w:val="auto"/>
              </w:rPr>
            </w:pPr>
            <w:r>
              <w:rPr>
                <w:rFonts w:ascii="Arial" w:cs="Arial" w:eastAsia="Arial" w:hAnsi="Arial"/>
                <w:sz w:val="16"/>
                <w:szCs w:val="16"/>
                <w:color w:val="auto"/>
              </w:rPr>
              <w:t>Charge-offs: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197</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Commercial &amp;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1,519</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1,424</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337</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547</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197</w:t>
            </w:r>
          </w:p>
        </w:tc>
        <w:tc>
          <w:tcPr>
            <w:tcW w:w="1000" w:type="dxa"/>
            <w:vAlign w:val="bottom"/>
          </w:tcPr>
          <w:p>
            <w:pPr>
              <w:spacing w:after="0"/>
              <w:rPr>
                <w:sz w:val="20"/>
                <w:szCs w:val="20"/>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Total loans charged-off</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4,360</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tcPr>
          <w:p>
            <w:pPr>
              <w:ind w:left="1140"/>
              <w:spacing w:after="0"/>
              <w:rPr>
                <w:sz w:val="20"/>
                <w:szCs w:val="20"/>
                <w:color w:val="auto"/>
              </w:rPr>
            </w:pPr>
            <w:r>
              <w:rPr>
                <w:rFonts w:ascii="Arial" w:cs="Arial" w:eastAsia="Arial" w:hAnsi="Arial"/>
                <w:sz w:val="16"/>
                <w:szCs w:val="16"/>
                <w:color w:val="auto"/>
              </w:rPr>
              <w:t>Recoveries: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Commercial &amp;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394</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1000" w:type="dxa"/>
            <w:vAlign w:val="bottom"/>
          </w:tcPr>
          <w:p>
            <w:pPr>
              <w:spacing w:after="0"/>
              <w:rPr>
                <w:sz w:val="20"/>
                <w:szCs w:val="20"/>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Total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1,230</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17"/>
        </w:trPr>
        <w:tc>
          <w:tcPr>
            <w:tcW w:w="7820" w:type="dxa"/>
            <w:vAlign w:val="bottom"/>
          </w:tcPr>
          <w:p>
            <w:pPr>
              <w:ind w:left="1380"/>
              <w:spacing w:after="0"/>
              <w:rPr>
                <w:sz w:val="20"/>
                <w:szCs w:val="20"/>
                <w:color w:val="auto"/>
              </w:rPr>
            </w:pPr>
            <w:r>
              <w:rPr>
                <w:rFonts w:ascii="Arial" w:cs="Arial" w:eastAsia="Arial" w:hAnsi="Arial"/>
                <w:sz w:val="16"/>
                <w:szCs w:val="16"/>
                <w:color w:val="auto"/>
              </w:rPr>
              <w:t>Net charge-offs</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8,114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3,130</w:t>
            </w:r>
          </w:p>
        </w:tc>
        <w:tc>
          <w:tcPr>
            <w:tcW w:w="1000" w:type="dxa"/>
            <w:vAlign w:val="bottom"/>
          </w:tcPr>
          <w:p>
            <w:pPr>
              <w:spacing w:after="0"/>
              <w:rPr>
                <w:sz w:val="18"/>
                <w:szCs w:val="18"/>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 - loans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3,569</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17"/>
        </w:trPr>
        <w:tc>
          <w:tcPr>
            <w:tcW w:w="7820" w:type="dxa"/>
            <w:vAlign w:val="bottom"/>
          </w:tcPr>
          <w:p>
            <w:pPr>
              <w:ind w:left="1140"/>
              <w:spacing w:after="0"/>
              <w:rPr>
                <w:sz w:val="20"/>
                <w:szCs w:val="20"/>
                <w:color w:val="auto"/>
              </w:rPr>
            </w:pPr>
            <w:r>
              <w:rPr>
                <w:rFonts w:ascii="Arial" w:cs="Arial" w:eastAsia="Arial" w:hAnsi="Arial"/>
                <w:sz w:val="16"/>
                <w:szCs w:val="16"/>
                <w:color w:val="auto"/>
              </w:rPr>
              <w:t>ACL - loans, end of period</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81,905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61,642</w:t>
            </w:r>
          </w:p>
        </w:tc>
        <w:tc>
          <w:tcPr>
            <w:tcW w:w="1000" w:type="dxa"/>
            <w:vAlign w:val="bottom"/>
          </w:tcPr>
          <w:p>
            <w:pPr>
              <w:spacing w:after="0"/>
              <w:rPr>
                <w:sz w:val="18"/>
                <w:szCs w:val="18"/>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64"/>
        </w:trPr>
        <w:tc>
          <w:tcPr>
            <w:tcW w:w="7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7"/>
        </w:trPr>
        <w:tc>
          <w:tcPr>
            <w:tcW w:w="7820" w:type="dxa"/>
            <w:vAlign w:val="bottom"/>
          </w:tcPr>
          <w:p>
            <w:pPr>
              <w:ind w:left="1140"/>
              <w:spacing w:after="0"/>
              <w:rPr>
                <w:sz w:val="20"/>
                <w:szCs w:val="20"/>
                <w:color w:val="auto"/>
              </w:rPr>
            </w:pPr>
            <w:r>
              <w:rPr>
                <w:rFonts w:ascii="Arial" w:cs="Arial" w:eastAsia="Arial" w:hAnsi="Arial"/>
                <w:sz w:val="16"/>
                <w:szCs w:val="16"/>
                <w:color w:val="auto"/>
              </w:rPr>
              <w:t>ACL - unfunded commitments, beginning of period</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3,410</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Adoption of CECL</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r>
      <w:tr>
        <w:trPr>
          <w:trHeight w:val="217"/>
        </w:trPr>
        <w:tc>
          <w:tcPr>
            <w:tcW w:w="7820" w:type="dxa"/>
            <w:vAlign w:val="bottom"/>
          </w:tcPr>
          <w:p>
            <w:pPr>
              <w:ind w:left="1140"/>
              <w:spacing w:after="0"/>
              <w:rPr>
                <w:sz w:val="20"/>
                <w:szCs w:val="20"/>
                <w:color w:val="auto"/>
              </w:rPr>
            </w:pPr>
            <w:r>
              <w:rPr>
                <w:rFonts w:ascii="Arial" w:cs="Arial" w:eastAsia="Arial" w:hAnsi="Arial"/>
                <w:sz w:val="16"/>
                <w:szCs w:val="16"/>
                <w:color w:val="auto"/>
              </w:rPr>
              <w:t>ACL - unfunded commitments, adjusted beginning balance</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5,329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3,410</w:t>
            </w:r>
          </w:p>
        </w:tc>
        <w:tc>
          <w:tcPr>
            <w:tcW w:w="100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Provision for credit losses - unfunded commitments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1000" w:type="dxa"/>
            <w:vAlign w:val="bottom"/>
            <w:tcBorders>
              <w:bottom w:val="single" w:sz="8" w:color="CCEEFF"/>
            </w:tcBorders>
            <w:shd w:val="clear" w:color="auto" w:fill="CCEEFF"/>
          </w:tcPr>
          <w:p>
            <w:pPr>
              <w:spacing w:after="0"/>
              <w:rPr>
                <w:sz w:val="23"/>
                <w:szCs w:val="23"/>
                <w:color w:val="auto"/>
              </w:rPr>
            </w:pPr>
          </w:p>
        </w:tc>
      </w:tr>
      <w:tr>
        <w:trPr>
          <w:trHeight w:val="217"/>
        </w:trPr>
        <w:tc>
          <w:tcPr>
            <w:tcW w:w="7820" w:type="dxa"/>
            <w:vAlign w:val="bottom"/>
          </w:tcPr>
          <w:p>
            <w:pPr>
              <w:ind w:left="1140"/>
              <w:spacing w:after="0"/>
              <w:rPr>
                <w:sz w:val="20"/>
                <w:szCs w:val="20"/>
                <w:color w:val="auto"/>
              </w:rPr>
            </w:pPr>
            <w:r>
              <w:rPr>
                <w:rFonts w:ascii="Arial" w:cs="Arial" w:eastAsia="Arial" w:hAnsi="Arial"/>
                <w:sz w:val="16"/>
                <w:szCs w:val="16"/>
                <w:color w:val="auto"/>
              </w:rPr>
              <w:t>ACL - unfunded commitments, end of period</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6,470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3,141</w:t>
            </w:r>
          </w:p>
        </w:tc>
        <w:tc>
          <w:tcPr>
            <w:tcW w:w="1000" w:type="dxa"/>
            <w:vAlign w:val="bottom"/>
          </w:tcPr>
          <w:p>
            <w:pPr>
              <w:spacing w:after="0"/>
              <w:rPr>
                <w:sz w:val="18"/>
                <w:szCs w:val="18"/>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63"/>
        </w:trPr>
        <w:tc>
          <w:tcPr>
            <w:tcW w:w="78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84"/>
        </w:trPr>
        <w:tc>
          <w:tcPr>
            <w:tcW w:w="782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Total ACL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88,375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64,783</w:t>
            </w:r>
          </w:p>
        </w:tc>
        <w:tc>
          <w:tcPr>
            <w:tcW w:w="1000" w:type="dxa"/>
            <w:vAlign w:val="bottom"/>
            <w:tcBorders>
              <w:bottom w:val="single" w:sz="8" w:color="CCEEFF"/>
            </w:tcBorders>
          </w:tcPr>
          <w:p>
            <w:pPr>
              <w:spacing w:after="0"/>
              <w:rPr>
                <w:sz w:val="24"/>
                <w:szCs w:val="24"/>
                <w:color w:val="auto"/>
              </w:rPr>
            </w:pPr>
          </w:p>
        </w:tc>
      </w:tr>
      <w:tr>
        <w:trPr>
          <w:trHeight w:val="257"/>
        </w:trPr>
        <w:tc>
          <w:tcPr>
            <w:tcW w:w="7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7"/>
        </w:trPr>
        <w:tc>
          <w:tcPr>
            <w:tcW w:w="7820" w:type="dxa"/>
            <w:vAlign w:val="bottom"/>
          </w:tcPr>
          <w:p>
            <w:pPr>
              <w:ind w:left="1140"/>
              <w:spacing w:after="0"/>
              <w:rPr>
                <w:sz w:val="20"/>
                <w:szCs w:val="20"/>
                <w:color w:val="auto"/>
              </w:rPr>
            </w:pPr>
            <w:r>
              <w:rPr>
                <w:rFonts w:ascii="Arial" w:cs="Arial" w:eastAsia="Arial" w:hAnsi="Arial"/>
                <w:sz w:val="16"/>
                <w:szCs w:val="16"/>
                <w:color w:val="auto"/>
              </w:rPr>
              <w:t>Total loans: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At period-end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8,935,424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8,493,254</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8,828,880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8,429,976</w:t>
            </w: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ACL - loans, as a percentage of period-end loans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140"/>
              <w:spacing w:after="0"/>
              <w:rPr>
                <w:sz w:val="20"/>
                <w:szCs w:val="20"/>
                <w:color w:val="auto"/>
              </w:rPr>
            </w:pPr>
            <w:r>
              <w:rPr>
                <w:rFonts w:ascii="Arial" w:cs="Arial" w:eastAsia="Arial" w:hAnsi="Arial"/>
                <w:sz w:val="16"/>
                <w:szCs w:val="16"/>
                <w:color w:val="auto"/>
              </w:rPr>
              <w:t>As a percentage of average loans (annualized):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6"/>
                <w:szCs w:val="16"/>
                <w:color w:val="auto"/>
              </w:rPr>
              <w:t>Net charge-offs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0.15</w:t>
            </w: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820" w:type="dxa"/>
            <w:vAlign w:val="bottom"/>
          </w:tcPr>
          <w:p>
            <w:pPr>
              <w:ind w:left="1280"/>
              <w:spacing w:after="0"/>
              <w:rPr>
                <w:sz w:val="20"/>
                <w:szCs w:val="20"/>
                <w:color w:val="auto"/>
              </w:rPr>
            </w:pPr>
            <w:r>
              <w:rPr>
                <w:rFonts w:ascii="Arial" w:cs="Arial" w:eastAsia="Arial" w:hAnsi="Arial"/>
                <w:sz w:val="16"/>
                <w:szCs w:val="16"/>
                <w:color w:val="auto"/>
              </w:rPr>
              <w:t>Provision for credit losses - loans</w:t>
            </w: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0.17</w:t>
            </w:r>
          </w:p>
        </w:tc>
        <w:tc>
          <w:tcPr>
            <w:tcW w:w="1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557" w:right="339" w:bottom="817"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557" w:right="339" w:bottom="817"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assets (“NPAs”), which include nonaccrual loans and foreclosed properties, totaled $36.7 million at March 31, 2020, compared with $35.8 million at December 31, 2019. As a result of the adoption of CECL, because we elected to disaggregate the former Purchased Credit Impaired (“PCI”) pools and no longer consider the loan pool to be the unit of account, contractually delinquent Purchased Credit Deteriorated (“PCD”) loans are reported as nonaccrual loans using the same criteria as other loans.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policy is to place loans on nonaccrual status when, in the opinion of management, the full principal and interest on a loan is not likely to be collected or when the loan becomes 90 days past due and is not well-collateralized or in the process of collection. When a loan is placed on nonaccrual status, interest previously accrued but not collected is reversed against current interest revenue. Interest payments received on nonaccrual loans are applied to reduce the loan’s amortized cost. Loans are returned to accrual status when all the principal and interest amounts contractually due are brought current, there is a sustained period of repayment performance and future payments are reasonably assured.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NPAs.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8 - NPAs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28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Nonaccrual loans: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600"/>
              <w:spacing w:after="0"/>
              <w:rPr>
                <w:sz w:val="20"/>
                <w:szCs w:val="20"/>
                <w:color w:val="auto"/>
              </w:rPr>
            </w:pPr>
            <w:r>
              <w:rPr>
                <w:rFonts w:ascii="Arial" w:cs="Arial" w:eastAsia="Arial" w:hAnsi="Arial"/>
                <w:sz w:val="16"/>
                <w:szCs w:val="16"/>
                <w:color w:val="auto"/>
              </w:rPr>
              <w:t>Owner occupied commercial real estate</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10,405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10,544</w:t>
            </w:r>
          </w:p>
        </w:tc>
        <w:tc>
          <w:tcPr>
            <w:tcW w:w="146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Income producing 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1,996</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600"/>
              <w:spacing w:after="0"/>
              <w:rPr>
                <w:sz w:val="20"/>
                <w:szCs w:val="20"/>
                <w:color w:val="auto"/>
              </w:rPr>
            </w:pPr>
            <w:r>
              <w:rPr>
                <w:rFonts w:ascii="Arial" w:cs="Arial" w:eastAsia="Arial" w:hAnsi="Arial"/>
                <w:sz w:val="16"/>
                <w:szCs w:val="16"/>
                <w:color w:val="auto"/>
              </w:rPr>
              <w:t>Commercial &amp; industrial</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3,169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2,545</w:t>
            </w:r>
          </w:p>
        </w:tc>
        <w:tc>
          <w:tcPr>
            <w:tcW w:w="146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Commercial construction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2,277</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600"/>
              <w:spacing w:after="0"/>
              <w:rPr>
                <w:sz w:val="20"/>
                <w:szCs w:val="20"/>
                <w:color w:val="auto"/>
              </w:rPr>
            </w:pPr>
            <w:r>
              <w:rPr>
                <w:rFonts w:ascii="Arial" w:cs="Arial" w:eastAsia="Arial" w:hAnsi="Arial"/>
                <w:sz w:val="16"/>
                <w:szCs w:val="16"/>
                <w:color w:val="auto"/>
              </w:rPr>
              <w:t>Equipment financing</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2,439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3,141</w:t>
            </w:r>
          </w:p>
        </w:tc>
        <w:tc>
          <w:tcPr>
            <w:tcW w:w="1460" w:type="dxa"/>
            <w:vAlign w:val="bottom"/>
          </w:tcPr>
          <w:p>
            <w:pPr>
              <w:spacing w:after="0"/>
              <w:rPr>
                <w:sz w:val="20"/>
                <w:szCs w:val="20"/>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0"/>
        </w:trPr>
        <w:tc>
          <w:tcPr>
            <w:tcW w:w="686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Total commercial</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19,972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20,503</w:t>
            </w:r>
          </w:p>
        </w:tc>
        <w:tc>
          <w:tcPr>
            <w:tcW w:w="1460" w:type="dxa"/>
            <w:vAlign w:val="bottom"/>
            <w:tcBorders>
              <w:bottom w:val="single" w:sz="8" w:color="CCEEFF"/>
            </w:tcBorders>
            <w:shd w:val="clear" w:color="auto" w:fill="CCEEFF"/>
          </w:tcPr>
          <w:p>
            <w:pPr>
              <w:spacing w:after="0"/>
              <w:rPr>
                <w:sz w:val="20"/>
                <w:szCs w:val="20"/>
                <w:color w:val="auto"/>
              </w:rPr>
            </w:pPr>
          </w:p>
        </w:tc>
      </w:tr>
      <w:tr>
        <w:trPr>
          <w:trHeight w:val="237"/>
        </w:trPr>
        <w:tc>
          <w:tcPr>
            <w:tcW w:w="6860" w:type="dxa"/>
            <w:vAlign w:val="bottom"/>
          </w:tcPr>
          <w:p>
            <w:pPr>
              <w:ind w:left="1600"/>
              <w:spacing w:after="0"/>
              <w:rPr>
                <w:sz w:val="20"/>
                <w:szCs w:val="20"/>
                <w:color w:val="auto"/>
              </w:rPr>
            </w:pPr>
            <w:r>
              <w:rPr>
                <w:rFonts w:ascii="Arial" w:cs="Arial" w:eastAsia="Arial" w:hAnsi="Arial"/>
                <w:sz w:val="16"/>
                <w:szCs w:val="16"/>
                <w:color w:val="auto"/>
              </w:rPr>
              <w:t>Residential mortgage</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12,458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10,567</w:t>
            </w:r>
          </w:p>
        </w:tc>
        <w:tc>
          <w:tcPr>
            <w:tcW w:w="146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Home equity lines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3,173</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600"/>
              <w:spacing w:after="0"/>
              <w:rPr>
                <w:sz w:val="20"/>
                <w:szCs w:val="20"/>
                <w:color w:val="auto"/>
              </w:rPr>
            </w:pPr>
            <w:r>
              <w:rPr>
                <w:rFonts w:ascii="Arial" w:cs="Arial" w:eastAsia="Arial" w:hAnsi="Arial"/>
                <w:sz w:val="16"/>
                <w:szCs w:val="16"/>
                <w:color w:val="auto"/>
              </w:rPr>
              <w:t>Residential construction</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939</w:t>
            </w:r>
          </w:p>
        </w:tc>
        <w:tc>
          <w:tcPr>
            <w:tcW w:w="146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1460" w:type="dxa"/>
            <w:vAlign w:val="bottom"/>
            <w:tcBorders>
              <w:bottom w:val="single" w:sz="8" w:color="CCEEFF"/>
            </w:tcBorders>
            <w:shd w:val="clear" w:color="auto" w:fill="CCEEFF"/>
          </w:tcPr>
          <w:p>
            <w:pPr>
              <w:spacing w:after="0"/>
              <w:rPr>
                <w:sz w:val="23"/>
                <w:szCs w:val="23"/>
                <w:color w:val="auto"/>
              </w:rPr>
            </w:pPr>
          </w:p>
        </w:tc>
      </w:tr>
      <w:tr>
        <w:trPr>
          <w:trHeight w:val="230"/>
        </w:trPr>
        <w:tc>
          <w:tcPr>
            <w:tcW w:w="6860" w:type="dxa"/>
            <w:vAlign w:val="bottom"/>
          </w:tcPr>
          <w:p>
            <w:pPr>
              <w:ind w:left="1700"/>
              <w:spacing w:after="0"/>
              <w:rPr>
                <w:sz w:val="20"/>
                <w:szCs w:val="20"/>
                <w:color w:val="auto"/>
              </w:rPr>
            </w:pPr>
            <w:r>
              <w:rPr>
                <w:rFonts w:ascii="Arial" w:cs="Arial" w:eastAsia="Arial" w:hAnsi="Arial"/>
                <w:sz w:val="16"/>
                <w:szCs w:val="16"/>
                <w:color w:val="auto"/>
              </w:rPr>
              <w:t>Total nonaccrual loans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36,208</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35,341</w:t>
            </w:r>
          </w:p>
        </w:tc>
        <w:tc>
          <w:tcPr>
            <w:tcW w:w="146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Foreclosed properties/other real estate owned ("OREO")</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476</w:t>
            </w:r>
          </w:p>
        </w:tc>
        <w:tc>
          <w:tcPr>
            <w:tcW w:w="1460" w:type="dxa"/>
            <w:vAlign w:val="bottom"/>
            <w:tcBorders>
              <w:bottom w:val="single" w:sz="8" w:color="CCEEFF"/>
            </w:tcBorders>
            <w:shd w:val="clear" w:color="auto" w:fill="CCEEFF"/>
          </w:tcPr>
          <w:p>
            <w:pPr>
              <w:spacing w:after="0"/>
              <w:rPr>
                <w:sz w:val="23"/>
                <w:szCs w:val="23"/>
                <w:color w:val="auto"/>
              </w:rPr>
            </w:pPr>
          </w:p>
        </w:tc>
      </w:tr>
      <w:tr>
        <w:trPr>
          <w:trHeight w:val="284"/>
        </w:trPr>
        <w:tc>
          <w:tcPr>
            <w:tcW w:w="6860" w:type="dxa"/>
            <w:vAlign w:val="bottom"/>
            <w:tcBorders>
              <w:bottom w:val="single" w:sz="8" w:color="CCEEFF"/>
            </w:tcBorders>
          </w:tcPr>
          <w:p>
            <w:pPr>
              <w:ind w:left="1700"/>
              <w:spacing w:after="0"/>
              <w:rPr>
                <w:sz w:val="20"/>
                <w:szCs w:val="20"/>
                <w:color w:val="auto"/>
              </w:rPr>
            </w:pPr>
            <w:r>
              <w:rPr>
                <w:rFonts w:ascii="Arial" w:cs="Arial" w:eastAsia="Arial" w:hAnsi="Arial"/>
                <w:sz w:val="16"/>
                <w:szCs w:val="16"/>
                <w:color w:val="auto"/>
              </w:rPr>
              <w:t>Total NPAs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36,683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35,817</w:t>
            </w:r>
          </w:p>
        </w:tc>
        <w:tc>
          <w:tcPr>
            <w:tcW w:w="1460" w:type="dxa"/>
            <w:vAlign w:val="bottom"/>
            <w:tcBorders>
              <w:bottom w:val="single" w:sz="8" w:color="CCEEFF"/>
            </w:tcBorders>
          </w:tcPr>
          <w:p>
            <w:pPr>
              <w:spacing w:after="0"/>
              <w:rPr>
                <w:sz w:val="24"/>
                <w:szCs w:val="24"/>
                <w:color w:val="auto"/>
              </w:rPr>
            </w:pPr>
          </w:p>
        </w:tc>
      </w:tr>
      <w:tr>
        <w:trPr>
          <w:trHeight w:val="257"/>
        </w:trPr>
        <w:tc>
          <w:tcPr>
            <w:tcW w:w="6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37"/>
        </w:trPr>
        <w:tc>
          <w:tcPr>
            <w:tcW w:w="6860" w:type="dxa"/>
            <w:vAlign w:val="bottom"/>
          </w:tcPr>
          <w:p>
            <w:pPr>
              <w:ind w:left="1460"/>
              <w:spacing w:after="0"/>
              <w:rPr>
                <w:sz w:val="20"/>
                <w:szCs w:val="20"/>
                <w:color w:val="auto"/>
              </w:rPr>
            </w:pPr>
            <w:r>
              <w:rPr>
                <w:rFonts w:ascii="Arial" w:cs="Arial" w:eastAsia="Arial" w:hAnsi="Arial"/>
                <w:sz w:val="16"/>
                <w:szCs w:val="16"/>
                <w:color w:val="auto"/>
              </w:rPr>
              <w:t>Nonaccrual loans as a percentage of total loans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0.40%</w:t>
            </w:r>
          </w:p>
        </w:tc>
        <w:tc>
          <w:tcPr>
            <w:tcW w:w="146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NPAs as a percentage of total loans and OREO</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0.41</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6860" w:type="dxa"/>
            <w:vAlign w:val="bottom"/>
          </w:tcPr>
          <w:p>
            <w:pPr>
              <w:ind w:left="1460"/>
              <w:spacing w:after="0"/>
              <w:rPr>
                <w:sz w:val="20"/>
                <w:szCs w:val="20"/>
                <w:color w:val="auto"/>
              </w:rPr>
            </w:pPr>
            <w:r>
              <w:rPr>
                <w:rFonts w:ascii="Arial" w:cs="Arial" w:eastAsia="Arial" w:hAnsi="Arial"/>
                <w:sz w:val="16"/>
                <w:szCs w:val="16"/>
                <w:color w:val="auto"/>
              </w:rPr>
              <w:t>NPAs as a percentage of total assets</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0.28</w:t>
            </w:r>
          </w:p>
        </w:tc>
        <w:tc>
          <w:tcPr>
            <w:tcW w:w="1460" w:type="dxa"/>
            <w:vAlign w:val="bottom"/>
          </w:tcPr>
          <w:p>
            <w:pPr>
              <w:spacing w:after="0"/>
              <w:rPr>
                <w:sz w:val="20"/>
                <w:szCs w:val="20"/>
                <w:color w:val="auto"/>
              </w:rPr>
            </w:pPr>
          </w:p>
        </w:tc>
      </w:tr>
    </w:tbl>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2020 and December 31, 2019, we had $53.7 million and $54.2 million, respectively, in loans with terms that have been modified in TDRs. Included therein were $8.36 million and $8.25 million, respectively, of TDRs that were classified as nonaccrual and were included in nonperforming loans. The remaining TDRs with an aggregate balance of $45.3 million and $46.0 million, respectively, were performing according to their modified terms and were therefore not considered to be nonperforming assets. As previously mentioned, the CARES Act granted temporary relief from TDR classification for certain loans restructured as a result of COVID-19 that were otherwise performing prior to the pandemic. We expect a significant amount of payment deferral requests from our borrowers in the second quarter of 2020 related to the economic disruption created by COVID-19, most of which will be exempt from TDR classification</w:t>
      </w:r>
    </w:p>
    <w:p>
      <w:pPr>
        <w:sectPr>
          <w:pgSz w:w="11900" w:h="16838" w:orient="portrait"/>
          <w:cols w:equalWidth="0" w:num="1">
            <w:col w:w="11240"/>
          </w:cols>
          <w:pgMar w:left="320" w:top="557"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557" w:right="339" w:bottom="1440" w:gutter="0" w:footer="0" w:header="0"/>
          <w:type w:val="continuous"/>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in the short term. As of April 30, 2020, United had granted short-term deferrals on loans that were otherwise performing of approximately $1.40 billion, which included $164 million granted prior to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and December 31, 2019, we had debt securities held-to-maturity with a carrying amount of $290 million and $284 million, respectively, and debt securities available-for-sale totaling $2.25 billion and $2.27 billion, respectively. At March 31, 2020 and December 31, 2019, the securities portfolio represented approximately 19% and 20%, respectively, of total assets.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and asset-backed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CECL, our held-to-maturity securities portfolio was evaluated to assess whether an ACL was required. We measure expected credit losses on held-to-maturity debt securities on a collective basis by major security type. The estimate of expected credit losses considers historical credit loss information that is adjusted for current conditions and reasonable and supportable forecasts. At adoption on January 1, 2020 and at March 31, 2020, calculated credit losses on held-to-maturity debt securities were not material due to the high credit quality of the portfolio, which included securities issued or guaranteed by U.S. Government agencies and high credit quality municipal securities. As a result, we did not record an ACL for held-to-maturity securities at adoption or at March 31, 2020.</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available-for-sale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other comprehensive income. At March 31, 2020, there was no ACL related to the available-for-sale portfolio. Losses on fixed income securities at March 31, 2020 primarily reflected volatile market conditions resulting from uncertainty surrounding the impact of the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premium paid for acquired companies above the fair value of the assets acquired and liabilities assumed, including separately identifiable intangible assets. At March 31, 2020 and December 31, 2019, the net carrying value of goodwill was $327 million. Goodwill is not amortized but is assessed for impairment on an annual basis, or more often if events or circumstances indicate there may be impairment, referred to as a triggering event. Upon the occurrence of a triggering event, accounting guidance allows for an assessment of qualitative factors to determine whether it is more likely than not, or a greater than 50% likelihood, that the fair value of the entity is less than its carrying amount, including goodwill. When it is more likely than not that impairment has occurred, management is required to perform a quantitative analysis and, if necessary, adjust the carrying amount of goodwill by recording a goodwill impairment loss. During the first quarter of 2020, as a result of market concerns about the potential impact of COVID-19, our stock price declined such that it traded below book value for the latter part of the quarter. As a result of this triggering event, we have qualitatively assessed and concluded that there is not a greater than 50% likelihood that our fair value is less than our carrying amount as of March 31, 2020, given the short duration of change in macroeconomic conditions and excess of value as of the latest annual test performed as of September 30, 2019. We will continue to monitor and assess the impact of the pandemic on the our value and, should conditions be more severe and/or recovery extend for a longer period than currently anticipated, our assessment may change, which could necessitate the write-down or write-off of goodwill or other intangible assets.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557"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us to believe that any impairment existed on core deposit intangible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The following table sets forth the deposit composition for the periods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32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Noninterest-bearing demand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3,624,806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3,477,979</w:t>
            </w:r>
          </w:p>
        </w:tc>
        <w:tc>
          <w:tcPr>
            <w:tcW w:w="1440" w:type="dxa"/>
            <w:vAlign w:val="bottom"/>
            <w:tcBorders>
              <w:bottom w:val="single" w:sz="8" w:color="CCEEFF"/>
            </w:tcBorders>
            <w:shd w:val="clear" w:color="auto" w:fill="CCEEFF"/>
          </w:tcPr>
          <w:p>
            <w:pPr>
              <w:spacing w:after="0"/>
              <w:rPr>
                <w:sz w:val="20"/>
                <w:szCs w:val="20"/>
                <w:color w:val="auto"/>
              </w:rPr>
            </w:pPr>
          </w:p>
        </w:tc>
      </w:tr>
      <w:tr>
        <w:trPr>
          <w:trHeight w:val="237"/>
        </w:trPr>
        <w:tc>
          <w:tcPr>
            <w:tcW w:w="5520" w:type="dxa"/>
            <w:vAlign w:val="bottom"/>
          </w:tcPr>
          <w:p>
            <w:pPr>
              <w:ind w:left="1600"/>
              <w:spacing w:after="0"/>
              <w:rPr>
                <w:sz w:val="20"/>
                <w:szCs w:val="20"/>
                <w:color w:val="auto"/>
              </w:rPr>
            </w:pPr>
            <w:r>
              <w:rPr>
                <w:rFonts w:ascii="Arial" w:cs="Arial" w:eastAsia="Arial" w:hAnsi="Arial"/>
                <w:sz w:val="16"/>
                <w:szCs w:val="16"/>
                <w:color w:val="auto"/>
              </w:rPr>
              <w:t>NOW and interest-bearing demand</w:t>
            </w:r>
          </w:p>
        </w:tc>
        <w:tc>
          <w:tcPr>
            <w:tcW w:w="2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2,391,976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2,461,895</w:t>
            </w:r>
          </w:p>
        </w:tc>
        <w:tc>
          <w:tcPr>
            <w:tcW w:w="144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6"/>
                <w:szCs w:val="16"/>
                <w:color w:val="auto"/>
              </w:rPr>
              <w:t>Money market and savings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3,009,261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2,937,095</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1600"/>
              <w:spacing w:after="0"/>
              <w:rPr>
                <w:sz w:val="20"/>
                <w:szCs w:val="20"/>
                <w:color w:val="auto"/>
              </w:rPr>
            </w:pPr>
            <w:r>
              <w:rPr>
                <w:rFonts w:ascii="Arial" w:cs="Arial" w:eastAsia="Arial" w:hAnsi="Arial"/>
                <w:sz w:val="16"/>
                <w:szCs w:val="16"/>
                <w:color w:val="auto"/>
              </w:rPr>
              <w:t>Time</w:t>
            </w:r>
          </w:p>
        </w:tc>
        <w:tc>
          <w:tcPr>
            <w:tcW w:w="2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1,840,767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1,859,574</w:t>
            </w:r>
          </w:p>
        </w:tc>
        <w:tc>
          <w:tcPr>
            <w:tcW w:w="1440" w:type="dxa"/>
            <w:vAlign w:val="bottom"/>
          </w:tcPr>
          <w:p>
            <w:pPr>
              <w:spacing w:after="0"/>
              <w:rPr>
                <w:sz w:val="20"/>
                <w:szCs w:val="20"/>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6"/>
                <w:szCs w:val="16"/>
                <w:color w:val="auto"/>
              </w:rPr>
              <w:t>Total customer deposits</w:t>
            </w:r>
          </w:p>
        </w:tc>
        <w:tc>
          <w:tcPr>
            <w:tcW w:w="2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10,866,810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10,736,543</w:t>
            </w:r>
          </w:p>
        </w:tc>
        <w:tc>
          <w:tcPr>
            <w:tcW w:w="1440" w:type="dxa"/>
            <w:vAlign w:val="bottom"/>
            <w:tcBorders>
              <w:bottom w:val="single" w:sz="8" w:color="CCEEFF"/>
            </w:tcBorders>
            <w:shd w:val="clear" w:color="auto" w:fill="CCEEFF"/>
          </w:tcPr>
          <w:p>
            <w:pPr>
              <w:spacing w:after="0"/>
              <w:rPr>
                <w:sz w:val="20"/>
                <w:szCs w:val="20"/>
                <w:color w:val="auto"/>
              </w:rPr>
            </w:pPr>
          </w:p>
        </w:tc>
      </w:tr>
      <w:tr>
        <w:trPr>
          <w:trHeight w:val="237"/>
        </w:trPr>
        <w:tc>
          <w:tcPr>
            <w:tcW w:w="5520" w:type="dxa"/>
            <w:vAlign w:val="bottom"/>
          </w:tcPr>
          <w:p>
            <w:pPr>
              <w:ind w:left="1600"/>
              <w:spacing w:after="0"/>
              <w:rPr>
                <w:sz w:val="20"/>
                <w:szCs w:val="20"/>
                <w:color w:val="auto"/>
              </w:rPr>
            </w:pPr>
            <w:r>
              <w:rPr>
                <w:rFonts w:ascii="Arial" w:cs="Arial" w:eastAsia="Arial" w:hAnsi="Arial"/>
                <w:sz w:val="16"/>
                <w:szCs w:val="16"/>
                <w:color w:val="auto"/>
              </w:rPr>
              <w:t>Brokered deposits</w:t>
            </w:r>
          </w:p>
        </w:tc>
        <w:tc>
          <w:tcPr>
            <w:tcW w:w="2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168,116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160,701</w:t>
            </w:r>
          </w:p>
        </w:tc>
        <w:tc>
          <w:tcPr>
            <w:tcW w:w="1440" w:type="dxa"/>
            <w:vAlign w:val="bottom"/>
          </w:tcPr>
          <w:p>
            <w:pPr>
              <w:spacing w:after="0"/>
              <w:rPr>
                <w:sz w:val="20"/>
                <w:szCs w:val="20"/>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6"/>
                <w:szCs w:val="16"/>
                <w:color w:val="auto"/>
              </w:rPr>
              <w:t>Total deposits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11,034,926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10,897,244</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is a shareholder in the Federal Home Loan Bank of Atlanta (“FHLB”). Through this affiliation, we have ability to obtain short and long-term sources of funds through FHLB secured advances, of which there were none outstanding at March 31, 2020 and December 31, 2019. At March 31, 2020 and December 31, 2019, we had long-term debt outstanding of $213 million, which includes senior debentures, subordinated debentures, and trust preferred securities. Additional information regarding FHLB advances and long-term debt is provided in Notes 12 and 13, respectively, to the consolidated financial statements included in our 2019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21 to the consolidated financial statements included in our 2019 10-K for additional information on off-balance sheet arrangements.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55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We limit our exposure to fluctuations in interest rates through policies established by our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cannot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Interest Sensitivity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gridSpan w:val="8"/>
          </w:tcPr>
          <w:p>
            <w:pPr>
              <w:ind w:left="40"/>
              <w:spacing w:after="0"/>
              <w:rPr>
                <w:sz w:val="20"/>
                <w:szCs w:val="20"/>
                <w:color w:val="auto"/>
              </w:rPr>
            </w:pPr>
            <w:r>
              <w:rPr>
                <w:rFonts w:ascii="Arial" w:cs="Arial" w:eastAsia="Arial" w:hAnsi="Arial"/>
                <w:sz w:val="16"/>
                <w:szCs w:val="16"/>
                <w:b w:val="1"/>
                <w:bCs w:val="1"/>
                <w:color w:val="auto"/>
              </w:rPr>
              <w:t>Increase (Decrease) in Net Interest Revenue from Base Scenario at</w:t>
            </w:r>
          </w:p>
        </w:tc>
      </w:tr>
      <w:tr>
        <w:trPr>
          <w:trHeight w:val="33"/>
        </w:trPr>
        <w:tc>
          <w:tcPr>
            <w:tcW w:w="13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620" w:type="dxa"/>
            <w:vAlign w:val="bottom"/>
          </w:tcPr>
          <w:p>
            <w:pPr>
              <w:spacing w:after="0"/>
              <w:rPr>
                <w:sz w:val="2"/>
                <w:szCs w:val="2"/>
                <w:color w:val="auto"/>
              </w:rPr>
            </w:pPr>
          </w:p>
        </w:tc>
      </w:tr>
      <w:tr>
        <w:trPr>
          <w:trHeight w:val="217"/>
        </w:trPr>
        <w:tc>
          <w:tcPr>
            <w:tcW w:w="13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4"/>
          </w:tcPr>
          <w:p>
            <w:pPr>
              <w:ind w:left="600"/>
              <w:spacing w:after="0"/>
              <w:rPr>
                <w:sz w:val="20"/>
                <w:szCs w:val="20"/>
                <w:color w:val="auto"/>
              </w:rPr>
            </w:pPr>
            <w:r>
              <w:rPr>
                <w:rFonts w:ascii="Arial" w:cs="Arial" w:eastAsia="Arial" w:hAnsi="Arial"/>
                <w:sz w:val="16"/>
                <w:szCs w:val="16"/>
                <w:b w:val="1"/>
                <w:bCs w:val="1"/>
                <w:color w:val="auto"/>
              </w:rPr>
              <w:t>March 31, 2020</w:t>
            </w:r>
          </w:p>
        </w:tc>
        <w:tc>
          <w:tcPr>
            <w:tcW w:w="3880" w:type="dxa"/>
            <w:vAlign w:val="bottom"/>
            <w:gridSpan w:val="4"/>
          </w:tcPr>
          <w:p>
            <w:pPr>
              <w:ind w:left="480"/>
              <w:spacing w:after="0"/>
              <w:rPr>
                <w:sz w:val="20"/>
                <w:szCs w:val="20"/>
                <w:color w:val="auto"/>
              </w:rPr>
            </w:pPr>
            <w:r>
              <w:rPr>
                <w:rFonts w:ascii="Arial" w:cs="Arial" w:eastAsia="Arial" w:hAnsi="Arial"/>
                <w:sz w:val="16"/>
                <w:szCs w:val="16"/>
                <w:b w:val="1"/>
                <w:bCs w:val="1"/>
                <w:color w:val="auto"/>
              </w:rPr>
              <w:t>December 31, 2019</w:t>
            </w:r>
          </w:p>
        </w:tc>
      </w:tr>
      <w:tr>
        <w:trPr>
          <w:trHeight w:val="46"/>
        </w:trPr>
        <w:tc>
          <w:tcPr>
            <w:tcW w:w="1300" w:type="dxa"/>
            <w:vAlign w:val="bottom"/>
          </w:tcPr>
          <w:p>
            <w:pPr>
              <w:spacing w:after="0"/>
              <w:rPr>
                <w:sz w:val="4"/>
                <w:szCs w:val="4"/>
                <w:color w:val="auto"/>
              </w:rPr>
            </w:pPr>
          </w:p>
        </w:tc>
        <w:tc>
          <w:tcPr>
            <w:tcW w:w="3680" w:type="dxa"/>
            <w:vAlign w:val="bottom"/>
            <w:gridSpan w:val="2"/>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20" w:type="dxa"/>
            <w:vAlign w:val="bottom"/>
          </w:tcPr>
          <w:p>
            <w:pPr>
              <w:spacing w:after="0"/>
              <w:rPr>
                <w:sz w:val="4"/>
                <w:szCs w:val="4"/>
                <w:color w:val="auto"/>
              </w:rPr>
            </w:pPr>
          </w:p>
        </w:tc>
      </w:tr>
      <w:tr>
        <w:trPr>
          <w:trHeight w:val="230"/>
        </w:trPr>
        <w:tc>
          <w:tcPr>
            <w:tcW w:w="1300" w:type="dxa"/>
            <w:vAlign w:val="bottom"/>
          </w:tcPr>
          <w:p>
            <w:pPr>
              <w:spacing w:after="0"/>
              <w:rPr>
                <w:sz w:val="20"/>
                <w:szCs w:val="20"/>
                <w:color w:val="auto"/>
              </w:rPr>
            </w:pPr>
          </w:p>
        </w:tc>
        <w:tc>
          <w:tcPr>
            <w:tcW w:w="3680" w:type="dxa"/>
            <w:vAlign w:val="bottom"/>
            <w:gridSpan w:val="2"/>
          </w:tcPr>
          <w:p>
            <w:pPr>
              <w:ind w:left="1220"/>
              <w:spacing w:after="0"/>
              <w:rPr>
                <w:sz w:val="20"/>
                <w:szCs w:val="20"/>
                <w:color w:val="auto"/>
              </w:rPr>
            </w:pPr>
            <w:r>
              <w:rPr>
                <w:rFonts w:ascii="Arial" w:cs="Arial" w:eastAsia="Arial" w:hAnsi="Arial"/>
                <w:sz w:val="16"/>
                <w:szCs w:val="16"/>
                <w:b w:val="1"/>
                <w:bCs w:val="1"/>
                <w:color w:val="auto"/>
              </w:rPr>
              <w:t>Change in Rates</w:t>
            </w:r>
          </w:p>
        </w:tc>
        <w:tc>
          <w:tcPr>
            <w:tcW w:w="1180" w:type="dxa"/>
            <w:vAlign w:val="bottom"/>
            <w:gridSpan w:val="2"/>
          </w:tcPr>
          <w:p>
            <w:pPr>
              <w:ind w:left="320"/>
              <w:spacing w:after="0"/>
              <w:rPr>
                <w:sz w:val="20"/>
                <w:szCs w:val="20"/>
                <w:color w:val="auto"/>
              </w:rPr>
            </w:pPr>
            <w:r>
              <w:rPr>
                <w:rFonts w:ascii="Arial" w:cs="Arial" w:eastAsia="Arial" w:hAnsi="Arial"/>
                <w:sz w:val="16"/>
                <w:szCs w:val="16"/>
                <w:b w:val="1"/>
                <w:bCs w:val="1"/>
                <w:color w:val="auto"/>
              </w:rPr>
              <w:t>Shock</w:t>
            </w:r>
          </w:p>
        </w:tc>
        <w:tc>
          <w:tcPr>
            <w:tcW w:w="1200" w:type="dxa"/>
            <w:vAlign w:val="bottom"/>
            <w:gridSpan w:val="2"/>
          </w:tcPr>
          <w:p>
            <w:pPr>
              <w:ind w:left="340"/>
              <w:spacing w:after="0"/>
              <w:rPr>
                <w:sz w:val="20"/>
                <w:szCs w:val="20"/>
                <w:color w:val="auto"/>
              </w:rPr>
            </w:pPr>
            <w:r>
              <w:rPr>
                <w:rFonts w:ascii="Arial" w:cs="Arial" w:eastAsia="Arial" w:hAnsi="Arial"/>
                <w:sz w:val="16"/>
                <w:szCs w:val="16"/>
                <w:b w:val="1"/>
                <w:bCs w:val="1"/>
                <w:color w:val="auto"/>
              </w:rPr>
              <w:t>Ramp</w:t>
            </w:r>
          </w:p>
        </w:tc>
        <w:tc>
          <w:tcPr>
            <w:tcW w:w="1180" w:type="dxa"/>
            <w:vAlign w:val="bottom"/>
            <w:gridSpan w:val="2"/>
          </w:tcPr>
          <w:p>
            <w:pPr>
              <w:ind w:left="320"/>
              <w:spacing w:after="0"/>
              <w:rPr>
                <w:sz w:val="20"/>
                <w:szCs w:val="20"/>
                <w:color w:val="auto"/>
              </w:rPr>
            </w:pPr>
            <w:r>
              <w:rPr>
                <w:rFonts w:ascii="Arial" w:cs="Arial" w:eastAsia="Arial" w:hAnsi="Arial"/>
                <w:sz w:val="16"/>
                <w:szCs w:val="16"/>
                <w:b w:val="1"/>
                <w:bCs w:val="1"/>
                <w:color w:val="auto"/>
              </w:rPr>
              <w:t>Shock</w:t>
            </w:r>
          </w:p>
        </w:tc>
        <w:tc>
          <w:tcPr>
            <w:tcW w:w="2700" w:type="dxa"/>
            <w:vAlign w:val="bottom"/>
            <w:gridSpan w:val="2"/>
          </w:tcPr>
          <w:p>
            <w:pPr>
              <w:ind w:left="320"/>
              <w:spacing w:after="0"/>
              <w:rPr>
                <w:sz w:val="20"/>
                <w:szCs w:val="20"/>
                <w:color w:val="auto"/>
              </w:rPr>
            </w:pPr>
            <w:r>
              <w:rPr>
                <w:rFonts w:ascii="Arial" w:cs="Arial" w:eastAsia="Arial" w:hAnsi="Arial"/>
                <w:sz w:val="16"/>
                <w:szCs w:val="16"/>
                <w:b w:val="1"/>
                <w:bCs w:val="1"/>
                <w:color w:val="auto"/>
              </w:rPr>
              <w:t>Ramp</w:t>
            </w:r>
          </w:p>
        </w:tc>
      </w:tr>
      <w:tr>
        <w:trPr>
          <w:trHeight w:val="33"/>
        </w:trPr>
        <w:tc>
          <w:tcPr>
            <w:tcW w:w="130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30"/>
        </w:trPr>
        <w:tc>
          <w:tcPr>
            <w:tcW w:w="13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increase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1620" w:type="dxa"/>
            <w:vAlign w:val="bottom"/>
          </w:tcPr>
          <w:p>
            <w:pPr>
              <w:spacing w:after="0"/>
              <w:rPr>
                <w:sz w:val="20"/>
                <w:szCs w:val="20"/>
                <w:color w:val="auto"/>
              </w:rPr>
            </w:pPr>
          </w:p>
        </w:tc>
      </w:tr>
    </w:tbl>
    <w:p>
      <w:pPr>
        <w:spacing w:after="0" w:line="2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553"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Holding Company liquidity is managed to a minimum of 15-months of positive cash flow after considering all of its liquidity needs over this period.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2020, we had sufficient qualifying collateral to provide borrowing capacity for FHLB advances of $1.42 billion and Federal Reserve discount window borrowing capacity of $1.49 billion, as well as unpledged investment securities of $1.98 billion that could be used as collateral for additional borrowings. In addition to these wholesale sources, we have the ability to attract retail deposits by competing more aggressively on pricing. In the second quarter of 2020, we expect to fund a significant amount of PPP loans, primarily by participating in the Paycheck Protection Program Lending Facility (“PPPLF”) announced by the Federal Reserve in April of 2020. Subsequent to quarter-end and through May 1, 2020, United had received SBA authorization for 11,256 PPP loans totaling $1.20 billion.</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disclosed in the consolidated statement of cash flows, net cash used in operating activities was $10.8 million for the three months ended March 31, 2020. Net income of $31.9 million for the three-month period included non-cash expenses for the following: deferred income tax expense of $1.29 million, depreciation, amortization and accretion of $1.89 million, provision expense of $22.2 million and stock-based compensation expense of $2.49 million. Uses of cash from operating activities included an increase in other assets and accrued interest receivable of $45.9 million and an increase in loans held for sale of $31.5 million, partially offset by an increase in accrued expenses and other liabilities of $8.46 million. Net cash used in investing activities of $85.0 million included a $110 million net increase in loans, $70.1 million in purchases of debt securities available-for-sale and equity securities, purchases of debt securities held-to-maturity of $16.0 million, and $2.60 million in purchases of premises and equipment. These uses of cash were partially offset by $105 million in proceeds from maturities and calls of debt securities available-for-sale and equity securities and $9.09 million in proceeds from maturities and calls of debt securities held-to-maturity. Net cash provided by financing activities of $101 million consisted primarily of a net increase in deposits of $138 million, which was partially offset by the payment of cash dividends of $14.5 million and the repurchases of our common stock of $20.8 million. In the opinion of management, our liquidity position at March 31, 2020, was sufficient to meet our expected cash flow requirements.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55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equity at March 31, 2020 was $1.64 billion, an increase of $4.92 million from December 31, 2019 due to year-to-date earnings less dividends declared and an increase in the value of available-for-sale securities, partially offset by $20.8 million in share repurchases.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Through the CARES Act, federal banking regulatory agencies have provided relief, which we have adopted, for the delay of the adverse capital impact of CECL for the two-year period after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shows capital ratios, as calculated under applicable regulatory guidelines, at March 31, 2020 and December 31, 2019. As of March 31, 2020, capital levels remained characterized as “well-capitalized” under the Basel III Capital Rules in effect at the time.</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Additional information related to capital ratios, as calculated under regulatory guidelines, as of March 31, 2020 and December 31, 2019, is provided in Note 12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ind w:left="260"/>
              <w:spacing w:after="0"/>
              <w:rPr>
                <w:sz w:val="20"/>
                <w:szCs w:val="20"/>
                <w:color w:val="auto"/>
              </w:rPr>
            </w:pPr>
            <w:r>
              <w:rPr>
                <w:rFonts w:ascii="Arial" w:cs="Arial" w:eastAsia="Arial" w:hAnsi="Arial"/>
                <w:sz w:val="14"/>
                <w:szCs w:val="14"/>
                <w:b w:val="1"/>
                <w:bCs w:val="1"/>
                <w:color w:val="auto"/>
              </w:rPr>
              <w:t>United Community Banks, Inc.</w:t>
            </w:r>
          </w:p>
        </w:tc>
        <w:tc>
          <w:tcPr>
            <w:tcW w:w="23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United Community Bank</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6"/>
                <w:szCs w:val="16"/>
                <w:color w:val="auto"/>
              </w:rPr>
            </w:pPr>
          </w:p>
        </w:tc>
        <w:tc>
          <w:tcPr>
            <w:tcW w:w="23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Well</w:t>
            </w:r>
          </w:p>
        </w:tc>
        <w:tc>
          <w:tcPr>
            <w:tcW w:w="19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Minimum Capital Plus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Minimum</w:t>
            </w:r>
          </w:p>
        </w:tc>
        <w:tc>
          <w:tcPr>
            <w:tcW w:w="114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Capital Conservation</w:t>
            </w: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2020</w:t>
            </w:r>
          </w:p>
        </w:tc>
        <w:tc>
          <w:tcPr>
            <w:tcW w:w="1260" w:type="dxa"/>
            <w:vAlign w:val="bottom"/>
            <w:gridSpan w:val="2"/>
            <w:vMerge w:val="continue"/>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Capitalized</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Buffer</w:t>
            </w:r>
          </w:p>
        </w:tc>
        <w:tc>
          <w:tcPr>
            <w:tcW w:w="1240" w:type="dxa"/>
            <w:vAlign w:val="bottom"/>
            <w:gridSpan w:val="2"/>
            <w:vMerge w:val="continue"/>
          </w:tcPr>
          <w:p>
            <w:pPr>
              <w:spacing w:after="0"/>
              <w:rPr>
                <w:sz w:val="16"/>
                <w:szCs w:val="16"/>
                <w:color w:val="auto"/>
              </w:rPr>
            </w:pPr>
          </w:p>
        </w:tc>
        <w:tc>
          <w:tcPr>
            <w:tcW w:w="1140" w:type="dxa"/>
            <w:vAlign w:val="bottom"/>
          </w:tcPr>
          <w:p>
            <w:pPr>
              <w:ind w:left="4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Risk-based ratios:</w:t>
            </w: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Common equity tier 1 capital</w:t>
            </w:r>
          </w:p>
        </w:tc>
        <w:tc>
          <w:tcPr>
            <w:tcW w:w="1020" w:type="dxa"/>
            <w:vAlign w:val="bottom"/>
          </w:tcPr>
          <w:p>
            <w:pPr>
              <w:ind w:left="700"/>
              <w:spacing w:after="0"/>
              <w:rPr>
                <w:sz w:val="20"/>
                <w:szCs w:val="20"/>
                <w:color w:val="auto"/>
              </w:rPr>
            </w:pPr>
            <w:r>
              <w:rPr>
                <w:rFonts w:ascii="Arial" w:cs="Arial" w:eastAsia="Arial" w:hAnsi="Arial"/>
                <w:sz w:val="14"/>
                <w:szCs w:val="14"/>
                <w:color w:val="auto"/>
                <w:w w:val="93"/>
              </w:rPr>
              <w:t>4.5%</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140" w:type="dxa"/>
            <w:vAlign w:val="bottom"/>
          </w:tcPr>
          <w:p>
            <w:pPr>
              <w:ind w:left="660"/>
              <w:spacing w:after="0"/>
              <w:rPr>
                <w:sz w:val="20"/>
                <w:szCs w:val="20"/>
                <w:color w:val="auto"/>
              </w:rPr>
            </w:pPr>
            <w:r>
              <w:rPr>
                <w:rFonts w:ascii="Arial" w:cs="Arial" w:eastAsia="Arial" w:hAnsi="Arial"/>
                <w:sz w:val="14"/>
                <w:szCs w:val="14"/>
                <w:color w:val="auto"/>
                <w:w w:val="96"/>
              </w:rPr>
              <w:t>12.85%</w:t>
            </w:r>
          </w:p>
        </w:tc>
        <w:tc>
          <w:tcPr>
            <w:tcW w:w="100" w:type="dxa"/>
            <w:vAlign w:val="bottom"/>
          </w:tcPr>
          <w:p>
            <w:pPr>
              <w:spacing w:after="0"/>
              <w:rPr>
                <w:sz w:val="22"/>
                <w:szCs w:val="22"/>
                <w:color w:val="auto"/>
              </w:rPr>
            </w:pPr>
          </w:p>
        </w:tc>
        <w:tc>
          <w:tcPr>
            <w:tcW w:w="1140" w:type="dxa"/>
            <w:vAlign w:val="bottom"/>
          </w:tcPr>
          <w:p>
            <w:pPr>
              <w:ind w:left="680"/>
              <w:spacing w:after="0"/>
              <w:rPr>
                <w:sz w:val="20"/>
                <w:szCs w:val="20"/>
                <w:color w:val="auto"/>
              </w:rPr>
            </w:pPr>
            <w:r>
              <w:rPr>
                <w:rFonts w:ascii="Arial" w:cs="Arial" w:eastAsia="Arial" w:hAnsi="Arial"/>
                <w:sz w:val="14"/>
                <w:szCs w:val="14"/>
                <w:color w:val="auto"/>
                <w:w w:val="92"/>
              </w:rPr>
              <w:t>12.97%</w:t>
            </w:r>
          </w:p>
        </w:tc>
        <w:tc>
          <w:tcPr>
            <w:tcW w:w="120" w:type="dxa"/>
            <w:vAlign w:val="bottom"/>
          </w:tcPr>
          <w:p>
            <w:pPr>
              <w:spacing w:after="0"/>
              <w:rPr>
                <w:sz w:val="22"/>
                <w:szCs w:val="22"/>
                <w:color w:val="auto"/>
              </w:rPr>
            </w:pPr>
          </w:p>
        </w:tc>
        <w:tc>
          <w:tcPr>
            <w:tcW w:w="1120" w:type="dxa"/>
            <w:vAlign w:val="bottom"/>
          </w:tcPr>
          <w:p>
            <w:pPr>
              <w:ind w:left="660"/>
              <w:spacing w:after="0"/>
              <w:rPr>
                <w:sz w:val="20"/>
                <w:szCs w:val="20"/>
                <w:color w:val="auto"/>
              </w:rPr>
            </w:pPr>
            <w:r>
              <w:rPr>
                <w:rFonts w:ascii="Arial" w:cs="Arial" w:eastAsia="Arial" w:hAnsi="Arial"/>
                <w:sz w:val="14"/>
                <w:szCs w:val="14"/>
                <w:color w:val="auto"/>
                <w:w w:val="92"/>
              </w:rPr>
              <w:t>13.58%</w:t>
            </w:r>
          </w:p>
        </w:tc>
        <w:tc>
          <w:tcPr>
            <w:tcW w:w="120" w:type="dxa"/>
            <w:vAlign w:val="bottom"/>
          </w:tcPr>
          <w:p>
            <w:pPr>
              <w:spacing w:after="0"/>
              <w:rPr>
                <w:sz w:val="22"/>
                <w:szCs w:val="22"/>
                <w:color w:val="auto"/>
              </w:rPr>
            </w:pPr>
          </w:p>
        </w:tc>
        <w:tc>
          <w:tcPr>
            <w:tcW w:w="1140" w:type="dxa"/>
            <w:vAlign w:val="bottom"/>
          </w:tcPr>
          <w:p>
            <w:pPr>
              <w:ind w:left="660"/>
              <w:spacing w:after="0"/>
              <w:rPr>
                <w:sz w:val="20"/>
                <w:szCs w:val="20"/>
                <w:color w:val="auto"/>
              </w:rPr>
            </w:pPr>
            <w:r>
              <w:rPr>
                <w:rFonts w:ascii="Arial" w:cs="Arial" w:eastAsia="Arial" w:hAnsi="Arial"/>
                <w:sz w:val="14"/>
                <w:szCs w:val="14"/>
                <w:color w:val="auto"/>
                <w:w w:val="96"/>
              </w:rPr>
              <w:t>14.87%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Tier 1 capital</w:t>
            </w:r>
          </w:p>
        </w:tc>
        <w:tc>
          <w:tcPr>
            <w:tcW w:w="10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64"/>
        </w:trPr>
        <w:tc>
          <w:tcPr>
            <w:tcW w:w="2180" w:type="dxa"/>
            <w:vAlign w:val="bottom"/>
          </w:tcPr>
          <w:p>
            <w:pPr>
              <w:ind w:left="180"/>
              <w:spacing w:after="0"/>
              <w:rPr>
                <w:sz w:val="20"/>
                <w:szCs w:val="20"/>
                <w:color w:val="auto"/>
              </w:rPr>
            </w:pPr>
            <w:r>
              <w:rPr>
                <w:rFonts w:ascii="Arial" w:cs="Arial" w:eastAsia="Arial" w:hAnsi="Arial"/>
                <w:sz w:val="14"/>
                <w:szCs w:val="14"/>
                <w:color w:val="auto"/>
              </w:rPr>
              <w:t>Total capital</w:t>
            </w:r>
          </w:p>
        </w:tc>
        <w:tc>
          <w:tcPr>
            <w:tcW w:w="1020" w:type="dxa"/>
            <w:vAlign w:val="bottom"/>
          </w:tcPr>
          <w:p>
            <w:pPr>
              <w:ind w:left="700"/>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140" w:type="dxa"/>
            <w:vAlign w:val="bottom"/>
          </w:tcPr>
          <w:p>
            <w:pPr>
              <w:ind w:left="660"/>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22"/>
                <w:szCs w:val="22"/>
                <w:color w:val="auto"/>
              </w:rPr>
            </w:pPr>
          </w:p>
        </w:tc>
        <w:tc>
          <w:tcPr>
            <w:tcW w:w="1140" w:type="dxa"/>
            <w:vAlign w:val="bottom"/>
          </w:tcPr>
          <w:p>
            <w:pPr>
              <w:ind w:left="680"/>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22"/>
                <w:szCs w:val="22"/>
                <w:color w:val="auto"/>
              </w:rPr>
            </w:pPr>
          </w:p>
        </w:tc>
        <w:tc>
          <w:tcPr>
            <w:tcW w:w="1120" w:type="dxa"/>
            <w:vAlign w:val="bottom"/>
          </w:tcPr>
          <w:p>
            <w:pPr>
              <w:ind w:left="660"/>
              <w:spacing w:after="0"/>
              <w:rPr>
                <w:sz w:val="20"/>
                <w:szCs w:val="20"/>
                <w:color w:val="auto"/>
              </w:rPr>
            </w:pPr>
            <w:r>
              <w:rPr>
                <w:rFonts w:ascii="Arial" w:cs="Arial" w:eastAsia="Arial" w:hAnsi="Arial"/>
                <w:sz w:val="14"/>
                <w:szCs w:val="14"/>
                <w:color w:val="auto"/>
              </w:rPr>
              <w:t>14.30</w:t>
            </w:r>
          </w:p>
        </w:tc>
        <w:tc>
          <w:tcPr>
            <w:tcW w:w="120" w:type="dxa"/>
            <w:vAlign w:val="bottom"/>
          </w:tcPr>
          <w:p>
            <w:pPr>
              <w:spacing w:after="0"/>
              <w:rPr>
                <w:sz w:val="22"/>
                <w:szCs w:val="22"/>
                <w:color w:val="auto"/>
              </w:rPr>
            </w:pPr>
          </w:p>
        </w:tc>
        <w:tc>
          <w:tcPr>
            <w:tcW w:w="1140" w:type="dxa"/>
            <w:vAlign w:val="bottom"/>
          </w:tcPr>
          <w:p>
            <w:pPr>
              <w:ind w:left="660"/>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Leverage ratio</w:t>
            </w:r>
          </w:p>
        </w:tc>
        <w:tc>
          <w:tcPr>
            <w:tcW w:w="10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1400"/>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10.34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769" w:right="339" w:bottom="1440" w:gutter="0" w:footer="0" w:header="0"/>
        </w:sectPr>
      </w:pPr>
    </w:p>
    <w:bookmarkStart w:id="58" w:name="page59"/>
    <w:bookmarkEnd w:id="58"/>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Except as set forth in the following sentence, which incorporates certain information by reference, there have been no material changes in our market risk as of March 31, 2020 from that presented in our 2019 10-K. The interest rate sensitivity position at March 31, 2020 is included in Table 10 in Part I - Item 2 - “Management’s Discussion and Analysis of Financial Condition and Results of Operations” of this Quarterly Report on Form 10-Q.</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656"/>
        <w:spacing w:after="0" w:line="259" w:lineRule="auto"/>
        <w:tabs>
          <w:tab w:leader="none" w:pos="89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principal financial officer, we conducted an evaluation of our disclosure controls and procedures (as such term is defined in Exchange Act Rule 13a-15(e)) as of March 31, 2020. Based on, that evaluation, our principal executive officer and chief financial officer concluded that our disclosure controls and procedures were effective as of the end of the period covered by this report.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03"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March 31, 2020 that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553" w:right="339" w:bottom="1440"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in shares of our common stock involves certain risks, including those identified and described in Part I, Item 1A. of our 2019 10-K, as well as cautionary statements contained in this Quarterly Report on Form 10-Q, including those under the caption “Cautionary Note Regarding Forward-Looking Statements,” and risks and matters described elsewhere in this Quarterly Report on Form 10-Q and in our other filings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these additional risk factors to supplement the risk factors contained in Part I, Item 1A. of our 2019 10-K.</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The COVID-19 pandemic has disrupted and adversely affected our business and results of operations, and the ultimate impacts of the pandemic on our business, financial condition and results of operations will depend on future developments and other factors that are highly uncertain and will be impacted by the scope and duration of the pandemic and actions taken by governmental authorities in response to the pandemic.</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ongoing COVID-19 pandemic has caused and will continue to cause significant disruption in the international and United States economies and financial markets and has had an adverse effect on our business and results of operations. The spread of COVID-19 has caused illness, quarantines, cancellation of events and travel, business and school shutdowns, reduction in business activity and financial transactions, supply chain interruptions, and overall economic and financial market instability. In response to the COVID-19 pandemic, the governments of the states in which we have branches, and most other states, have taken preventative or protective actions, such as imposing restrictions on travel and business operations, advising or requiring individuals to limit or forego their time outside of their homes, and ordering temporary closures of businesses that have been deemed to be non-essential. These restrictions and other consequences of the pandemic have resulted in significant adverse effects for many different types of businesses, including, among others, those in the hospitality (including hotels and lodging) and restaurant industries, and have resulted in a significant number of layoffs and furloughs of employees nationwide and in the regions in which we operate.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ultimate effects of the COVID-19 pandemic on the broader economy and the markets that we serve are not known, nor is the ultimate length of the restrictions described above and any accompanying effects. Moreover, the Federal Reserve has taken action to lower the Federal Funds rate, which may negatively affect our interest income and, therefore, earnings, financial condition, and results of operation. Additional impacts of the COVID-19 pandemic on our business could be widespread and material, and may include, or exacerbate, among other consequences, any of the risk factors described in the 2019 10-K or any of the following:</w:t>
      </w:r>
    </w:p>
    <w:p>
      <w:pPr>
        <w:spacing w:after="0" w:line="18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employees contracting COVID-19;</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in operating effectiveness as employees work from home;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work stoppage, forced quarantine, or other interruption of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key personnel necessary to conduct our business activities;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on key employees, including operational management personnel and those charged with preparing, monitoring, and evaluating our financial reporting and internal controls;</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cybersecurity risks as a result of many of our employees working remotely;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sustained closures of branch lobbies or the offices or businesses of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demand for loans and other banking services and products;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consumer spending due to job losses and other effects attributable to the COVID-19 pandemic;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unprecedented volatility in United States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volatile performance of our investment securities portfolio;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in the credit quality of our loan portfolio resulting from the effects of the COVID-19 pandemic in our markets, leading to a need to increase the allowance for credit losses or loan losses, as applicable;</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the allowance for credit losses resulting from CECL, either alone or as affected by the impact of COVID-19;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value of collateral for loans, including real estate collateral;</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net worth and liquidity of borrowers and loan guarantors, impairing their ability to honor commitments to us, which may affect, among other things, the levels of non-performing assets, charge-offs, and provision expense;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553" w:right="339" w:bottom="1440" w:gutter="0" w:footer="0" w:header="0"/>
        </w:sectPr>
      </w:pPr>
    </w:p>
    <w:bookmarkStart w:id="60" w:name="page61"/>
    <w:bookmarkEnd w:id="60"/>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declines in demand resulting from businesses deemed to be “non-essential” by governments in the markets that we serve, and from both “non-essential” and “essential” businesses suffering adverse effects from reduced levels of economic activity.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factors, together or in combination with other events or occurrences that may not yet be known or anticipated, may materially and adversely affect our business, financial condition, and results of operations.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ongoing COVID-19 pandemic has resulted in meaningfully lower stock prices for many companies, as well as the trading prices for many other securities. The further spread of COVID-19, as well as ongoing or new governmental, regulatory, and private sector responses to the pandemic, may materially disrupt banking and other economic activity generally and in the areas in which we operate. This could result in further decline in demand for our banking products and services, and could negatively impact, among other things, our liquidity, regulatory capital, and our growth strategy. Any one or more of these developments could have a material adverse effect on our business, financial condition, and results of operations.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taking precautions to protect the safety and well-being of our employees and customers. However, if we experience a prolonged disruption in our employees’ ability to provide customer support and service, our business, financial condition, and results of operation could be materially and adversely affected. In addition, our financial performance generally, and in particular the ability of borrowers to pay interest and repay principal of outstanding loans, the value of collateral securing those loans, and the demand for loans and other products and services that we offer, is highly dependent upon the business environment in the primary markets in which we operate and in the United States as a whole. Unfavorable market conditions and uncertainty due to the coronavirus pandemic may result in a deterioration in the credit quality of borrowers, an increase in the number of loan delinquencies, defaults, and charge-offs, additional provisions for loan losses, adverse asset values of the collateral securing loans, and an overall material adverse effect on the quality of our loan portfolio. Moreover, the duration of the coronavirus pandemic and its corresponding impact on unfavorable and uncertain economic conditions is unknown and highly uncertain.</w:t>
      </w:r>
    </w:p>
    <w:p>
      <w:pPr>
        <w:spacing w:after="0" w:line="17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As a participating lender in the SBA Paycheck Protection Program (“PPP”), the Company and the Bank are subject to litigation risk regarding the Bank’s processing of loans for the PPP, reputational risk, and risk that the SBA may not fund some or all PPP loan guaranties.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On March 27, 2020, President Trump signed the CARES Act, which included a $349 billion loan program administered through the SBA referred to as the</w:t>
      </w:r>
    </w:p>
    <w:p>
      <w:pPr>
        <w:spacing w:after="0" w:line="46" w:lineRule="exact"/>
        <w:rPr>
          <w:sz w:val="20"/>
          <w:szCs w:val="20"/>
          <w:color w:val="auto"/>
        </w:rPr>
      </w:pPr>
    </w:p>
    <w:p>
      <w:pPr>
        <w:jc w:val="both"/>
        <w:ind w:firstLine="8"/>
        <w:spacing w:after="0" w:line="295" w:lineRule="auto"/>
        <w:tabs>
          <w:tab w:leader="none" w:pos="3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$349 billion in funds for the PPP was exhausted on April 16, 2020. On April 27, 2020, the program was reopened with an additional $310 billion approved by Congress. Under the PPP, small businesses and other entities and individuals can apply for loans from existing SBA lenders and other approved regulated lenders that enroll in the program, subject to detailed qualifications and eligibility criteria. The Bank is participating as a lender in the PPP. Under the PPP, we obtained SBA authorization for 11,256 loans for $1.20 billion in the aggregate through May 1, 2020.</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of the short timeframe between the passing of the CARES Act and implementation of the PPP, some of the rules and guidance relating to PPP were issued after lenders began processing PPP applications. Also, there was and continues to be uncertainty in the laws, rules, and guidance relating to the</w:t>
      </w:r>
    </w:p>
    <w:p>
      <w:pPr>
        <w:jc w:val="both"/>
        <w:ind w:firstLine="8"/>
        <w:spacing w:after="0" w:line="287" w:lineRule="auto"/>
        <w:tabs>
          <w:tab w:leader="none" w:pos="3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Since the opening of the PPP, several banks have been subject to litigation regarding the procedures used in processing PPP applications. In addition, some banks and borrowers have received negative media attention associated with PPP loans. Although we monitored all PPP laws, regulations, and guidance and believe that we implemented all requirements upon issuance of such laws, regulations, and guidance, the Company and the Bank may be exposed to litigation risk and/or negative media attention regarding the processing of PPP applications, funding of PPP loans, and the future servicing and forgiveness of PPP loans. If any such litigation is filed against the Company or the Bank and is not resolved in a manner favorable to the Company or the Bank, it may result in significant financial liability or adversely affect the Company’s reputation. In addition, litigation can be costly, regardless of outcome. Any financial liability, litigation costs, or reputational damage caused by PPP related litigation or media attention could have a material adverse impact on our business, financial condition, and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also has credit risk on PPP loans if the SBA determines that there is a deficiency in the manner in which any loans were originated, funded, or serviced by the Bank, including any issue with the eligibility of a borrower to receive a PPP loan. In the event of a loss resulting from a default on a PPP loan and a determination by the SBA that there was a deficiency in the manner in which the PPP loan was originated, funded, or serviced by the Bank, the SBA may deny its liability under the guaranty, reduce the amount of the guaranty, or, if the SBA has already paid under the guaranty, seek recovery of any loss related to the deficiency from the Bank.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information regarding purchases of our common stock made during the quarter ended March 31, 2020 by or on behalf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United or any “affiliated purchaser,” as defined by Rule 10b-18(a)(3) of the Exchange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7"/>
                <w:szCs w:val="17"/>
                <w:color w:val="auto"/>
              </w:rPr>
            </w:pPr>
          </w:p>
        </w:tc>
        <w:tc>
          <w:tcPr>
            <w:tcW w:w="2500" w:type="dxa"/>
            <w:vAlign w:val="bottom"/>
          </w:tcPr>
          <w:p>
            <w:pPr>
              <w:jc w:val="center"/>
              <w:ind w:right="199"/>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Purchased</w:t>
            </w:r>
          </w:p>
        </w:tc>
        <w:tc>
          <w:tcPr>
            <w:tcW w:w="300" w:type="dxa"/>
            <w:vAlign w:val="bottom"/>
          </w:tcPr>
          <w:p>
            <w:pPr>
              <w:spacing w:after="0"/>
              <w:rPr>
                <w:sz w:val="17"/>
                <w:szCs w:val="17"/>
                <w:color w:val="auto"/>
              </w:rPr>
            </w:pPr>
          </w:p>
        </w:tc>
        <w:tc>
          <w:tcPr>
            <w:tcW w:w="2500" w:type="dxa"/>
            <w:vAlign w:val="bottom"/>
          </w:tcPr>
          <w:p>
            <w:pPr>
              <w:jc w:val="center"/>
              <w:ind w:right="21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as Part of Publicly</w:t>
            </w:r>
          </w:p>
        </w:tc>
        <w:tc>
          <w:tcPr>
            <w:tcW w:w="300" w:type="dxa"/>
            <w:vAlign w:val="bottom"/>
          </w:tcPr>
          <w:p>
            <w:pPr>
              <w:spacing w:after="0"/>
              <w:rPr>
                <w:sz w:val="17"/>
                <w:szCs w:val="17"/>
                <w:color w:val="auto"/>
              </w:rPr>
            </w:pPr>
          </w:p>
        </w:tc>
        <w:tc>
          <w:tcPr>
            <w:tcW w:w="2500" w:type="dxa"/>
            <w:vAlign w:val="bottom"/>
          </w:tcPr>
          <w:p>
            <w:pPr>
              <w:jc w:val="center"/>
              <w:ind w:right="219"/>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Price Paid</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Announced Plans</w:t>
            </w:r>
          </w:p>
        </w:tc>
        <w:tc>
          <w:tcPr>
            <w:tcW w:w="300" w:type="dxa"/>
            <w:vAlign w:val="bottom"/>
          </w:tcPr>
          <w:p>
            <w:pPr>
              <w:spacing w:after="0"/>
              <w:rPr>
                <w:sz w:val="17"/>
                <w:szCs w:val="17"/>
                <w:color w:val="auto"/>
              </w:rPr>
            </w:pPr>
          </w:p>
        </w:tc>
        <w:tc>
          <w:tcPr>
            <w:tcW w:w="250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Yet Be Purchased Under</w:t>
            </w:r>
          </w:p>
        </w:tc>
      </w:tr>
      <w:tr>
        <w:trPr>
          <w:trHeight w:val="24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(Dollars in thousands, except for per share amounts)</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per Share</w:t>
            </w:r>
          </w:p>
        </w:tc>
        <w:tc>
          <w:tcPr>
            <w:tcW w:w="1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or Programs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9"/>
              </w:rPr>
              <w:t xml:space="preserve">the Plans or Programs </w:t>
            </w:r>
            <w:r>
              <w:rPr>
                <w:rFonts w:ascii="Arial" w:cs="Arial" w:eastAsia="Arial" w:hAnsi="Arial"/>
                <w:sz w:val="21"/>
                <w:szCs w:val="21"/>
                <w:b w:val="1"/>
                <w:bCs w:val="1"/>
                <w:color w:val="auto"/>
                <w:w w:val="89"/>
                <w:vertAlign w:val="superscript"/>
              </w:rPr>
              <w:t>(1)</w:t>
            </w:r>
          </w:p>
        </w:tc>
      </w:tr>
      <w:tr>
        <w:trPr>
          <w:trHeight w:val="23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2020 - January 31, 2020</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139,013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28.39</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139,013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46,053</w:t>
            </w: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February 1, 2020 - February 29, 2020</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282,469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27.47</w:t>
            </w:r>
          </w:p>
        </w:tc>
        <w:tc>
          <w:tcPr>
            <w:tcW w:w="1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282,469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tcPr>
          <w:p>
            <w:pPr>
              <w:jc w:val="right"/>
              <w:ind w:right="19"/>
              <w:spacing w:after="0"/>
              <w:rPr>
                <w:sz w:val="20"/>
                <w:szCs w:val="20"/>
                <w:color w:val="auto"/>
              </w:rPr>
            </w:pPr>
            <w:r>
              <w:rPr>
                <w:rFonts w:ascii="Arial" w:cs="Arial" w:eastAsia="Arial" w:hAnsi="Arial"/>
                <w:sz w:val="16"/>
                <w:szCs w:val="16"/>
                <w:color w:val="auto"/>
              </w:rPr>
              <w:t>38,294</w:t>
            </w: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2020 - March 31, 2020</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29,218</w:t>
            </w: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826,482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25.14</w:t>
            </w:r>
          </w:p>
        </w:tc>
        <w:tc>
          <w:tcPr>
            <w:tcW w:w="120" w:type="dxa"/>
            <w:vAlign w:val="bottom"/>
          </w:tcPr>
          <w:p>
            <w:pPr>
              <w:spacing w:after="0"/>
              <w:rPr>
                <w:sz w:val="21"/>
                <w:szCs w:val="21"/>
                <w:color w:val="auto"/>
              </w:rPr>
            </w:pP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826,482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29,218</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8"/>
        <w:spacing w:after="0" w:line="337" w:lineRule="auto"/>
        <w:tabs>
          <w:tab w:leader="none" w:pos="153"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In November of 2019, our Board of Directors authorized an update to the existing common stock repurchase plan to authorize the repurchase of its common stock up to $50 million. The program is scheduled to expire on the earlier of the repurchase of our common stock having an aggregate purchase price of $50 million or December 31, 2020. Under the program, shares may be repurchased in open market transactions or in privately negotiated transactions, from time to time, subject to market conditions</w:t>
      </w:r>
      <w:r>
        <w:rPr>
          <w:rFonts w:ascii="Arial" w:cs="Arial" w:eastAsia="Arial" w:hAnsi="Arial"/>
          <w:sz w:val="14"/>
          <w:szCs w:val="14"/>
          <w:color w:val="auto"/>
        </w:rPr>
        <w:t>.</w:t>
      </w:r>
      <w:r>
        <w:rPr>
          <w:rFonts w:ascii="Arial" w:cs="Arial" w:eastAsia="Arial" w:hAnsi="Arial"/>
          <w:sz w:val="13"/>
          <w:szCs w:val="13"/>
          <w:color w:val="auto"/>
        </w:rPr>
        <w:t xml:space="preserve"> </w:t>
      </w:r>
      <w:r>
        <w:rPr>
          <w:rFonts w:ascii="Arial" w:cs="Arial" w:eastAsia="Arial" w:hAnsi="Arial"/>
          <w:sz w:val="13"/>
          <w:szCs w:val="13"/>
          <w:color w:val="212529"/>
        </w:rPr>
        <w:t>The approved share repurchase program does not obligate us to repurchase any dollar amount or number of shares. Given the COVID-19 outbreak and its effects on the markets, the program has been discontinued at this time.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460"/>
        <w:spacing w:after="0"/>
        <w:tabs>
          <w:tab w:leader="none" w:pos="6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67" w:lineRule="exact"/>
        <w:rPr>
          <w:sz w:val="20"/>
          <w:szCs w:val="20"/>
          <w:color w:val="auto"/>
        </w:rPr>
      </w:pPr>
    </w:p>
    <w:p>
      <w:pPr>
        <w:jc w:val="both"/>
        <w:ind w:left="1840" w:right="40" w:hanging="737"/>
        <w:spacing w:after="0" w:line="263" w:lineRule="auto"/>
        <w:tabs>
          <w:tab w:leader="none" w:pos="1820" w:val="left"/>
        </w:tabs>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37">
        <w:r>
          <w:rPr>
            <w:rFonts w:ascii="Arial" w:cs="Arial" w:eastAsia="Arial" w:hAnsi="Arial"/>
            <w:sz w:val="18"/>
            <w:szCs w:val="18"/>
            <w:u w:val="single" w:color="auto"/>
            <w:color w:val="0000FF"/>
          </w:rPr>
          <w:t>Restated Articles of Incorporation of United Community Banks, Inc., as amended (incorporated herein by reference to Exhibit 3.1</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to United Community Banks, Inc.’s Quarterly Report on Form 10-Q for the period ended June 30, 2016, filed with the SEC on</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August 8, 2016).</w:t>
        </w:r>
      </w:hyperlink>
    </w:p>
    <w:p>
      <w:pPr>
        <w:spacing w:after="0" w:line="251" w:lineRule="exact"/>
        <w:rPr>
          <w:rFonts w:ascii="Arial" w:cs="Arial" w:eastAsia="Arial" w:hAnsi="Arial"/>
          <w:sz w:val="18"/>
          <w:szCs w:val="18"/>
          <w:u w:val="single" w:color="auto"/>
          <w:color w:val="0000FF"/>
        </w:rPr>
      </w:pPr>
    </w:p>
    <w:p>
      <w:pPr>
        <w:jc w:val="both"/>
        <w:ind w:left="1840" w:right="40" w:hanging="737"/>
        <w:spacing w:after="0" w:line="263" w:lineRule="auto"/>
        <w:tabs>
          <w:tab w:leader="none" w:pos="1820" w:val="left"/>
        </w:tabs>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38">
        <w:r>
          <w:rPr>
            <w:rFonts w:ascii="Arial" w:cs="Arial" w:eastAsia="Arial" w:hAnsi="Arial"/>
            <w:sz w:val="18"/>
            <w:szCs w:val="18"/>
            <w:u w:val="single" w:color="auto"/>
            <w:color w:val="0000FF"/>
          </w:rPr>
          <w:t>Amended and Restated Bylaws of United Community Banks, Inc., as amended (incorporated herein by reference to Exhibit 3.2 to</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United Community Banks, Inc.’s Quarterly Report on Form 10-Q for the period ended March 31, 2015, filed with the SEC on</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May 11, 2015).</w:t>
        </w:r>
      </w:hyperlink>
    </w:p>
    <w:p>
      <w:pPr>
        <w:spacing w:after="0" w:line="251" w:lineRule="exact"/>
        <w:rPr>
          <w:rFonts w:ascii="Arial" w:cs="Arial" w:eastAsia="Arial" w:hAnsi="Arial"/>
          <w:sz w:val="18"/>
          <w:szCs w:val="18"/>
          <w:u w:val="single" w:color="auto"/>
          <w:color w:val="0000FF"/>
        </w:rPr>
      </w:pPr>
    </w:p>
    <w:p>
      <w:pPr>
        <w:jc w:val="both"/>
        <w:ind w:left="1840" w:right="20" w:hanging="827"/>
        <w:spacing w:after="0" w:line="286" w:lineRule="auto"/>
        <w:tabs>
          <w:tab w:leader="none" w:pos="1820" w:val="left"/>
        </w:tabs>
        <w:rPr>
          <w:rFonts w:ascii="Arial" w:cs="Arial" w:eastAsia="Arial" w:hAnsi="Arial"/>
          <w:sz w:val="17"/>
          <w:szCs w:val="17"/>
          <w:color w:val="0000FF"/>
        </w:rPr>
      </w:pPr>
      <w:hyperlink r:id="rId39">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39">
        <w:r>
          <w:rPr>
            <w:rFonts w:ascii="Arial" w:cs="Arial" w:eastAsia="Arial" w:hAnsi="Arial"/>
            <w:sz w:val="17"/>
            <w:szCs w:val="17"/>
            <w:u w:val="single" w:color="auto"/>
            <w:color w:val="0000FF"/>
          </w:rPr>
          <w:t>Change of Control Severance Agreement dated February 28, 2020 by and between United Community Banks, Inc. and Melinda</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Davis Lux (not filed because substantially identical to Exhibit 10.11 to United Community Banks, Inc.’s Annual Report on Form</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10-K, File No. 001-35095, filed with the SEC on February 27, 2020 and incorporated herein by reference)</w:t>
        </w:r>
        <w:r>
          <w:rPr>
            <w:rFonts w:ascii="Arial" w:cs="Arial" w:eastAsia="Arial" w:hAnsi="Arial"/>
            <w:sz w:val="17"/>
            <w:szCs w:val="17"/>
            <w:color w:val="000000"/>
          </w:rPr>
          <w:t>. #</w:t>
        </w:r>
      </w:hyperlink>
    </w:p>
    <w:p>
      <w:pPr>
        <w:spacing w:after="0" w:line="233" w:lineRule="exact"/>
        <w:rPr>
          <w:rFonts w:ascii="Arial" w:cs="Arial" w:eastAsia="Arial" w:hAnsi="Arial"/>
          <w:sz w:val="17"/>
          <w:szCs w:val="17"/>
          <w:u w:val="single" w:color="auto"/>
          <w:color w:val="0000FF"/>
        </w:rPr>
      </w:pPr>
    </w:p>
    <w:p>
      <w:pPr>
        <w:jc w:val="both"/>
        <w:ind w:left="1840" w:right="40" w:hanging="827"/>
        <w:spacing w:after="0" w:line="277" w:lineRule="auto"/>
        <w:tabs>
          <w:tab w:leader="none" w:pos="1820" w:val="left"/>
        </w:tabs>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64">
        <w:r>
          <w:rPr>
            <w:rFonts w:ascii="Arial" w:cs="Arial" w:eastAsia="Arial" w:hAnsi="Arial"/>
            <w:sz w:val="18"/>
            <w:szCs w:val="18"/>
            <w:u w:val="single" w:color="auto"/>
            <w:color w:val="0000FF"/>
          </w:rPr>
          <w:t>Certification by H. Lynn Harton, President and Chief Executive Officer of United Community Banks, Inc., pursuant to Exchange</w:t>
        </w:r>
      </w:hyperlink>
      <w:r>
        <w:rPr>
          <w:rFonts w:ascii="Arial" w:cs="Arial" w:eastAsia="Arial" w:hAnsi="Arial"/>
          <w:sz w:val="18"/>
          <w:szCs w:val="18"/>
          <w:u w:val="single" w:color="auto"/>
          <w:color w:val="0000FF"/>
        </w:rPr>
        <w:t xml:space="preserve"> </w:t>
      </w:r>
      <w:hyperlink w:anchor="page64">
        <w:r>
          <w:rPr>
            <w:rFonts w:ascii="Arial" w:cs="Arial" w:eastAsia="Arial" w:hAnsi="Arial"/>
            <w:sz w:val="18"/>
            <w:szCs w:val="18"/>
            <w:u w:val="single" w:color="auto"/>
            <w:color w:val="0000FF"/>
          </w:rPr>
          <w:t>Act Rule 13a-14(a).</w:t>
        </w:r>
      </w:hyperlink>
    </w:p>
    <w:p>
      <w:pPr>
        <w:spacing w:after="0" w:line="278" w:lineRule="exact"/>
        <w:rPr>
          <w:rFonts w:ascii="Arial" w:cs="Arial" w:eastAsia="Arial" w:hAnsi="Arial"/>
          <w:sz w:val="18"/>
          <w:szCs w:val="18"/>
          <w:u w:val="single" w:color="auto"/>
          <w:color w:val="0000FF"/>
        </w:rPr>
      </w:pPr>
    </w:p>
    <w:p>
      <w:pPr>
        <w:jc w:val="both"/>
        <w:ind w:left="1840" w:right="40" w:hanging="827"/>
        <w:spacing w:after="0" w:line="277" w:lineRule="auto"/>
        <w:tabs>
          <w:tab w:leader="none" w:pos="1820" w:val="left"/>
        </w:tabs>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65">
        <w:r>
          <w:rPr>
            <w:rFonts w:ascii="Arial" w:cs="Arial" w:eastAsia="Arial" w:hAnsi="Arial"/>
            <w:sz w:val="18"/>
            <w:szCs w:val="18"/>
            <w:u w:val="single" w:color="auto"/>
            <w:color w:val="0000FF"/>
          </w:rPr>
          <w:t>Certification by Jefferson L. Harralson, Executive Vice President and Chief Financial Officer of United Community Banks, Inc.,</w:t>
        </w:r>
      </w:hyperlink>
      <w:r>
        <w:rPr>
          <w:rFonts w:ascii="Arial" w:cs="Arial" w:eastAsia="Arial" w:hAnsi="Arial"/>
          <w:sz w:val="18"/>
          <w:szCs w:val="18"/>
          <w:u w:val="single" w:color="auto"/>
          <w:color w:val="0000FF"/>
        </w:rPr>
        <w:t xml:space="preserve"> </w:t>
      </w:r>
      <w:hyperlink w:anchor="page65">
        <w:r>
          <w:rPr>
            <w:rFonts w:ascii="Arial" w:cs="Arial" w:eastAsia="Arial" w:hAnsi="Arial"/>
            <w:sz w:val="18"/>
            <w:szCs w:val="18"/>
            <w:u w:val="single" w:color="auto"/>
            <w:color w:val="0000FF"/>
          </w:rPr>
          <w:t>pursuant to Exchange Act Rule 13a-14(a).</w:t>
        </w:r>
      </w:hyperlink>
    </w:p>
    <w:p>
      <w:pPr>
        <w:spacing w:after="0" w:line="278" w:lineRule="exact"/>
        <w:rPr>
          <w:rFonts w:ascii="Arial" w:cs="Arial" w:eastAsia="Arial" w:hAnsi="Arial"/>
          <w:sz w:val="18"/>
          <w:szCs w:val="18"/>
          <w:u w:val="single" w:color="auto"/>
          <w:color w:val="0000FF"/>
        </w:rPr>
      </w:pPr>
    </w:p>
    <w:p>
      <w:pPr>
        <w:ind w:left="1840" w:hanging="689"/>
        <w:spacing w:after="0"/>
        <w:tabs>
          <w:tab w:leader="none" w:pos="1840" w:val="left"/>
        </w:tabs>
        <w:numPr>
          <w:ilvl w:val="0"/>
          <w:numId w:val="20"/>
        </w:numPr>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Certification of CEO and CFO pursuant to 18 U.S.C. Section 1350.</w:t>
        </w:r>
      </w:hyperlink>
    </w:p>
    <w:p>
      <w:pPr>
        <w:spacing w:after="0" w:line="333" w:lineRule="exact"/>
        <w:rPr>
          <w:rFonts w:ascii="Arial" w:cs="Arial" w:eastAsia="Arial" w:hAnsi="Arial"/>
          <w:sz w:val="18"/>
          <w:szCs w:val="18"/>
          <w:u w:val="single" w:color="auto"/>
          <w:color w:val="0000FF"/>
        </w:rPr>
      </w:pPr>
    </w:p>
    <w:p>
      <w:pPr>
        <w:jc w:val="both"/>
        <w:ind w:left="1840" w:right="20"/>
        <w:spacing w:after="0" w:line="274" w:lineRule="auto"/>
        <w:rPr>
          <w:rFonts w:ascii="Arial" w:cs="Arial" w:eastAsia="Arial" w:hAnsi="Arial"/>
          <w:sz w:val="18"/>
          <w:szCs w:val="18"/>
          <w:u w:val="single" w:color="auto"/>
          <w:color w:val="0000FF"/>
        </w:rPr>
      </w:pPr>
      <w:r>
        <w:rPr>
          <w:rFonts w:ascii="Arial" w:cs="Arial" w:eastAsia="Arial" w:hAnsi="Arial"/>
          <w:sz w:val="17"/>
          <w:szCs w:val="17"/>
          <w:color w:val="auto"/>
        </w:rPr>
        <w:t xml:space="preserve">Interactive data files for United Community Bank, Inc.’s Quarterly Report on Form 10-Q for the quarter ended March 31, 2020, formatted in Inline XBRL: </w:t>
      </w:r>
      <w:r>
        <w:rPr>
          <w:rFonts w:ascii="Arial" w:cs="Arial" w:eastAsia="Arial" w:hAnsi="Arial"/>
          <w:sz w:val="17"/>
          <w:szCs w:val="17"/>
          <w:color w:val="212529"/>
        </w:rPr>
        <w:t>(i) the Consolidated Balance Sheets (unaudited); (ii) the Consolidated Statements of Income</w:t>
      </w:r>
    </w:p>
    <w:p>
      <w:pPr>
        <w:jc w:val="both"/>
        <w:ind w:left="1840" w:right="40"/>
        <w:spacing w:after="0" w:line="281" w:lineRule="auto"/>
        <w:rPr>
          <w:sz w:val="20"/>
          <w:szCs w:val="20"/>
          <w:color w:val="auto"/>
        </w:rPr>
      </w:pPr>
      <w:r>
        <w:rPr>
          <w:rFonts w:ascii="Arial" w:cs="Arial" w:eastAsia="Arial" w:hAnsi="Arial"/>
          <w:sz w:val="16"/>
          <w:szCs w:val="16"/>
          <w:color w:val="212529"/>
        </w:rPr>
        <w:t>(unaudited); (iii) the Consolidated Statements of Comprehensive Income (unaudited); (iv) the Condensed Consolidated Statements in Shareholders’ Equity (unaudited); (v) the Condensed Consolidated Statements of Cash Flows (unaudited); and (vi)</w:t>
      </w:r>
    </w:p>
    <w:p>
      <w:pPr>
        <w:spacing w:after="0" w:line="1" w:lineRule="exact"/>
        <w:rPr>
          <w:rFonts w:ascii="Arial" w:cs="Arial" w:eastAsia="Arial" w:hAnsi="Arial"/>
          <w:sz w:val="18"/>
          <w:szCs w:val="18"/>
          <w:u w:val="single" w:color="auto"/>
          <w:color w:val="0000FF"/>
        </w:rPr>
      </w:pPr>
    </w:p>
    <w:p>
      <w:pPr>
        <w:ind w:left="1840" w:hanging="779"/>
        <w:spacing w:after="0"/>
        <w:tabs>
          <w:tab w:leader="none" w:pos="184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Notes to Condensed Consolidated Financial Statements (unaudited)</w:t>
      </w:r>
      <w:r>
        <w:rPr>
          <w:rFonts w:ascii="Arial" w:cs="Arial" w:eastAsia="Arial" w:hAnsi="Arial"/>
          <w:sz w:val="18"/>
          <w:szCs w:val="18"/>
          <w:color w:val="000000"/>
        </w:rPr>
        <w:t>.</w:t>
      </w:r>
    </w:p>
    <w:p>
      <w:pPr>
        <w:spacing w:after="0" w:line="278" w:lineRule="exact"/>
        <w:rPr>
          <w:rFonts w:ascii="Arial" w:cs="Arial" w:eastAsia="Arial" w:hAnsi="Arial"/>
          <w:sz w:val="18"/>
          <w:szCs w:val="18"/>
          <w:u w:val="single" w:color="auto"/>
          <w:color w:val="0000FF"/>
        </w:rPr>
      </w:pPr>
    </w:p>
    <w:p>
      <w:pPr>
        <w:ind w:left="1840"/>
        <w:spacing w:after="0"/>
        <w:rPr>
          <w:sz w:val="20"/>
          <w:szCs w:val="20"/>
          <w:color w:val="auto"/>
        </w:rPr>
      </w:pPr>
      <w:r>
        <w:rPr>
          <w:rFonts w:ascii="Arial" w:cs="Arial" w:eastAsia="Arial" w:hAnsi="Arial"/>
          <w:sz w:val="18"/>
          <w:szCs w:val="18"/>
          <w:color w:val="auto"/>
        </w:rPr>
        <w:t>The cover page from United Community Bank’s Quarterly Report on Form 10-Q for the quarter ended March 31, 2020</w:t>
      </w:r>
    </w:p>
    <w:p>
      <w:pPr>
        <w:spacing w:after="0" w:line="23" w:lineRule="exact"/>
        <w:rPr>
          <w:rFonts w:ascii="Arial" w:cs="Arial" w:eastAsia="Arial" w:hAnsi="Arial"/>
          <w:sz w:val="18"/>
          <w:szCs w:val="18"/>
          <w:u w:val="single" w:color="auto"/>
          <w:color w:val="0000FF"/>
        </w:rPr>
      </w:pPr>
    </w:p>
    <w:p>
      <w:pPr>
        <w:ind w:left="1840" w:hanging="779"/>
        <w:spacing w:after="0"/>
        <w:tabs>
          <w:tab w:leader="none" w:pos="1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(formatted in Inline XBRL and included in Exhibit 101)</w:t>
      </w:r>
    </w:p>
    <w:p>
      <w:pPr>
        <w:spacing w:after="0" w:line="23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240"/>
          </w:cols>
          <w:pgMar w:left="320" w:top="553" w:right="339" w:bottom="1440" w:gutter="0" w:footer="0" w:header="0"/>
        </w:sectPr>
      </w:pPr>
    </w:p>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553"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553" w:right="339" w:bottom="1440" w:gutter="0" w:footer="0" w:header="0"/>
        </w:sectPr>
      </w:pPr>
    </w:p>
    <w:bookmarkStart w:id="63" w:name="page64"/>
    <w:bookmarkEnd w:id="6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553" w:right="339"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2020</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55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2020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5780"/>
        <w:spacing w:after="0"/>
        <w:tabs>
          <w:tab w:leader="none" w:pos="6420" w:val="left"/>
        </w:tabs>
        <w:rPr>
          <w:sz w:val="20"/>
          <w:szCs w:val="20"/>
          <w:color w:val="auto"/>
        </w:rPr>
      </w:pPr>
      <w:r>
        <w:rPr>
          <w:rFonts w:ascii="Arial" w:cs="Arial" w:eastAsia="Arial" w:hAnsi="Arial"/>
          <w:sz w:val="18"/>
          <w:szCs w:val="18"/>
          <w:color w:val="auto"/>
        </w:rPr>
        <w:t>Name:</w:t>
        <w:tab/>
        <w:t>H. Lynn Harton</w:t>
      </w:r>
    </w:p>
    <w:p>
      <w:pPr>
        <w:spacing w:after="0" w:line="63" w:lineRule="exact"/>
        <w:rPr>
          <w:sz w:val="20"/>
          <w:szCs w:val="20"/>
          <w:color w:val="auto"/>
        </w:rPr>
      </w:pPr>
    </w:p>
    <w:p>
      <w:pPr>
        <w:ind w:left="578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78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p>
    <w:p>
      <w:pPr>
        <w:spacing w:after="0" w:line="33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5780"/>
        <w:spacing w:after="0"/>
        <w:tabs>
          <w:tab w:leader="none" w:pos="6420" w:val="left"/>
        </w:tabs>
        <w:rPr>
          <w:sz w:val="20"/>
          <w:szCs w:val="20"/>
          <w:color w:val="auto"/>
        </w:rPr>
      </w:pPr>
      <w:r>
        <w:rPr>
          <w:rFonts w:ascii="Arial" w:cs="Arial" w:eastAsia="Arial" w:hAnsi="Arial"/>
          <w:sz w:val="18"/>
          <w:szCs w:val="18"/>
          <w:color w:val="auto"/>
        </w:rPr>
        <w:t>Name:</w:t>
        <w:tab/>
        <w:t>Jefferson L. Harralson</w:t>
      </w:r>
    </w:p>
    <w:p>
      <w:pPr>
        <w:spacing w:after="0" w:line="63" w:lineRule="exact"/>
        <w:rPr>
          <w:sz w:val="20"/>
          <w:szCs w:val="20"/>
          <w:color w:val="auto"/>
        </w:rPr>
      </w:pPr>
    </w:p>
    <w:p>
      <w:pPr>
        <w:ind w:left="578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78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95"/>
    </w:lvl>
  </w:abstractNum>
  <w:abstractNum w:abstractNumId="7">
    <w:nsid w:val="4E6AFB66"/>
    <w:multiLevelType w:val="hybridMultilevel"/>
    <w:lvl w:ilvl="0">
      <w:lvlJc w:val="left"/>
      <w:lvlText w:val="(%1)"/>
      <w:numFmt w:val="decimal"/>
      <w:start w:val="829"/>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upperLetter"/>
      <w:start w:val="68"/>
    </w:lvl>
  </w:abstractNum>
  <w:abstractNum w:abstractNumId="17">
    <w:nsid w:val="333AB105"/>
    <w:multiLevelType w:val="hybridMultilevel"/>
    <w:lvl w:ilvl="0">
      <w:lvlJc w:val="left"/>
      <w:lvlText w:val="%1."/>
      <w:numFmt w:val="upperLetter"/>
      <w:start w:val="68"/>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32"/>
    </w:lvl>
  </w:abstractNum>
  <w:abstractNum w:abstractNumId="20">
    <w:nsid w:val="2D1D5AE9"/>
    <w:multiLevelType w:val="hybridMultilevel"/>
    <w:lvl w:ilvl="0">
      <w:lvlJc w:val="left"/>
      <w:lvlText w:val="%1"/>
      <w:numFmt w:val="decimal"/>
      <w:start w:val="101"/>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37" Type="http://schemas.openxmlformats.org/officeDocument/2006/relationships/hyperlink" Target="http://www.sec.gov/Archives/edgar/data/857855/000157104916017224/t1600485_ex3-1.htm" TargetMode="External"/><Relationship Id="rId38" Type="http://schemas.openxmlformats.org/officeDocument/2006/relationships/hyperlink" Target="http://www.sec.gov/Archives/edgar/data/857855/000157104915003882/t82199_ex3-2.htm" TargetMode="External"/><Relationship Id="rId39" Type="http://schemas.openxmlformats.org/officeDocument/2006/relationships/hyperlink" Target="http://www.sec.gov/Archives/edgar/data/857855/000085785520000011/ucbi1231201910k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2020-05-07T15:40:39Z</dcterms:created>
  <dcterms:modified xsi:type="dcterms:W3CDTF">2020-05-07T15:40:39Z</dcterms:modified>
</cp:coreProperties>
</file>